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w:t>
            </w: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baseline"/>
                <w:rtl w:val="0"/>
              </w:rPr>
              <w:t xml:space="preserve">/20</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vertAlign w:val="baseline"/>
                <w:rtl w:val="0"/>
              </w:rPr>
              <w:t xml:space="preserve">:30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24"/>
                <w:szCs w:val="24"/>
                <w:vertAlign w:val="baseline"/>
                <w:rtl w:val="0"/>
              </w:rPr>
              <w:t xml:space="preserve">:00</w:t>
            </w:r>
          </w:p>
        </w:tc>
      </w:tr>
      <w:tr>
        <w:trPr>
          <w:cantSplit w:val="0"/>
          <w:tblHeader w:val="0"/>
        </w:trPr>
        <w:tc>
          <w:tcPr>
            <w:vAlign w:val="top"/>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w:t>
            </w:r>
            <w:r w:rsidDel="00000000" w:rsidR="00000000" w:rsidRPr="00000000">
              <w:rPr>
                <w:rFonts w:ascii="Times New Roman" w:cs="Times New Roman" w:eastAsia="Times New Roman" w:hAnsi="Times New Roman"/>
                <w:b w:val="1"/>
                <w:sz w:val="24"/>
                <w:szCs w:val="24"/>
                <w:rtl w:val="0"/>
              </w:rPr>
              <w:t xml:space="preserve">Online (Zoom)</w:t>
            </w:r>
            <w:r w:rsidDel="00000000" w:rsidR="00000000" w:rsidRPr="00000000">
              <w:rPr>
                <w:rtl w:val="0"/>
              </w:rPr>
            </w:r>
          </w:p>
        </w:tc>
      </w:tr>
    </w:tbl>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Gabriela Gomez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gabr.gomez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@duocuc.cl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Ignacia Arancibia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igna.arancibia@duocuc.cl</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Vania Troncoso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van.troncosom@duocuc.cl</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0">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de avances en los casos de uso implementados.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División formal de tareas para los casos de uso restantes.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Selección definitiva de la base de datos (Azure + SQLite).</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 JSON local con direcciones de puntos de reciclaje.</w:t>
            </w:r>
            <w:r w:rsidDel="00000000" w:rsidR="00000000" w:rsidRPr="00000000">
              <w:rPr>
                <w:rtl w:val="0"/>
              </w:rPr>
            </w:r>
          </w:p>
        </w:tc>
      </w:tr>
      <w:tr>
        <w:trPr>
          <w:cantSplit w:val="0"/>
          <w:trHeight w:val="9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de diseño y estructura de la app (interfaz, colores y navegación).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Coordinación de próximas pruebas y documentación final.</w:t>
            </w: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9">
            <w:pPr>
              <w:tabs>
                <w:tab w:val="center" w:leader="none" w:pos="4252"/>
                <w:tab w:val="right" w:leader="none" w:pos="850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reunión se revisaron los avances logrados desde la sesión anterior.</w:t>
              <w:br w:type="textWrapping"/>
              <w:t xml:space="preserve"> Se confirmó el correcto funcionamiento del mapa con puntos de reciclaje integrando tanto la API de Google Cloud como un archivo JSON local que almacena las direcciones de los centros de reciclaje.</w:t>
            </w:r>
          </w:p>
          <w:p w:rsidR="00000000" w:rsidDel="00000000" w:rsidP="00000000" w:rsidRDefault="00000000" w:rsidRPr="00000000" w14:paraId="0000006A">
            <w:pPr>
              <w:tabs>
                <w:tab w:val="center" w:leader="none" w:pos="4252"/>
                <w:tab w:val="right" w:leader="none" w:pos="850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decidió dividir los casos de uso restantes para optimizar el trabajo y cumplir los plazos de entrega:</w:t>
            </w:r>
          </w:p>
          <w:p w:rsidR="00000000" w:rsidDel="00000000" w:rsidP="00000000" w:rsidRDefault="00000000" w:rsidRPr="00000000" w14:paraId="0000006B">
            <w:pPr>
              <w:numPr>
                <w:ilvl w:val="0"/>
                <w:numId w:val="1"/>
              </w:numPr>
              <w:tabs>
                <w:tab w:val="center" w:leader="none" w:pos="4252"/>
                <w:tab w:val="right" w:leader="none" w:pos="8504"/>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Vania continuará con Gestión de Usuarios (CRUD) y validación de inicio de sesión y registro.</w:t>
              <w:br w:type="textWrapping"/>
            </w:r>
          </w:p>
          <w:p w:rsidR="00000000" w:rsidDel="00000000" w:rsidP="00000000" w:rsidRDefault="00000000" w:rsidRPr="00000000" w14:paraId="0000006C">
            <w:pPr>
              <w:numPr>
                <w:ilvl w:val="0"/>
                <w:numId w:val="1"/>
              </w:numPr>
              <w:tabs>
                <w:tab w:val="center" w:leader="none" w:pos="4252"/>
                <w:tab w:val="right" w:leader="none" w:pos="8504"/>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Ignacia desarrollará la parte del mapa, visualización de puntos y compañías de retiro, junto con la documentación.</w:t>
              <w:br w:type="textWrapping"/>
            </w:r>
          </w:p>
          <w:p w:rsidR="00000000" w:rsidDel="00000000" w:rsidP="00000000" w:rsidRDefault="00000000" w:rsidRPr="00000000" w14:paraId="0000006D">
            <w:pPr>
              <w:numPr>
                <w:ilvl w:val="0"/>
                <w:numId w:val="1"/>
              </w:numPr>
              <w:tabs>
                <w:tab w:val="center" w:leader="none" w:pos="4252"/>
                <w:tab w:val="right" w:leader="none" w:pos="8504"/>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Gabriela completará los casos de captura de imagen y detección de componentes mediante IA.</w:t>
              <w:br w:type="textWrapping"/>
            </w:r>
          </w:p>
          <w:p w:rsidR="00000000" w:rsidDel="00000000" w:rsidP="00000000" w:rsidRDefault="00000000" w:rsidRPr="00000000" w14:paraId="0000006E">
            <w:pPr>
              <w:tabs>
                <w:tab w:val="center" w:leader="none" w:pos="4252"/>
                <w:tab w:val="right" w:leader="none" w:pos="850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acordó utilizar Microsoft Azure como plataforma de almacenamiento principal, en conjunto con SQLite para manejo local de datos dentro de la aplicación móvil.</w:t>
            </w:r>
          </w:p>
          <w:p w:rsidR="00000000" w:rsidDel="00000000" w:rsidP="00000000" w:rsidRDefault="00000000" w:rsidRPr="00000000" w14:paraId="0000006F">
            <w:pPr>
              <w:tabs>
                <w:tab w:val="center" w:leader="none" w:pos="4252"/>
                <w:tab w:val="right" w:leader="none" w:pos="850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acordó mantener comunicación constante mediante Teams y reuniones semanales para verificar la integración y pruebas finales.</w:t>
            </w:r>
          </w:p>
          <w:p w:rsidR="00000000" w:rsidDel="00000000" w:rsidP="00000000" w:rsidRDefault="00000000" w:rsidRPr="00000000" w14:paraId="00000070">
            <w:pPr>
              <w:tabs>
                <w:tab w:val="center" w:leader="none" w:pos="4252"/>
                <w:tab w:val="right" w:leader="none" w:pos="8504"/>
              </w:tabs>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center" w:leader="none" w:pos="4252"/>
                <w:tab w:val="right" w:leader="none" w:pos="8504"/>
              </w:tabs>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center" w:leader="none" w:pos="4252"/>
                <w:tab w:val="right" w:leader="none" w:pos="8504"/>
              </w:tabs>
              <w:spacing w:after="240" w:before="0" w:lineRule="auto"/>
              <w:ind w:lef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76">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entre los módulos de IA, base de datos y mapa requiere coordinación en los endpoints y modelos.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enfatizó la importancia de revisar compatibilidad de versiones de paquetes NuGet en MAUI y realizar pruebas en dispositivo físico Android.</w:t>
            </w:r>
          </w:p>
          <w:p w:rsidR="00000000" w:rsidDel="00000000" w:rsidP="00000000" w:rsidRDefault="00000000" w:rsidRPr="00000000" w14:paraId="0000007A">
            <w:pPr>
              <w:tabs>
                <w:tab w:val="center" w:leader="none" w:pos="4252"/>
                <w:tab w:val="right" w:leader="none" w:pos="8504"/>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88">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9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92">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Finalizar integración del mapa con JSON y APIs</w:t>
            </w:r>
            <w:r w:rsidDel="00000000" w:rsidR="00000000" w:rsidRPr="00000000">
              <w:rPr>
                <w:rtl w:val="0"/>
              </w:rPr>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Ignacia</w:t>
            </w: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semana</w:t>
            </w:r>
            <w:r w:rsidDel="00000000" w:rsidR="00000000" w:rsidRPr="00000000">
              <w:rPr>
                <w:rtl w:val="0"/>
              </w:rPr>
            </w:r>
          </w:p>
        </w:tc>
        <w:tc>
          <w:tcPr>
            <w:vAlign w:val="top"/>
          </w:tcPr>
          <w:p w:rsidR="00000000" w:rsidDel="00000000" w:rsidP="00000000" w:rsidRDefault="00000000" w:rsidRPr="00000000" w14:paraId="00000096">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Mapa ya funcional, faltan validaciones menores</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Completar módulo de captura y detección IA + Componentes</w:t>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Gabriela</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semana</w:t>
            </w:r>
            <w:r w:rsidDel="00000000" w:rsidR="00000000" w:rsidRPr="00000000">
              <w:rPr>
                <w:rtl w:val="0"/>
              </w:rPr>
            </w:r>
          </w:p>
        </w:tc>
        <w:tc>
          <w:tcPr>
            <w:vAlign w:val="top"/>
          </w:tcPr>
          <w:p w:rsidR="00000000" w:rsidDel="00000000" w:rsidP="00000000" w:rsidRDefault="00000000" w:rsidRPr="00000000" w14:paraId="0000009C">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Pendiente ajuste del modelo entrenado</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Desarrollar y probar CRUD de usuarios (Administrador) + Iniciar Sesión + Registrar</w:t>
            </w:r>
            <w:r w:rsidDel="00000000" w:rsidR="00000000" w:rsidRPr="00000000">
              <w:rPr>
                <w:rtl w:val="0"/>
              </w:rPr>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Vania</w:t>
            </w: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semana</w:t>
            </w:r>
            <w:r w:rsidDel="00000000" w:rsidR="00000000" w:rsidRPr="00000000">
              <w:rPr>
                <w:rtl w:val="0"/>
              </w:rPr>
            </w:r>
          </w:p>
        </w:tc>
        <w:tc>
          <w:tcPr>
            <w:vAlign w:val="top"/>
          </w:tcPr>
          <w:p w:rsidR="00000000" w:rsidDel="00000000" w:rsidP="00000000" w:rsidRDefault="00000000" w:rsidRPr="00000000" w14:paraId="000000A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Revisión conexión a Azure</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2">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Unificar documentación técnica y plan de pruebas</w:t>
            </w:r>
            <w:r w:rsidDel="00000000" w:rsidR="00000000" w:rsidRPr="00000000">
              <w:rPr>
                <w:rtl w:val="0"/>
              </w:rPr>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Ignacia </w:t>
            </w:r>
            <w:r w:rsidDel="00000000" w:rsidR="00000000" w:rsidRPr="00000000">
              <w:rPr>
                <w:rtl w:val="0"/>
              </w:rPr>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semana</w:t>
            </w:r>
            <w:r w:rsidDel="00000000" w:rsidR="00000000" w:rsidRPr="00000000">
              <w:rPr>
                <w:rtl w:val="0"/>
              </w:rPr>
            </w:r>
          </w:p>
        </w:tc>
        <w:tc>
          <w:tcPr>
            <w:vAlign w:val="top"/>
          </w:tcPr>
          <w:p w:rsidR="00000000" w:rsidDel="00000000" w:rsidP="00000000" w:rsidRDefault="00000000" w:rsidRPr="00000000" w14:paraId="000000A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Para entrega de la fase 2</w:t>
            </w:r>
            <w:r w:rsidDel="00000000" w:rsidR="00000000" w:rsidRPr="00000000">
              <w:rPr>
                <w:rtl w:val="0"/>
              </w:rPr>
            </w:r>
          </w:p>
        </w:tc>
      </w:tr>
    </w:tbl>
    <w:p w:rsidR="00000000" w:rsidDel="00000000" w:rsidP="00000000" w:rsidRDefault="00000000" w:rsidRPr="00000000" w14:paraId="000000A7">
      <w:pPr>
        <w:rPr>
          <w:vertAlign w:val="baseline"/>
        </w:rPr>
      </w:pPr>
      <w:r w:rsidDel="00000000" w:rsidR="00000000" w:rsidRPr="00000000">
        <w:rPr>
          <w:rtl w:val="0"/>
        </w:rPr>
      </w:r>
    </w:p>
    <w:sectPr>
      <w:headerReference r:id="rId7" w:type="default"/>
      <w:footerReference r:id="rId8"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s-CO"/>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r3vW62r+VYFXO42Ba+2EKZTd7w==">CgMxLjA4AHIhMWhVUHlZbHRFSDVta0dXVF8xQUpqVWVTd1NMWXFyWjFa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