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87792174" w:displacedByCustomXml="next"/>
    <w:sdt>
      <w:sdtPr>
        <w:rPr>
          <w:color w:val="156082" w:themeColor="accent1"/>
        </w:rPr>
        <w:id w:val="-800062681"/>
        <w:docPartObj>
          <w:docPartGallery w:val="Cover Pages"/>
          <w:docPartUnique/>
        </w:docPartObj>
      </w:sdtPr>
      <w:sdtEndPr>
        <w:rPr>
          <w:color w:val="auto"/>
        </w:rPr>
      </w:sdtEndPr>
      <w:sdtContent>
        <w:p w14:paraId="2A690302" w14:textId="1215C4BA" w:rsidR="00B54FAF" w:rsidRDefault="00B54FAF">
          <w:pPr>
            <w:pStyle w:val="Nessunaspaziatura"/>
            <w:spacing w:before="1540" w:after="240"/>
            <w:jc w:val="center"/>
            <w:rPr>
              <w:color w:val="156082" w:themeColor="accent1"/>
            </w:rPr>
          </w:pPr>
          <w:r>
            <w:rPr>
              <w:noProof/>
              <w:color w:val="156082" w:themeColor="accent1"/>
            </w:rPr>
            <w:drawing>
              <wp:inline distT="0" distB="0" distL="0" distR="0" wp14:anchorId="2A076B4E" wp14:editId="79AC6281">
                <wp:extent cx="1417320" cy="750898"/>
                <wp:effectExtent l="0" t="0" r="0" b="0"/>
                <wp:docPr id="143"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39818783E46D473DB06B0FC6E9D502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A52D3C" w14:textId="55E6F5F8" w:rsidR="00B54FAF" w:rsidRDefault="00B54FAF">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hint="eastAsia"/>
                  <w:caps/>
                  <w:color w:val="156082" w:themeColor="accent1"/>
                  <w:sz w:val="80"/>
                  <w:szCs w:val="80"/>
                </w:rPr>
              </w:pPr>
              <w:r>
                <w:rPr>
                  <w:rFonts w:asciiTheme="majorHAnsi" w:eastAsiaTheme="majorEastAsia" w:hAnsiTheme="majorHAnsi" w:cstheme="majorBidi"/>
                  <w:caps/>
                  <w:color w:val="156082" w:themeColor="accent1"/>
                  <w:sz w:val="72"/>
                  <w:szCs w:val="72"/>
                </w:rPr>
                <w:t>PRICING DELLE OPZIONI</w:t>
              </w:r>
            </w:p>
          </w:sdtContent>
        </w:sdt>
        <w:sdt>
          <w:sdtPr>
            <w:rPr>
              <w:color w:val="156082" w:themeColor="accent1"/>
              <w:sz w:val="28"/>
              <w:szCs w:val="28"/>
            </w:rPr>
            <w:alias w:val="Sottotitolo"/>
            <w:tag w:val=""/>
            <w:id w:val="328029620"/>
            <w:placeholder>
              <w:docPart w:val="792224E22A744606B9E4178D27404A07"/>
            </w:placeholder>
            <w:dataBinding w:prefixMappings="xmlns:ns0='http://purl.org/dc/elements/1.1/' xmlns:ns1='http://schemas.openxmlformats.org/package/2006/metadata/core-properties' " w:xpath="/ns1:coreProperties[1]/ns0:subject[1]" w:storeItemID="{6C3C8BC8-F283-45AE-878A-BAB7291924A1}"/>
            <w:text/>
          </w:sdtPr>
          <w:sdtContent>
            <w:p w14:paraId="70C5118A" w14:textId="14A24CFF" w:rsidR="00B54FAF" w:rsidRDefault="00B54FAF">
              <w:pPr>
                <w:pStyle w:val="Nessunaspaziatura"/>
                <w:jc w:val="center"/>
                <w:rPr>
                  <w:color w:val="156082" w:themeColor="accent1"/>
                  <w:sz w:val="28"/>
                  <w:szCs w:val="28"/>
                </w:rPr>
              </w:pPr>
              <w:r>
                <w:rPr>
                  <w:color w:val="156082" w:themeColor="accent1"/>
                  <w:sz w:val="28"/>
                  <w:szCs w:val="28"/>
                </w:rPr>
                <w:t>relatore</w:t>
              </w:r>
            </w:p>
          </w:sdtContent>
        </w:sdt>
        <w:p w14:paraId="533EC48E" w14:textId="77777777" w:rsidR="00B54FAF" w:rsidRDefault="00B54FAF">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8245" behindDoc="0" locked="0" layoutInCell="1" allowOverlap="1" wp14:anchorId="654BE087" wp14:editId="2AF18A0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80A73BF" w14:textId="77777777" w:rsidR="00B54FAF" w:rsidRDefault="00B54FAF">
                                    <w:pPr>
                                      <w:pStyle w:val="Nessunaspaziatura"/>
                                      <w:spacing w:after="40"/>
                                      <w:jc w:val="center"/>
                                      <w:rPr>
                                        <w:caps/>
                                        <w:color w:val="156082" w:themeColor="accent1"/>
                                        <w:sz w:val="28"/>
                                        <w:szCs w:val="28"/>
                                      </w:rPr>
                                    </w:pPr>
                                    <w:r>
                                      <w:rPr>
                                        <w:caps/>
                                        <w:color w:val="156082" w:themeColor="accent1"/>
                                        <w:sz w:val="28"/>
                                        <w:szCs w:val="28"/>
                                      </w:rPr>
                                      <w:t>[Data]</w:t>
                                    </w:r>
                                  </w:p>
                                </w:sdtContent>
                              </w:sdt>
                              <w:p w14:paraId="44075DF9" w14:textId="77777777" w:rsidR="00B54FAF" w:rsidRDefault="00C43847">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B54FAF">
                                      <w:rPr>
                                        <w:caps/>
                                        <w:color w:val="156082" w:themeColor="accent1"/>
                                      </w:rPr>
                                      <w:t>[Nome della società]</w:t>
                                    </w:r>
                                  </w:sdtContent>
                                </w:sdt>
                              </w:p>
                              <w:p w14:paraId="69ACEF66" w14:textId="77777777" w:rsidR="00B54FAF" w:rsidRDefault="00C43847">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B54FAF">
                                      <w:rPr>
                                        <w:color w:val="156082" w:themeColor="accent1"/>
                                      </w:rPr>
                                      <w:t>[Indirizzo della società]</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4BE087"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8245;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80A73BF" w14:textId="77777777" w:rsidR="00B54FAF" w:rsidRDefault="00B54FAF">
                              <w:pPr>
                                <w:pStyle w:val="Nessunaspaziatura"/>
                                <w:spacing w:after="40"/>
                                <w:jc w:val="center"/>
                                <w:rPr>
                                  <w:caps/>
                                  <w:color w:val="156082" w:themeColor="accent1"/>
                                  <w:sz w:val="28"/>
                                  <w:szCs w:val="28"/>
                                </w:rPr>
                              </w:pPr>
                              <w:r>
                                <w:rPr>
                                  <w:caps/>
                                  <w:color w:val="156082" w:themeColor="accent1"/>
                                  <w:sz w:val="28"/>
                                  <w:szCs w:val="28"/>
                                </w:rPr>
                                <w:t>[Data]</w:t>
                              </w:r>
                            </w:p>
                          </w:sdtContent>
                        </w:sdt>
                        <w:p w14:paraId="44075DF9" w14:textId="77777777" w:rsidR="00B54FAF" w:rsidRDefault="00C43847">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B54FAF">
                                <w:rPr>
                                  <w:caps/>
                                  <w:color w:val="156082" w:themeColor="accent1"/>
                                </w:rPr>
                                <w:t>[Nome della società]</w:t>
                              </w:r>
                            </w:sdtContent>
                          </w:sdt>
                        </w:p>
                        <w:p w14:paraId="69ACEF66" w14:textId="77777777" w:rsidR="00B54FAF" w:rsidRDefault="00C43847">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B54FAF">
                                <w:rPr>
                                  <w:color w:val="156082" w:themeColor="accent1"/>
                                </w:rPr>
                                <w:t>[Indirizzo della società]</w:t>
                              </w:r>
                            </w:sdtContent>
                          </w:sdt>
                        </w:p>
                      </w:txbxContent>
                    </v:textbox>
                    <w10:wrap anchorx="margin" anchory="page"/>
                  </v:shape>
                </w:pict>
              </mc:Fallback>
            </mc:AlternateContent>
          </w:r>
          <w:r>
            <w:rPr>
              <w:noProof/>
              <w:color w:val="156082" w:themeColor="accent1"/>
            </w:rPr>
            <w:drawing>
              <wp:inline distT="0" distB="0" distL="0" distR="0" wp14:anchorId="0F486F4F" wp14:editId="68E2D17C">
                <wp:extent cx="758952" cy="478932"/>
                <wp:effectExtent l="0" t="0" r="3175" b="0"/>
                <wp:docPr id="144"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5FCB63" w14:textId="506A1E35" w:rsidR="00B54FAF" w:rsidRDefault="00B54FAF">
          <w:r>
            <w:br w:type="page"/>
          </w:r>
        </w:p>
      </w:sdtContent>
    </w:sdt>
    <w:bookmarkEnd w:id="0" w:displacedByCustomXml="next"/>
    <w:sdt>
      <w:sdtPr>
        <w:rPr>
          <w:rFonts w:asciiTheme="minorHAnsi" w:eastAsiaTheme="minorHAnsi" w:hAnsiTheme="minorHAnsi" w:cstheme="minorBidi"/>
          <w:color w:val="auto"/>
          <w:kern w:val="2"/>
          <w:sz w:val="24"/>
          <w:szCs w:val="24"/>
          <w:lang w:eastAsia="en-US"/>
          <w14:ligatures w14:val="standardContextual"/>
        </w:rPr>
        <w:id w:val="-1581060200"/>
        <w:docPartObj>
          <w:docPartGallery w:val="Table of Contents"/>
          <w:docPartUnique/>
        </w:docPartObj>
      </w:sdtPr>
      <w:sdtEndPr>
        <w:rPr>
          <w:b/>
          <w:bCs/>
        </w:rPr>
      </w:sdtEndPr>
      <w:sdtContent>
        <w:p w14:paraId="735E61DC" w14:textId="516CAACE" w:rsidR="00B54FAF" w:rsidRDefault="00B54FAF">
          <w:pPr>
            <w:pStyle w:val="Titolosommario"/>
            <w:rPr>
              <w:rFonts w:hint="eastAsia"/>
            </w:rPr>
          </w:pPr>
          <w:r>
            <w:t>Sommario</w:t>
          </w:r>
        </w:p>
        <w:p w14:paraId="5F387BB3" w14:textId="4DC9CCC4" w:rsidR="00B54FAF" w:rsidRDefault="00B54FAF">
          <w:pPr>
            <w:pStyle w:val="Sommario1"/>
            <w:tabs>
              <w:tab w:val="left" w:pos="480"/>
              <w:tab w:val="right" w:leader="dot" w:pos="9628"/>
            </w:tabs>
            <w:rPr>
              <w:rFonts w:eastAsiaTheme="minorEastAsia"/>
              <w:noProof/>
              <w:lang w:eastAsia="it-IT"/>
            </w:rPr>
          </w:pPr>
          <w:r>
            <w:fldChar w:fldCharType="begin"/>
          </w:r>
          <w:r>
            <w:instrText xml:space="preserve"> TOC \o "1-3" \h \z \u </w:instrText>
          </w:r>
          <w:r>
            <w:fldChar w:fldCharType="separate"/>
          </w:r>
          <w:hyperlink w:anchor="_Toc187795095" w:history="1">
            <w:r w:rsidRPr="00672E5A">
              <w:rPr>
                <w:rStyle w:val="Collegamentoipertestuale"/>
                <w:noProof/>
              </w:rPr>
              <w:t>1.</w:t>
            </w:r>
            <w:r>
              <w:rPr>
                <w:rFonts w:eastAsiaTheme="minorEastAsia"/>
                <w:noProof/>
                <w:lang w:eastAsia="it-IT"/>
              </w:rPr>
              <w:tab/>
            </w:r>
            <w:r w:rsidRPr="00672E5A">
              <w:rPr>
                <w:rStyle w:val="Collegamentoipertestuale"/>
                <w:noProof/>
              </w:rPr>
              <w:t>Introduzione</w:t>
            </w:r>
            <w:r>
              <w:rPr>
                <w:noProof/>
                <w:webHidden/>
              </w:rPr>
              <w:tab/>
            </w:r>
            <w:r>
              <w:rPr>
                <w:noProof/>
                <w:webHidden/>
              </w:rPr>
              <w:fldChar w:fldCharType="begin"/>
            </w:r>
            <w:r>
              <w:rPr>
                <w:noProof/>
                <w:webHidden/>
              </w:rPr>
              <w:instrText xml:space="preserve"> PAGEREF _Toc187795095 \h </w:instrText>
            </w:r>
            <w:r>
              <w:rPr>
                <w:noProof/>
                <w:webHidden/>
              </w:rPr>
            </w:r>
            <w:r>
              <w:rPr>
                <w:noProof/>
                <w:webHidden/>
              </w:rPr>
              <w:fldChar w:fldCharType="separate"/>
            </w:r>
            <w:r>
              <w:rPr>
                <w:noProof/>
                <w:webHidden/>
              </w:rPr>
              <w:t>1</w:t>
            </w:r>
            <w:r>
              <w:rPr>
                <w:noProof/>
                <w:webHidden/>
              </w:rPr>
              <w:fldChar w:fldCharType="end"/>
            </w:r>
          </w:hyperlink>
        </w:p>
        <w:p w14:paraId="14EE74D2" w14:textId="253BA4A6" w:rsidR="00B54FAF" w:rsidRDefault="00B54FAF">
          <w:pPr>
            <w:pStyle w:val="Sommario1"/>
            <w:tabs>
              <w:tab w:val="left" w:pos="480"/>
              <w:tab w:val="right" w:leader="dot" w:pos="9628"/>
            </w:tabs>
            <w:rPr>
              <w:rFonts w:eastAsiaTheme="minorEastAsia"/>
              <w:noProof/>
              <w:lang w:eastAsia="it-IT"/>
            </w:rPr>
          </w:pPr>
          <w:hyperlink w:anchor="_Toc187795096" w:history="1">
            <w:r w:rsidRPr="00672E5A">
              <w:rPr>
                <w:rStyle w:val="Collegamentoipertestuale"/>
                <w:noProof/>
              </w:rPr>
              <w:t>2.</w:t>
            </w:r>
            <w:r>
              <w:rPr>
                <w:rFonts w:eastAsiaTheme="minorEastAsia"/>
                <w:noProof/>
                <w:lang w:eastAsia="it-IT"/>
              </w:rPr>
              <w:tab/>
            </w:r>
            <w:r w:rsidRPr="00672E5A">
              <w:rPr>
                <w:rStyle w:val="Collegamentoipertestuale"/>
                <w:noProof/>
              </w:rPr>
              <w:t>Le Opzioni</w:t>
            </w:r>
            <w:r>
              <w:rPr>
                <w:noProof/>
                <w:webHidden/>
              </w:rPr>
              <w:tab/>
            </w:r>
            <w:r>
              <w:rPr>
                <w:noProof/>
                <w:webHidden/>
              </w:rPr>
              <w:fldChar w:fldCharType="begin"/>
            </w:r>
            <w:r>
              <w:rPr>
                <w:noProof/>
                <w:webHidden/>
              </w:rPr>
              <w:instrText xml:space="preserve"> PAGEREF _Toc187795096 \h </w:instrText>
            </w:r>
            <w:r>
              <w:rPr>
                <w:noProof/>
                <w:webHidden/>
              </w:rPr>
            </w:r>
            <w:r>
              <w:rPr>
                <w:noProof/>
                <w:webHidden/>
              </w:rPr>
              <w:fldChar w:fldCharType="separate"/>
            </w:r>
            <w:r>
              <w:rPr>
                <w:noProof/>
                <w:webHidden/>
              </w:rPr>
              <w:t>4</w:t>
            </w:r>
            <w:r>
              <w:rPr>
                <w:noProof/>
                <w:webHidden/>
              </w:rPr>
              <w:fldChar w:fldCharType="end"/>
            </w:r>
          </w:hyperlink>
        </w:p>
        <w:p w14:paraId="1B045A42" w14:textId="49BAC390" w:rsidR="00B54FAF" w:rsidRDefault="00B54FAF">
          <w:pPr>
            <w:pStyle w:val="Sommario2"/>
            <w:tabs>
              <w:tab w:val="left" w:pos="960"/>
              <w:tab w:val="right" w:leader="dot" w:pos="9628"/>
            </w:tabs>
            <w:rPr>
              <w:rFonts w:eastAsiaTheme="minorEastAsia"/>
              <w:noProof/>
              <w:lang w:eastAsia="it-IT"/>
            </w:rPr>
          </w:pPr>
          <w:hyperlink w:anchor="_Toc187795097" w:history="1">
            <w:r w:rsidRPr="00672E5A">
              <w:rPr>
                <w:rStyle w:val="Collegamentoipertestuale"/>
                <w:noProof/>
              </w:rPr>
              <w:t>2.1</w:t>
            </w:r>
            <w:r>
              <w:rPr>
                <w:rFonts w:eastAsiaTheme="minorEastAsia"/>
                <w:noProof/>
                <w:lang w:eastAsia="it-IT"/>
              </w:rPr>
              <w:tab/>
            </w:r>
            <w:r w:rsidRPr="00672E5A">
              <w:rPr>
                <w:rStyle w:val="Collegamentoipertestuale"/>
                <w:noProof/>
              </w:rPr>
              <w:t>Comprare e vendere Opzioni</w:t>
            </w:r>
            <w:r>
              <w:rPr>
                <w:noProof/>
                <w:webHidden/>
              </w:rPr>
              <w:tab/>
            </w:r>
            <w:r>
              <w:rPr>
                <w:noProof/>
                <w:webHidden/>
              </w:rPr>
              <w:fldChar w:fldCharType="begin"/>
            </w:r>
            <w:r>
              <w:rPr>
                <w:noProof/>
                <w:webHidden/>
              </w:rPr>
              <w:instrText xml:space="preserve"> PAGEREF _Toc187795097 \h </w:instrText>
            </w:r>
            <w:r>
              <w:rPr>
                <w:noProof/>
                <w:webHidden/>
              </w:rPr>
            </w:r>
            <w:r>
              <w:rPr>
                <w:noProof/>
                <w:webHidden/>
              </w:rPr>
              <w:fldChar w:fldCharType="separate"/>
            </w:r>
            <w:r>
              <w:rPr>
                <w:noProof/>
                <w:webHidden/>
              </w:rPr>
              <w:t>6</w:t>
            </w:r>
            <w:r>
              <w:rPr>
                <w:noProof/>
                <w:webHidden/>
              </w:rPr>
              <w:fldChar w:fldCharType="end"/>
            </w:r>
          </w:hyperlink>
        </w:p>
        <w:p w14:paraId="110751C6" w14:textId="014ED32D" w:rsidR="00B54FAF" w:rsidRDefault="00B54FAF">
          <w:pPr>
            <w:pStyle w:val="Sommario2"/>
            <w:tabs>
              <w:tab w:val="left" w:pos="960"/>
              <w:tab w:val="right" w:leader="dot" w:pos="9628"/>
            </w:tabs>
            <w:rPr>
              <w:rFonts w:eastAsiaTheme="minorEastAsia"/>
              <w:noProof/>
              <w:lang w:eastAsia="it-IT"/>
            </w:rPr>
          </w:pPr>
          <w:hyperlink w:anchor="_Toc187795098" w:history="1">
            <w:r w:rsidRPr="00672E5A">
              <w:rPr>
                <w:rStyle w:val="Collegamentoipertestuale"/>
                <w:noProof/>
              </w:rPr>
              <w:t>2.2</w:t>
            </w:r>
            <w:r>
              <w:rPr>
                <w:rFonts w:eastAsiaTheme="minorEastAsia"/>
                <w:noProof/>
                <w:lang w:eastAsia="it-IT"/>
              </w:rPr>
              <w:tab/>
            </w:r>
            <w:r w:rsidRPr="00672E5A">
              <w:rPr>
                <w:rStyle w:val="Collegamentoipertestuale"/>
                <w:noProof/>
              </w:rPr>
              <w:t>Opzioni Sell</w:t>
            </w:r>
            <w:r>
              <w:rPr>
                <w:noProof/>
                <w:webHidden/>
              </w:rPr>
              <w:tab/>
            </w:r>
            <w:r>
              <w:rPr>
                <w:noProof/>
                <w:webHidden/>
              </w:rPr>
              <w:fldChar w:fldCharType="begin"/>
            </w:r>
            <w:r>
              <w:rPr>
                <w:noProof/>
                <w:webHidden/>
              </w:rPr>
              <w:instrText xml:space="preserve"> PAGEREF _Toc187795098 \h </w:instrText>
            </w:r>
            <w:r>
              <w:rPr>
                <w:noProof/>
                <w:webHidden/>
              </w:rPr>
            </w:r>
            <w:r>
              <w:rPr>
                <w:noProof/>
                <w:webHidden/>
              </w:rPr>
              <w:fldChar w:fldCharType="separate"/>
            </w:r>
            <w:r>
              <w:rPr>
                <w:noProof/>
                <w:webHidden/>
              </w:rPr>
              <w:t>9</w:t>
            </w:r>
            <w:r>
              <w:rPr>
                <w:noProof/>
                <w:webHidden/>
              </w:rPr>
              <w:fldChar w:fldCharType="end"/>
            </w:r>
          </w:hyperlink>
        </w:p>
        <w:p w14:paraId="60D8CA75" w14:textId="57A3E651" w:rsidR="00B54FAF" w:rsidRDefault="00B54FAF">
          <w:pPr>
            <w:pStyle w:val="Sommario2"/>
            <w:tabs>
              <w:tab w:val="left" w:pos="960"/>
              <w:tab w:val="right" w:leader="dot" w:pos="9628"/>
            </w:tabs>
            <w:rPr>
              <w:rFonts w:eastAsiaTheme="minorEastAsia"/>
              <w:noProof/>
              <w:lang w:eastAsia="it-IT"/>
            </w:rPr>
          </w:pPr>
          <w:hyperlink w:anchor="_Toc187795099" w:history="1">
            <w:r w:rsidRPr="00672E5A">
              <w:rPr>
                <w:rStyle w:val="Collegamentoipertestuale"/>
                <w:noProof/>
              </w:rPr>
              <w:t>2.3</w:t>
            </w:r>
            <w:r>
              <w:rPr>
                <w:rFonts w:eastAsiaTheme="minorEastAsia"/>
                <w:noProof/>
                <w:lang w:eastAsia="it-IT"/>
              </w:rPr>
              <w:tab/>
            </w:r>
            <w:r w:rsidRPr="00672E5A">
              <w:rPr>
                <w:rStyle w:val="Collegamentoipertestuale"/>
                <w:noProof/>
              </w:rPr>
              <w:t>Pricing delle opzioni</w:t>
            </w:r>
            <w:r>
              <w:rPr>
                <w:noProof/>
                <w:webHidden/>
              </w:rPr>
              <w:tab/>
            </w:r>
            <w:r>
              <w:rPr>
                <w:noProof/>
                <w:webHidden/>
              </w:rPr>
              <w:fldChar w:fldCharType="begin"/>
            </w:r>
            <w:r>
              <w:rPr>
                <w:noProof/>
                <w:webHidden/>
              </w:rPr>
              <w:instrText xml:space="preserve"> PAGEREF _Toc187795099 \h </w:instrText>
            </w:r>
            <w:r>
              <w:rPr>
                <w:noProof/>
                <w:webHidden/>
              </w:rPr>
            </w:r>
            <w:r>
              <w:rPr>
                <w:noProof/>
                <w:webHidden/>
              </w:rPr>
              <w:fldChar w:fldCharType="separate"/>
            </w:r>
            <w:r>
              <w:rPr>
                <w:noProof/>
                <w:webHidden/>
              </w:rPr>
              <w:t>9</w:t>
            </w:r>
            <w:r>
              <w:rPr>
                <w:noProof/>
                <w:webHidden/>
              </w:rPr>
              <w:fldChar w:fldCharType="end"/>
            </w:r>
          </w:hyperlink>
        </w:p>
        <w:p w14:paraId="77DBC6D0" w14:textId="61DD8445" w:rsidR="00B54FAF" w:rsidRDefault="00B54FAF">
          <w:pPr>
            <w:pStyle w:val="Sommario2"/>
            <w:tabs>
              <w:tab w:val="left" w:pos="960"/>
              <w:tab w:val="right" w:leader="dot" w:pos="9628"/>
            </w:tabs>
            <w:rPr>
              <w:rFonts w:eastAsiaTheme="minorEastAsia"/>
              <w:noProof/>
              <w:lang w:eastAsia="it-IT"/>
            </w:rPr>
          </w:pPr>
          <w:hyperlink w:anchor="_Toc187795100" w:history="1">
            <w:r w:rsidRPr="00672E5A">
              <w:rPr>
                <w:rStyle w:val="Collegamentoipertestuale"/>
                <w:noProof/>
              </w:rPr>
              <w:t>2.4</w:t>
            </w:r>
            <w:r>
              <w:rPr>
                <w:rFonts w:eastAsiaTheme="minorEastAsia"/>
                <w:noProof/>
                <w:lang w:eastAsia="it-IT"/>
              </w:rPr>
              <w:tab/>
            </w:r>
            <w:r w:rsidRPr="00672E5A">
              <w:rPr>
                <w:rStyle w:val="Collegamentoipertestuale"/>
                <w:noProof/>
              </w:rPr>
              <w:t>Strategie</w:t>
            </w:r>
            <w:r>
              <w:rPr>
                <w:noProof/>
                <w:webHidden/>
              </w:rPr>
              <w:tab/>
            </w:r>
            <w:r>
              <w:rPr>
                <w:noProof/>
                <w:webHidden/>
              </w:rPr>
              <w:fldChar w:fldCharType="begin"/>
            </w:r>
            <w:r>
              <w:rPr>
                <w:noProof/>
                <w:webHidden/>
              </w:rPr>
              <w:instrText xml:space="preserve"> PAGEREF _Toc187795100 \h </w:instrText>
            </w:r>
            <w:r>
              <w:rPr>
                <w:noProof/>
                <w:webHidden/>
              </w:rPr>
            </w:r>
            <w:r>
              <w:rPr>
                <w:noProof/>
                <w:webHidden/>
              </w:rPr>
              <w:fldChar w:fldCharType="separate"/>
            </w:r>
            <w:r>
              <w:rPr>
                <w:noProof/>
                <w:webHidden/>
              </w:rPr>
              <w:t>9</w:t>
            </w:r>
            <w:r>
              <w:rPr>
                <w:noProof/>
                <w:webHidden/>
              </w:rPr>
              <w:fldChar w:fldCharType="end"/>
            </w:r>
          </w:hyperlink>
        </w:p>
        <w:p w14:paraId="4567115F" w14:textId="3A4800FF" w:rsidR="00B54FAF" w:rsidRDefault="00B54FAF">
          <w:pPr>
            <w:pStyle w:val="Sommario1"/>
            <w:tabs>
              <w:tab w:val="left" w:pos="480"/>
              <w:tab w:val="right" w:leader="dot" w:pos="9628"/>
            </w:tabs>
            <w:rPr>
              <w:rFonts w:eastAsiaTheme="minorEastAsia"/>
              <w:noProof/>
              <w:lang w:eastAsia="it-IT"/>
            </w:rPr>
          </w:pPr>
          <w:hyperlink w:anchor="_Toc187795101" w:history="1">
            <w:r w:rsidRPr="00672E5A">
              <w:rPr>
                <w:rStyle w:val="Collegamentoipertestuale"/>
                <w:noProof/>
              </w:rPr>
              <w:t>3.</w:t>
            </w:r>
            <w:r>
              <w:rPr>
                <w:rFonts w:eastAsiaTheme="minorEastAsia"/>
                <w:noProof/>
                <w:lang w:eastAsia="it-IT"/>
              </w:rPr>
              <w:tab/>
            </w:r>
            <w:r w:rsidRPr="00672E5A">
              <w:rPr>
                <w:rStyle w:val="Collegamentoipertestuale"/>
                <w:noProof/>
              </w:rPr>
              <w:t>Analisi delle serie storiche secondo l’approccio moderno</w:t>
            </w:r>
            <w:r>
              <w:rPr>
                <w:noProof/>
                <w:webHidden/>
              </w:rPr>
              <w:tab/>
            </w:r>
            <w:r>
              <w:rPr>
                <w:noProof/>
                <w:webHidden/>
              </w:rPr>
              <w:fldChar w:fldCharType="begin"/>
            </w:r>
            <w:r>
              <w:rPr>
                <w:noProof/>
                <w:webHidden/>
              </w:rPr>
              <w:instrText xml:space="preserve"> PAGEREF _Toc187795101 \h </w:instrText>
            </w:r>
            <w:r>
              <w:rPr>
                <w:noProof/>
                <w:webHidden/>
              </w:rPr>
            </w:r>
            <w:r>
              <w:rPr>
                <w:noProof/>
                <w:webHidden/>
              </w:rPr>
              <w:fldChar w:fldCharType="separate"/>
            </w:r>
            <w:r>
              <w:rPr>
                <w:noProof/>
                <w:webHidden/>
              </w:rPr>
              <w:t>9</w:t>
            </w:r>
            <w:r>
              <w:rPr>
                <w:noProof/>
                <w:webHidden/>
              </w:rPr>
              <w:fldChar w:fldCharType="end"/>
            </w:r>
          </w:hyperlink>
        </w:p>
        <w:p w14:paraId="1E125470" w14:textId="1A5B1360" w:rsidR="00B54FAF" w:rsidRDefault="00B54FAF">
          <w:pPr>
            <w:pStyle w:val="Sommario2"/>
            <w:tabs>
              <w:tab w:val="right" w:leader="dot" w:pos="9628"/>
            </w:tabs>
            <w:rPr>
              <w:rFonts w:eastAsiaTheme="minorEastAsia"/>
              <w:noProof/>
              <w:lang w:eastAsia="it-IT"/>
            </w:rPr>
          </w:pPr>
          <w:hyperlink w:anchor="_Toc187795102" w:history="1">
            <w:r w:rsidRPr="00672E5A">
              <w:rPr>
                <w:rStyle w:val="Collegamentoipertestuale"/>
                <w:noProof/>
              </w:rPr>
              <w:t>3.1 Analisi delle Serie Temporali Cointegrate per il Trading Mean-Reverting</w:t>
            </w:r>
            <w:r>
              <w:rPr>
                <w:noProof/>
                <w:webHidden/>
              </w:rPr>
              <w:tab/>
            </w:r>
            <w:r>
              <w:rPr>
                <w:noProof/>
                <w:webHidden/>
              </w:rPr>
              <w:fldChar w:fldCharType="begin"/>
            </w:r>
            <w:r>
              <w:rPr>
                <w:noProof/>
                <w:webHidden/>
              </w:rPr>
              <w:instrText xml:space="preserve"> PAGEREF _Toc187795102 \h </w:instrText>
            </w:r>
            <w:r>
              <w:rPr>
                <w:noProof/>
                <w:webHidden/>
              </w:rPr>
            </w:r>
            <w:r>
              <w:rPr>
                <w:noProof/>
                <w:webHidden/>
              </w:rPr>
              <w:fldChar w:fldCharType="separate"/>
            </w:r>
            <w:r>
              <w:rPr>
                <w:noProof/>
                <w:webHidden/>
              </w:rPr>
              <w:t>10</w:t>
            </w:r>
            <w:r>
              <w:rPr>
                <w:noProof/>
                <w:webHidden/>
              </w:rPr>
              <w:fldChar w:fldCharType="end"/>
            </w:r>
          </w:hyperlink>
        </w:p>
        <w:p w14:paraId="403E07E2" w14:textId="6DAF26FC" w:rsidR="00B54FAF" w:rsidRDefault="00B54FAF">
          <w:pPr>
            <w:pStyle w:val="Sommario3"/>
            <w:tabs>
              <w:tab w:val="right" w:leader="dot" w:pos="9628"/>
            </w:tabs>
            <w:rPr>
              <w:rFonts w:eastAsiaTheme="minorEastAsia"/>
              <w:noProof/>
              <w:lang w:eastAsia="it-IT"/>
            </w:rPr>
          </w:pPr>
          <w:hyperlink w:anchor="_Toc187795103" w:history="1">
            <w:r w:rsidRPr="00672E5A">
              <w:rPr>
                <w:rStyle w:val="Collegamentoipertestuale"/>
                <w:noProof/>
              </w:rPr>
              <w:t>3.1.1 Cointegrazione</w:t>
            </w:r>
            <w:r>
              <w:rPr>
                <w:noProof/>
                <w:webHidden/>
              </w:rPr>
              <w:tab/>
            </w:r>
            <w:r>
              <w:rPr>
                <w:noProof/>
                <w:webHidden/>
              </w:rPr>
              <w:fldChar w:fldCharType="begin"/>
            </w:r>
            <w:r>
              <w:rPr>
                <w:noProof/>
                <w:webHidden/>
              </w:rPr>
              <w:instrText xml:space="preserve"> PAGEREF _Toc187795103 \h </w:instrText>
            </w:r>
            <w:r>
              <w:rPr>
                <w:noProof/>
                <w:webHidden/>
              </w:rPr>
            </w:r>
            <w:r>
              <w:rPr>
                <w:noProof/>
                <w:webHidden/>
              </w:rPr>
              <w:fldChar w:fldCharType="separate"/>
            </w:r>
            <w:r>
              <w:rPr>
                <w:noProof/>
                <w:webHidden/>
              </w:rPr>
              <w:t>10</w:t>
            </w:r>
            <w:r>
              <w:rPr>
                <w:noProof/>
                <w:webHidden/>
              </w:rPr>
              <w:fldChar w:fldCharType="end"/>
            </w:r>
          </w:hyperlink>
        </w:p>
        <w:p w14:paraId="26C12F9C" w14:textId="1B0475D3" w:rsidR="00B54FAF" w:rsidRDefault="00B54FAF">
          <w:pPr>
            <w:pStyle w:val="Sommario3"/>
            <w:tabs>
              <w:tab w:val="right" w:leader="dot" w:pos="9628"/>
            </w:tabs>
            <w:rPr>
              <w:rFonts w:eastAsiaTheme="minorEastAsia"/>
              <w:noProof/>
              <w:lang w:eastAsia="it-IT"/>
            </w:rPr>
          </w:pPr>
          <w:hyperlink w:anchor="_Toc187795104" w:history="1">
            <w:r w:rsidRPr="00672E5A">
              <w:rPr>
                <w:rStyle w:val="Collegamentoipertestuale"/>
                <w:noProof/>
              </w:rPr>
              <w:t>3.1.2 TEST DI DICKEY FULLER AUMENTATO E COINTEGRATO PER LA VALUTAZIONE DEL PAIRS TRADING</w:t>
            </w:r>
            <w:r>
              <w:rPr>
                <w:noProof/>
                <w:webHidden/>
              </w:rPr>
              <w:tab/>
            </w:r>
            <w:r>
              <w:rPr>
                <w:noProof/>
                <w:webHidden/>
              </w:rPr>
              <w:fldChar w:fldCharType="begin"/>
            </w:r>
            <w:r>
              <w:rPr>
                <w:noProof/>
                <w:webHidden/>
              </w:rPr>
              <w:instrText xml:space="preserve"> PAGEREF _Toc187795104 \h </w:instrText>
            </w:r>
            <w:r>
              <w:rPr>
                <w:noProof/>
                <w:webHidden/>
              </w:rPr>
            </w:r>
            <w:r>
              <w:rPr>
                <w:noProof/>
                <w:webHidden/>
              </w:rPr>
              <w:fldChar w:fldCharType="separate"/>
            </w:r>
            <w:r>
              <w:rPr>
                <w:noProof/>
                <w:webHidden/>
              </w:rPr>
              <w:t>11</w:t>
            </w:r>
            <w:r>
              <w:rPr>
                <w:noProof/>
                <w:webHidden/>
              </w:rPr>
              <w:fldChar w:fldCharType="end"/>
            </w:r>
          </w:hyperlink>
        </w:p>
        <w:p w14:paraId="5C4C4A96" w14:textId="01B88F49" w:rsidR="00B54FAF" w:rsidRDefault="00B54FAF">
          <w:pPr>
            <w:pStyle w:val="Sommario1"/>
            <w:tabs>
              <w:tab w:val="left" w:pos="480"/>
              <w:tab w:val="right" w:leader="dot" w:pos="9628"/>
            </w:tabs>
            <w:rPr>
              <w:rFonts w:eastAsiaTheme="minorEastAsia"/>
              <w:noProof/>
              <w:lang w:eastAsia="it-IT"/>
            </w:rPr>
          </w:pPr>
          <w:hyperlink w:anchor="_Toc187795105" w:history="1">
            <w:r w:rsidRPr="00672E5A">
              <w:rPr>
                <w:rStyle w:val="Collegamentoipertestuale"/>
                <w:noProof/>
              </w:rPr>
              <w:t>4.</w:t>
            </w:r>
            <w:r>
              <w:rPr>
                <w:rFonts w:eastAsiaTheme="minorEastAsia"/>
                <w:noProof/>
                <w:lang w:eastAsia="it-IT"/>
              </w:rPr>
              <w:tab/>
            </w:r>
            <w:r w:rsidRPr="00672E5A">
              <w:rPr>
                <w:rStyle w:val="Collegamentoipertestuale"/>
                <w:noProof/>
              </w:rPr>
              <w:t>Operatività con Opzioni</w:t>
            </w:r>
            <w:r>
              <w:rPr>
                <w:noProof/>
                <w:webHidden/>
              </w:rPr>
              <w:tab/>
            </w:r>
            <w:r>
              <w:rPr>
                <w:noProof/>
                <w:webHidden/>
              </w:rPr>
              <w:fldChar w:fldCharType="begin"/>
            </w:r>
            <w:r>
              <w:rPr>
                <w:noProof/>
                <w:webHidden/>
              </w:rPr>
              <w:instrText xml:space="preserve"> PAGEREF _Toc187795105 \h </w:instrText>
            </w:r>
            <w:r>
              <w:rPr>
                <w:noProof/>
                <w:webHidden/>
              </w:rPr>
            </w:r>
            <w:r>
              <w:rPr>
                <w:noProof/>
                <w:webHidden/>
              </w:rPr>
              <w:fldChar w:fldCharType="separate"/>
            </w:r>
            <w:r>
              <w:rPr>
                <w:noProof/>
                <w:webHidden/>
              </w:rPr>
              <w:t>15</w:t>
            </w:r>
            <w:r>
              <w:rPr>
                <w:noProof/>
                <w:webHidden/>
              </w:rPr>
              <w:fldChar w:fldCharType="end"/>
            </w:r>
          </w:hyperlink>
        </w:p>
        <w:p w14:paraId="75D6514D" w14:textId="51A56278" w:rsidR="00B54FAF" w:rsidRDefault="00B54FAF">
          <w:pPr>
            <w:pStyle w:val="Sommario2"/>
            <w:tabs>
              <w:tab w:val="left" w:pos="720"/>
              <w:tab w:val="right" w:leader="dot" w:pos="9628"/>
            </w:tabs>
            <w:rPr>
              <w:rFonts w:eastAsiaTheme="minorEastAsia"/>
              <w:noProof/>
              <w:lang w:eastAsia="it-IT"/>
            </w:rPr>
          </w:pPr>
          <w:hyperlink w:anchor="_Toc187795106" w:history="1">
            <w:r w:rsidRPr="00672E5A">
              <w:rPr>
                <w:rStyle w:val="Collegamentoipertestuale"/>
                <w:noProof/>
                <w:lang w:val="en-US"/>
              </w:rPr>
              <w:t>a.</w:t>
            </w:r>
            <w:r>
              <w:rPr>
                <w:rFonts w:eastAsiaTheme="minorEastAsia"/>
                <w:noProof/>
                <w:lang w:eastAsia="it-IT"/>
              </w:rPr>
              <w:tab/>
            </w:r>
            <w:r w:rsidRPr="00672E5A">
              <w:rPr>
                <w:rStyle w:val="Collegamentoipertestuale"/>
                <w:noProof/>
                <w:lang w:val="en-US"/>
              </w:rPr>
              <w:t>Clearing House, Broker e Conto a margine.</w:t>
            </w:r>
            <w:r>
              <w:rPr>
                <w:noProof/>
                <w:webHidden/>
              </w:rPr>
              <w:tab/>
            </w:r>
            <w:r>
              <w:rPr>
                <w:noProof/>
                <w:webHidden/>
              </w:rPr>
              <w:fldChar w:fldCharType="begin"/>
            </w:r>
            <w:r>
              <w:rPr>
                <w:noProof/>
                <w:webHidden/>
              </w:rPr>
              <w:instrText xml:space="preserve"> PAGEREF _Toc187795106 \h </w:instrText>
            </w:r>
            <w:r>
              <w:rPr>
                <w:noProof/>
                <w:webHidden/>
              </w:rPr>
            </w:r>
            <w:r>
              <w:rPr>
                <w:noProof/>
                <w:webHidden/>
              </w:rPr>
              <w:fldChar w:fldCharType="separate"/>
            </w:r>
            <w:r>
              <w:rPr>
                <w:noProof/>
                <w:webHidden/>
              </w:rPr>
              <w:t>15</w:t>
            </w:r>
            <w:r>
              <w:rPr>
                <w:noProof/>
                <w:webHidden/>
              </w:rPr>
              <w:fldChar w:fldCharType="end"/>
            </w:r>
          </w:hyperlink>
        </w:p>
        <w:p w14:paraId="39F9FDFF" w14:textId="2D507716" w:rsidR="00B54FAF" w:rsidRDefault="00B54FAF">
          <w:pPr>
            <w:pStyle w:val="Sommario2"/>
            <w:tabs>
              <w:tab w:val="left" w:pos="720"/>
              <w:tab w:val="right" w:leader="dot" w:pos="9628"/>
            </w:tabs>
            <w:rPr>
              <w:rFonts w:eastAsiaTheme="minorEastAsia"/>
              <w:noProof/>
              <w:lang w:eastAsia="it-IT"/>
            </w:rPr>
          </w:pPr>
          <w:hyperlink w:anchor="_Toc187795107" w:history="1">
            <w:r w:rsidRPr="00672E5A">
              <w:rPr>
                <w:rStyle w:val="Collegamentoipertestuale"/>
                <w:noProof/>
              </w:rPr>
              <w:t>b.</w:t>
            </w:r>
            <w:r>
              <w:rPr>
                <w:rFonts w:eastAsiaTheme="minorEastAsia"/>
                <w:noProof/>
                <w:lang w:eastAsia="it-IT"/>
              </w:rPr>
              <w:tab/>
            </w:r>
            <w:r w:rsidRPr="00672E5A">
              <w:rPr>
                <w:rStyle w:val="Collegamentoipertestuale"/>
                <w:noProof/>
              </w:rPr>
              <w:t>Option Chain</w:t>
            </w:r>
            <w:r>
              <w:rPr>
                <w:noProof/>
                <w:webHidden/>
              </w:rPr>
              <w:tab/>
            </w:r>
            <w:r>
              <w:rPr>
                <w:noProof/>
                <w:webHidden/>
              </w:rPr>
              <w:fldChar w:fldCharType="begin"/>
            </w:r>
            <w:r>
              <w:rPr>
                <w:noProof/>
                <w:webHidden/>
              </w:rPr>
              <w:instrText xml:space="preserve"> PAGEREF _Toc187795107 \h </w:instrText>
            </w:r>
            <w:r>
              <w:rPr>
                <w:noProof/>
                <w:webHidden/>
              </w:rPr>
            </w:r>
            <w:r>
              <w:rPr>
                <w:noProof/>
                <w:webHidden/>
              </w:rPr>
              <w:fldChar w:fldCharType="separate"/>
            </w:r>
            <w:r>
              <w:rPr>
                <w:noProof/>
                <w:webHidden/>
              </w:rPr>
              <w:t>17</w:t>
            </w:r>
            <w:r>
              <w:rPr>
                <w:noProof/>
                <w:webHidden/>
              </w:rPr>
              <w:fldChar w:fldCharType="end"/>
            </w:r>
          </w:hyperlink>
        </w:p>
        <w:p w14:paraId="4691DF67" w14:textId="028CDD5E" w:rsidR="00B54FAF" w:rsidRDefault="00B54FAF">
          <w:pPr>
            <w:pStyle w:val="Sommario3"/>
            <w:tabs>
              <w:tab w:val="left" w:pos="960"/>
              <w:tab w:val="right" w:leader="dot" w:pos="9628"/>
            </w:tabs>
            <w:rPr>
              <w:rFonts w:eastAsiaTheme="minorEastAsia"/>
              <w:noProof/>
              <w:lang w:eastAsia="it-IT"/>
            </w:rPr>
          </w:pPr>
          <w:hyperlink w:anchor="_Toc187795108" w:history="1">
            <w:r w:rsidRPr="00672E5A">
              <w:rPr>
                <w:rStyle w:val="Collegamentoipertestuale"/>
                <w:noProof/>
              </w:rPr>
              <w:t>i.</w:t>
            </w:r>
            <w:r>
              <w:rPr>
                <w:rFonts w:eastAsiaTheme="minorEastAsia"/>
                <w:noProof/>
                <w:lang w:eastAsia="it-IT"/>
              </w:rPr>
              <w:tab/>
            </w:r>
            <w:r w:rsidRPr="00672E5A">
              <w:rPr>
                <w:rStyle w:val="Collegamentoipertestuale"/>
                <w:noProof/>
              </w:rPr>
              <w:t>Ciaoo</w:t>
            </w:r>
            <w:r>
              <w:rPr>
                <w:noProof/>
                <w:webHidden/>
              </w:rPr>
              <w:tab/>
            </w:r>
            <w:r>
              <w:rPr>
                <w:noProof/>
                <w:webHidden/>
              </w:rPr>
              <w:fldChar w:fldCharType="begin"/>
            </w:r>
            <w:r>
              <w:rPr>
                <w:noProof/>
                <w:webHidden/>
              </w:rPr>
              <w:instrText xml:space="preserve"> PAGEREF _Toc187795108 \h </w:instrText>
            </w:r>
            <w:r>
              <w:rPr>
                <w:noProof/>
                <w:webHidden/>
              </w:rPr>
            </w:r>
            <w:r>
              <w:rPr>
                <w:noProof/>
                <w:webHidden/>
              </w:rPr>
              <w:fldChar w:fldCharType="separate"/>
            </w:r>
            <w:r>
              <w:rPr>
                <w:noProof/>
                <w:webHidden/>
              </w:rPr>
              <w:t>17</w:t>
            </w:r>
            <w:r>
              <w:rPr>
                <w:noProof/>
                <w:webHidden/>
              </w:rPr>
              <w:fldChar w:fldCharType="end"/>
            </w:r>
          </w:hyperlink>
        </w:p>
        <w:p w14:paraId="06DD33DB" w14:textId="711518FE" w:rsidR="00B54FAF" w:rsidRDefault="00B54FAF">
          <w:r>
            <w:rPr>
              <w:b/>
              <w:bCs/>
            </w:rPr>
            <w:fldChar w:fldCharType="end"/>
          </w:r>
        </w:p>
      </w:sdtContent>
    </w:sdt>
    <w:p w14:paraId="6BDD7D19" w14:textId="77777777" w:rsidR="00176C1F" w:rsidRDefault="00176C1F" w:rsidP="00176C1F"/>
    <w:p w14:paraId="002D5349" w14:textId="77777777" w:rsidR="00777683" w:rsidRDefault="00777683" w:rsidP="00176C1F"/>
    <w:p w14:paraId="246F935A" w14:textId="77777777" w:rsidR="00777683" w:rsidRDefault="00777683" w:rsidP="00176C1F"/>
    <w:p w14:paraId="7545716A" w14:textId="77777777" w:rsidR="00777683" w:rsidRDefault="00777683" w:rsidP="00176C1F"/>
    <w:p w14:paraId="0A731DB7" w14:textId="77777777" w:rsidR="00777683" w:rsidRDefault="00777683" w:rsidP="00176C1F"/>
    <w:p w14:paraId="4EC41880" w14:textId="77777777" w:rsidR="00B54FAF" w:rsidRDefault="00B54FAF" w:rsidP="00176C1F"/>
    <w:p w14:paraId="26546113" w14:textId="77777777" w:rsidR="00B54FAF" w:rsidRDefault="00B54FAF" w:rsidP="00176C1F"/>
    <w:p w14:paraId="50C2E7C1" w14:textId="77777777" w:rsidR="00B54FAF" w:rsidRDefault="00B54FAF" w:rsidP="00176C1F"/>
    <w:p w14:paraId="4B519E74" w14:textId="77777777" w:rsidR="00B54FAF" w:rsidRDefault="00B54FAF" w:rsidP="00176C1F"/>
    <w:p w14:paraId="1E5A200E" w14:textId="77777777" w:rsidR="00B54FAF" w:rsidRPr="00176C1F" w:rsidRDefault="00B54FAF" w:rsidP="00176C1F"/>
    <w:p w14:paraId="033149E6" w14:textId="4D7EC15C" w:rsidR="001877D0" w:rsidRPr="001877D0" w:rsidRDefault="00E13F66" w:rsidP="001877D0">
      <w:pPr>
        <w:pStyle w:val="Titolo1"/>
        <w:numPr>
          <w:ilvl w:val="0"/>
          <w:numId w:val="5"/>
        </w:numPr>
        <w:rPr>
          <w:rFonts w:hint="eastAsia"/>
        </w:rPr>
      </w:pPr>
      <w:bookmarkStart w:id="1" w:name="_Toc187792175"/>
      <w:bookmarkStart w:id="2" w:name="_Toc187795095"/>
      <w:r>
        <w:lastRenderedPageBreak/>
        <w:t>Introduzion</w:t>
      </w:r>
      <w:r w:rsidR="001877D0">
        <w:t>e</w:t>
      </w:r>
      <w:bookmarkEnd w:id="1"/>
      <w:bookmarkEnd w:id="2"/>
    </w:p>
    <w:p w14:paraId="7226B17D" w14:textId="2A37F231" w:rsidR="004E32BD" w:rsidRDefault="00500375" w:rsidP="005A76D1">
      <w:r>
        <w:t xml:space="preserve">Deve esserci stato un momento, </w:t>
      </w:r>
      <w:r w:rsidR="00C1640E">
        <w:t>durante lo</w:t>
      </w:r>
      <w:r w:rsidR="009247B3">
        <w:t xml:space="preserve"> </w:t>
      </w:r>
      <w:r w:rsidR="008B66EE">
        <w:t>sviluppo</w:t>
      </w:r>
      <w:r w:rsidR="009247B3">
        <w:t xml:space="preserve"> dell’</w:t>
      </w:r>
      <w:r w:rsidR="00C1640E">
        <w:t>umanità,</w:t>
      </w:r>
      <w:r>
        <w:t xml:space="preserve"> in </w:t>
      </w:r>
      <w:r w:rsidR="00B64632">
        <w:t xml:space="preserve">cui i nostri avi </w:t>
      </w:r>
      <w:r w:rsidR="008C5E2B">
        <w:t>si</w:t>
      </w:r>
      <w:r w:rsidR="00FA23ED">
        <w:t xml:space="preserve"> s</w:t>
      </w:r>
      <w:r w:rsidR="008C5E2B">
        <w:t>on</w:t>
      </w:r>
      <w:r w:rsidR="00FA23ED">
        <w:t>o accorti</w:t>
      </w:r>
      <w:r w:rsidR="005A76D1">
        <w:t xml:space="preserve"> che</w:t>
      </w:r>
      <w:r w:rsidR="00E55460">
        <w:t xml:space="preserve"> l’arduo compito di</w:t>
      </w:r>
      <w:r w:rsidR="002B0EA2">
        <w:t xml:space="preserve"> </w:t>
      </w:r>
      <w:r w:rsidR="00E55460">
        <w:t xml:space="preserve">sopravvivere </w:t>
      </w:r>
      <w:r w:rsidR="001E5D1C">
        <w:t>era più facile da raggiungere</w:t>
      </w:r>
      <w:r w:rsidR="00D47F36">
        <w:t xml:space="preserve"> in</w:t>
      </w:r>
      <w:r w:rsidR="00E55460">
        <w:t xml:space="preserve"> </w:t>
      </w:r>
      <w:r w:rsidR="00D47F36">
        <w:t>gruppo,</w:t>
      </w:r>
      <w:r w:rsidR="00E55460">
        <w:t xml:space="preserve"> </w:t>
      </w:r>
      <w:r w:rsidR="002B0EA2">
        <w:t xml:space="preserve">con altri </w:t>
      </w:r>
      <w:r w:rsidR="00D47F36">
        <w:t>membri</w:t>
      </w:r>
      <w:r w:rsidR="002B0EA2">
        <w:t xml:space="preserve"> </w:t>
      </w:r>
      <w:r w:rsidR="006C1E93">
        <w:t xml:space="preserve">della </w:t>
      </w:r>
      <w:r w:rsidR="00E55460">
        <w:t>propria</w:t>
      </w:r>
      <w:r w:rsidR="006C1E93">
        <w:t xml:space="preserve"> specie</w:t>
      </w:r>
      <w:r w:rsidR="008669E8">
        <w:t>. U</w:t>
      </w:r>
      <w:r w:rsidR="006C1E93">
        <w:t>no sviluppo</w:t>
      </w:r>
      <w:r w:rsidR="008669E8">
        <w:t xml:space="preserve"> sociale</w:t>
      </w:r>
      <w:r w:rsidR="006C1E93">
        <w:t xml:space="preserve"> </w:t>
      </w:r>
      <w:r w:rsidR="00981CA6">
        <w:t>basato su</w:t>
      </w:r>
      <w:r w:rsidR="006F287B">
        <w:t xml:space="preserve">lla </w:t>
      </w:r>
      <w:r w:rsidR="00D5316F">
        <w:t>gerarchia</w:t>
      </w:r>
      <w:r w:rsidR="006F287B">
        <w:t xml:space="preserve"> e </w:t>
      </w:r>
      <w:r w:rsidR="00314EAF">
        <w:t>su</w:t>
      </w:r>
      <w:r w:rsidR="006F287B">
        <w:t xml:space="preserve">ll’organizzazione </w:t>
      </w:r>
      <w:r w:rsidR="00314EAF">
        <w:t>in comunità d</w:t>
      </w:r>
      <w:r w:rsidR="00FA23ED">
        <w:t>alle</w:t>
      </w:r>
      <w:r w:rsidR="00314EAF">
        <w:t xml:space="preserve"> </w:t>
      </w:r>
      <w:r w:rsidR="00FA23ED">
        <w:t>s</w:t>
      </w:r>
      <w:r w:rsidR="00314EAF">
        <w:t>vari</w:t>
      </w:r>
      <w:r w:rsidR="00FA23ED">
        <w:t>ate</w:t>
      </w:r>
      <w:r w:rsidR="00314EAF">
        <w:t xml:space="preserve"> dimensioni</w:t>
      </w:r>
      <w:r w:rsidR="0092560B">
        <w:t xml:space="preserve"> è una caratteristica di molte specie animali</w:t>
      </w:r>
      <w:r w:rsidR="00FA7360">
        <w:t xml:space="preserve">, </w:t>
      </w:r>
      <w:r w:rsidR="00314EAF">
        <w:t>dal</w:t>
      </w:r>
      <w:r w:rsidR="00E244B1">
        <w:t xml:space="preserve">lo </w:t>
      </w:r>
      <w:r w:rsidR="00D5316F">
        <w:t>piccolo</w:t>
      </w:r>
      <w:r w:rsidR="00E244B1">
        <w:t xml:space="preserve"> </w:t>
      </w:r>
      <w:r w:rsidR="00314EAF">
        <w:t>branco di lupi al</w:t>
      </w:r>
      <w:r w:rsidR="00E244B1">
        <w:t xml:space="preserve"> sovraffollato formicaio</w:t>
      </w:r>
      <w:r w:rsidR="0092560B">
        <w:t>.</w:t>
      </w:r>
      <w:r w:rsidR="00650B39">
        <w:t xml:space="preserve"> </w:t>
      </w:r>
      <w:r w:rsidR="00FA23ED">
        <w:t>Eppure</w:t>
      </w:r>
      <w:r w:rsidR="00650B39">
        <w:t xml:space="preserve"> nell’uomo in modo particolare </w:t>
      </w:r>
      <w:r w:rsidR="0092560B">
        <w:t xml:space="preserve">sembra </w:t>
      </w:r>
      <w:r w:rsidR="00685294">
        <w:t>radicata un volont</w:t>
      </w:r>
      <w:r w:rsidR="0092560B">
        <w:t xml:space="preserve">à di comunicare, di connettersi </w:t>
      </w:r>
      <w:r w:rsidR="00FE19E0">
        <w:t>e interagire con i suoi simili</w:t>
      </w:r>
      <w:r w:rsidR="00500737">
        <w:t>. Che</w:t>
      </w:r>
      <w:r w:rsidR="00FE19E0">
        <w:t xml:space="preserve"> sia stata</w:t>
      </w:r>
      <w:r w:rsidR="00500737">
        <w:t xml:space="preserve"> questa la </w:t>
      </w:r>
      <w:r w:rsidR="00650B39">
        <w:t xml:space="preserve">determinante per uno sviluppo </w:t>
      </w:r>
      <w:r w:rsidR="00B41AD8">
        <w:t>omogeneo</w:t>
      </w:r>
      <w:r w:rsidR="00650B39">
        <w:t xml:space="preserve"> </w:t>
      </w:r>
      <w:r w:rsidR="00500737">
        <w:t>che non ha eguali nel mondo animale è una teoria</w:t>
      </w:r>
      <w:r w:rsidR="007D551B">
        <w:t xml:space="preserve"> con radici lontane</w:t>
      </w:r>
      <w:r w:rsidR="00500737">
        <w:t>.</w:t>
      </w:r>
    </w:p>
    <w:p w14:paraId="3F300EE7" w14:textId="77777777" w:rsidR="00512F94" w:rsidRPr="00512F94" w:rsidRDefault="00122114" w:rsidP="00512F94">
      <w:pPr>
        <w:spacing w:line="240" w:lineRule="auto"/>
        <w:jc w:val="center"/>
        <w:rPr>
          <w:i/>
          <w:iCs/>
        </w:rPr>
      </w:pPr>
      <w:r w:rsidRPr="00512F94">
        <w:rPr>
          <w:i/>
          <w:iCs/>
        </w:rPr>
        <w:t xml:space="preserve">&lt; Nessun uomo è un'isola, completo in se stesso; </w:t>
      </w:r>
    </w:p>
    <w:p w14:paraId="353C211C" w14:textId="13CD1F22" w:rsidR="00E21C5F" w:rsidRDefault="00122114" w:rsidP="00512F94">
      <w:pPr>
        <w:spacing w:line="240" w:lineRule="auto"/>
        <w:jc w:val="center"/>
        <w:rPr>
          <w:i/>
          <w:iCs/>
        </w:rPr>
      </w:pPr>
      <w:r w:rsidRPr="00512F94">
        <w:rPr>
          <w:i/>
          <w:iCs/>
        </w:rPr>
        <w:t>Ogni uomo è un pezzo del continente, una parte del tutto. &gt;</w:t>
      </w:r>
      <w:r w:rsidR="00E244B1" w:rsidRPr="00512F94">
        <w:rPr>
          <w:rStyle w:val="Rimandonotaapidipagina"/>
          <w:i/>
          <w:iCs/>
        </w:rPr>
        <w:footnoteReference w:id="2"/>
      </w:r>
    </w:p>
    <w:p w14:paraId="67B34065" w14:textId="77777777" w:rsidR="00624B32" w:rsidRDefault="00E50E21" w:rsidP="005A76D1">
      <w:r>
        <w:t>Un altro aspetto che</w:t>
      </w:r>
      <w:r w:rsidR="00512F94">
        <w:t xml:space="preserve"> contraddistingue</w:t>
      </w:r>
      <w:r w:rsidR="00E0021F">
        <w:t xml:space="preserve"> </w:t>
      </w:r>
      <w:r w:rsidR="00512F94">
        <w:t>la razza umana</w:t>
      </w:r>
      <w:r w:rsidR="00BE0C89">
        <w:t xml:space="preserve"> è l’affermarsi di un </w:t>
      </w:r>
      <w:r w:rsidR="00BE0C89" w:rsidRPr="00BE0C89">
        <w:rPr>
          <w:i/>
          <w:iCs/>
        </w:rPr>
        <w:t>Io economico</w:t>
      </w:r>
      <w:r w:rsidR="004E32BD">
        <w:t xml:space="preserve">. </w:t>
      </w:r>
      <w:r w:rsidR="00791BC2">
        <w:t>La modalità</w:t>
      </w:r>
      <w:r w:rsidR="004E32BD">
        <w:t xml:space="preserve"> in cui l’uomo si </w:t>
      </w:r>
      <w:r w:rsidR="00B41AD8">
        <w:t>prepone</w:t>
      </w:r>
      <w:r w:rsidR="004E32BD">
        <w:t xml:space="preserve"> in relazione all’altro, </w:t>
      </w:r>
      <w:r w:rsidR="00455F1E">
        <w:t>che</w:t>
      </w:r>
      <w:r w:rsidR="00791BC2">
        <w:t xml:space="preserve"> varia da individuo a individuo, si</w:t>
      </w:r>
      <w:r w:rsidR="00455F1E">
        <w:t xml:space="preserve"> </w:t>
      </w:r>
      <w:r w:rsidR="00DF276B">
        <w:t xml:space="preserve">manifesta </w:t>
      </w:r>
      <w:r w:rsidR="00791BC2">
        <w:t>in molteplici modi</w:t>
      </w:r>
      <w:r w:rsidR="00473F89">
        <w:t xml:space="preserve">: </w:t>
      </w:r>
      <w:r>
        <w:t>uno di questi</w:t>
      </w:r>
      <w:r w:rsidR="00A44B94">
        <w:t xml:space="preserve"> è </w:t>
      </w:r>
      <w:r w:rsidR="00DF276B">
        <w:t>l’atto di possedere</w:t>
      </w:r>
      <w:r w:rsidR="00A44B94">
        <w:t xml:space="preserve">. </w:t>
      </w:r>
      <w:r w:rsidR="004D1FE2">
        <w:t xml:space="preserve">L’uomo desidera ciò che non ha ed è geloso di ciò che possiede, </w:t>
      </w:r>
      <w:r w:rsidR="00491884">
        <w:t xml:space="preserve">una bramosia </w:t>
      </w:r>
      <w:r w:rsidR="00B22488">
        <w:t>per i beni</w:t>
      </w:r>
      <w:r w:rsidR="00A10541">
        <w:t xml:space="preserve"> rivali ed escludibili</w:t>
      </w:r>
      <w:r w:rsidR="00A10541">
        <w:rPr>
          <w:rStyle w:val="Rimandonotaapidipagina"/>
        </w:rPr>
        <w:footnoteReference w:id="3"/>
      </w:r>
      <w:r w:rsidR="001465D6">
        <w:t>.</w:t>
      </w:r>
      <w:r w:rsidR="00491884">
        <w:t xml:space="preserve"> </w:t>
      </w:r>
      <w:r w:rsidR="001465D6">
        <w:t>Il possesso è anche</w:t>
      </w:r>
      <w:r w:rsidR="00491884">
        <w:t xml:space="preserve"> </w:t>
      </w:r>
      <w:r w:rsidR="0079121F">
        <w:t>alla base dell’esercizio del potere</w:t>
      </w:r>
      <w:r w:rsidR="00455F1E">
        <w:t xml:space="preserve">. </w:t>
      </w:r>
      <w:r w:rsidR="00215192">
        <w:t xml:space="preserve">Nasce in questo modo </w:t>
      </w:r>
      <w:r w:rsidR="0079121F">
        <w:t>la</w:t>
      </w:r>
      <w:r w:rsidR="00215192">
        <w:t xml:space="preserve"> proprietà</w:t>
      </w:r>
      <w:r w:rsidR="00A847D6">
        <w:t xml:space="preserve"> privata.</w:t>
      </w:r>
    </w:p>
    <w:p w14:paraId="6BD4F750" w14:textId="3CB7A834" w:rsidR="004056FE" w:rsidRDefault="00E6424E" w:rsidP="005A76D1">
      <w:r>
        <w:t xml:space="preserve"> </w:t>
      </w:r>
      <w:r w:rsidR="00D35686">
        <w:t>La teoria dell’</w:t>
      </w:r>
      <w:r w:rsidR="00AB66EC">
        <w:t xml:space="preserve">uomo </w:t>
      </w:r>
      <w:r w:rsidR="0087055C">
        <w:t xml:space="preserve">economico </w:t>
      </w:r>
      <w:r w:rsidR="00B40178">
        <w:t>razionale</w:t>
      </w:r>
      <w:r w:rsidR="00074FFD">
        <w:t xml:space="preserve">, </w:t>
      </w:r>
      <w:r w:rsidR="000E61A9">
        <w:t>ovvero</w:t>
      </w:r>
      <w:r w:rsidR="00074FFD">
        <w:t xml:space="preserve"> Homo Economicous</w:t>
      </w:r>
      <w:r w:rsidR="00771880">
        <w:rPr>
          <w:rStyle w:val="Rimandonotaapidipagina"/>
        </w:rPr>
        <w:footnoteReference w:id="4"/>
      </w:r>
      <w:r w:rsidR="00D35686">
        <w:t xml:space="preserve">, </w:t>
      </w:r>
      <w:r w:rsidR="00AC4CCE">
        <w:t>trova</w:t>
      </w:r>
      <w:r w:rsidR="00AB66EC">
        <w:t xml:space="preserve"> </w:t>
      </w:r>
      <w:r w:rsidR="00AC4CCE">
        <w:t>nel</w:t>
      </w:r>
      <w:r w:rsidR="00AB66EC">
        <w:t>l’essere umano</w:t>
      </w:r>
      <w:r w:rsidR="0087055C">
        <w:t xml:space="preserve"> una </w:t>
      </w:r>
      <w:r w:rsidR="004056FE">
        <w:t xml:space="preserve">capacità di </w:t>
      </w:r>
      <w:r w:rsidR="0046056F">
        <w:t>desiderio potenzialmente</w:t>
      </w:r>
      <w:r w:rsidR="0087055C">
        <w:t xml:space="preserve"> illimitatà</w:t>
      </w:r>
      <w:r w:rsidR="00455F1E">
        <w:t xml:space="preserve"> di beni</w:t>
      </w:r>
      <w:r w:rsidR="004056FE">
        <w:t xml:space="preserve">, un intrinseco senso di incompletezza che non andremo ad </w:t>
      </w:r>
      <w:r w:rsidR="005F47A7">
        <w:t>indagare</w:t>
      </w:r>
      <w:r w:rsidR="004056FE">
        <w:t xml:space="preserve"> se non nella misura in cui l’uomo ha cercato di colmarlo con beni </w:t>
      </w:r>
      <w:r w:rsidR="00D075D0">
        <w:t>materiali e ricchezze</w:t>
      </w:r>
      <w:r w:rsidR="0073256D">
        <w:t xml:space="preserve">. Non ci interessa </w:t>
      </w:r>
      <w:r w:rsidR="003C681E">
        <w:t>l’oggetto del desiderio,</w:t>
      </w:r>
      <w:r w:rsidR="002F7595">
        <w:t xml:space="preserve"> </w:t>
      </w:r>
      <w:r w:rsidR="00673DD8">
        <w:t>ma il desiderio in quanto motrice dello sviluppo. L</w:t>
      </w:r>
      <w:r w:rsidR="004E78D3">
        <w:t xml:space="preserve">a conoscenze e le </w:t>
      </w:r>
      <w:r w:rsidR="006F34C0">
        <w:t>abilità tecnic</w:t>
      </w:r>
      <w:r w:rsidR="004E78D3">
        <w:t xml:space="preserve">he </w:t>
      </w:r>
      <w:r w:rsidR="006F34C0">
        <w:t>che</w:t>
      </w:r>
      <w:r w:rsidR="00673DD8">
        <w:t xml:space="preserve"> l’uomo ha ragiunto</w:t>
      </w:r>
      <w:r w:rsidR="006F34C0">
        <w:t xml:space="preserve"> nessun altra specie attualmente conosciuta sia anche lontanamente </w:t>
      </w:r>
      <w:r w:rsidR="00F50DD5">
        <w:t>paragonable.</w:t>
      </w:r>
      <w:r w:rsidR="006F34C0">
        <w:t xml:space="preserve"> </w:t>
      </w:r>
    </w:p>
    <w:p w14:paraId="399D294F" w14:textId="0D7A2CAE" w:rsidR="009457E0" w:rsidRDefault="00C34700" w:rsidP="009457E0">
      <w:r>
        <w:t>Il</w:t>
      </w:r>
      <w:r w:rsidR="00F50DD5">
        <w:t xml:space="preserve"> giro di boa arriverà con la </w:t>
      </w:r>
      <w:r w:rsidR="00D012F3">
        <w:t xml:space="preserve">presa di coscienza della </w:t>
      </w:r>
      <w:r w:rsidR="0041357B">
        <w:t>possibilità di trasferire e scambiare</w:t>
      </w:r>
      <w:r w:rsidR="00F54F13">
        <w:t xml:space="preserve"> </w:t>
      </w:r>
      <w:r>
        <w:t>questi</w:t>
      </w:r>
      <w:r w:rsidR="007921F4">
        <w:t xml:space="preserve"> beni e </w:t>
      </w:r>
      <w:r w:rsidR="0041357B">
        <w:t>i rispettivi d</w:t>
      </w:r>
      <w:r w:rsidR="007921F4">
        <w:t>iritti derivanti da</w:t>
      </w:r>
      <w:r w:rsidR="00F54F13">
        <w:t>l</w:t>
      </w:r>
      <w:r w:rsidR="007921F4">
        <w:t xml:space="preserve"> loro</w:t>
      </w:r>
      <w:r w:rsidR="00F54F13">
        <w:t xml:space="preserve"> possesso</w:t>
      </w:r>
      <w:r>
        <w:t>. Lo scambio commerciale prenderà il</w:t>
      </w:r>
      <w:r w:rsidR="007921F4">
        <w:t xml:space="preserve"> </w:t>
      </w:r>
      <w:r>
        <w:t>nome di</w:t>
      </w:r>
      <w:r w:rsidR="001D1332">
        <w:t xml:space="preserve"> baratto</w:t>
      </w:r>
      <w:r w:rsidR="007921F4">
        <w:t xml:space="preserve">. </w:t>
      </w:r>
      <w:r>
        <w:t>Come sappiamo</w:t>
      </w:r>
      <w:r w:rsidR="009457E0">
        <w:t xml:space="preserve"> l’eterogeneità dei beni, ci </w:t>
      </w:r>
      <w:r w:rsidR="004D0552">
        <w:t>porterà a</w:t>
      </w:r>
      <w:r w:rsidR="0041357B">
        <w:t>d applicarci p</w:t>
      </w:r>
      <w:r w:rsidR="004D0552">
        <w:t>e</w:t>
      </w:r>
      <w:r w:rsidR="0041357B">
        <w:t>r</w:t>
      </w:r>
      <w:r w:rsidR="009457E0">
        <w:t xml:space="preserve"> sviluppare nuove modalità. </w:t>
      </w:r>
      <w:r w:rsidR="00DC533E">
        <w:t xml:space="preserve">Come </w:t>
      </w:r>
      <w:r w:rsidR="0041357B">
        <w:t>spesso</w:t>
      </w:r>
      <w:r w:rsidR="00DC533E">
        <w:t xml:space="preserve"> nella storia dell’uomo, è una</w:t>
      </w:r>
      <w:r w:rsidR="009457E0">
        <w:t xml:space="preserve"> difficoltà </w:t>
      </w:r>
      <w:r>
        <w:t xml:space="preserve">ad essere </w:t>
      </w:r>
      <w:r w:rsidR="00DC533E">
        <w:t>il primo</w:t>
      </w:r>
      <w:r w:rsidR="009457E0">
        <w:t xml:space="preserve"> carburante dell’innovazione. </w:t>
      </w:r>
      <w:r w:rsidR="00DC533E">
        <w:t>Ed è così che n</w:t>
      </w:r>
      <w:r w:rsidR="009457E0">
        <w:t xml:space="preserve">ell’Antica Grecia </w:t>
      </w:r>
      <w:r w:rsidR="00907960">
        <w:t xml:space="preserve">abbiamo </w:t>
      </w:r>
      <w:r w:rsidR="0041357B">
        <w:t xml:space="preserve">una prima </w:t>
      </w:r>
      <w:r w:rsidR="00907960">
        <w:t>testimonianza</w:t>
      </w:r>
      <w:r w:rsidR="009457E0">
        <w:t xml:space="preserve"> di Erodoto</w:t>
      </w:r>
      <w:r w:rsidR="00EB6E3E">
        <w:rPr>
          <w:rStyle w:val="Rimandonotaapidipagina"/>
        </w:rPr>
        <w:footnoteReference w:id="5"/>
      </w:r>
      <w:r w:rsidR="009457E0">
        <w:t xml:space="preserve">, confermata poi da alcuni ritrovamenti sulle attuali coste occidentali turche, </w:t>
      </w:r>
      <w:r w:rsidR="00907960">
        <w:t xml:space="preserve">che </w:t>
      </w:r>
      <w:r w:rsidR="009457E0">
        <w:t>menziona</w:t>
      </w:r>
      <w:r w:rsidR="0041357B">
        <w:t xml:space="preserve"> </w:t>
      </w:r>
      <w:r w:rsidR="009457E0">
        <w:t xml:space="preserve">l’esistenza di monete in lega d’acciaio. </w:t>
      </w:r>
      <w:r w:rsidR="00F66482">
        <w:t xml:space="preserve">Sarà </w:t>
      </w:r>
      <w:r w:rsidR="005300DA">
        <w:t>la pr</w:t>
      </w:r>
      <w:r w:rsidR="0046271E">
        <w:t>ima testimonianza</w:t>
      </w:r>
      <w:r w:rsidR="009457E0">
        <w:t xml:space="preserve"> di un fenomeno umano che ha riscosso un successo che è sopravvissuto alla storia</w:t>
      </w:r>
      <w:r w:rsidR="0046271E">
        <w:t>, fino ad oggi</w:t>
      </w:r>
      <w:r w:rsidR="0041357B">
        <w:t>: la moneta.</w:t>
      </w:r>
      <w:r w:rsidR="009457E0">
        <w:t xml:space="preserve"> Non si parla solo dell</w:t>
      </w:r>
      <w:r w:rsidR="0046271E">
        <w:t xml:space="preserve">a funzionalità dello strumento moneta, </w:t>
      </w:r>
      <w:r w:rsidR="0046271E">
        <w:lastRenderedPageBreak/>
        <w:t>della possibilità</w:t>
      </w:r>
      <w:r w:rsidR="009457E0">
        <w:t xml:space="preserve"> di </w:t>
      </w:r>
      <w:r w:rsidR="0046271E">
        <w:t>concentrare</w:t>
      </w:r>
      <w:r w:rsidR="009457E0">
        <w:t xml:space="preserve"> la ricchezza in un oggetto, di poterla trasferire o misurare con una nuova unità di misura. </w:t>
      </w:r>
      <w:r w:rsidR="000E5129">
        <w:t xml:space="preserve">E’ la nascita </w:t>
      </w:r>
      <w:r w:rsidR="009457E0">
        <w:t xml:space="preserve">di un nuovo modo di relazionarsi, </w:t>
      </w:r>
      <w:r w:rsidR="000E5129">
        <w:t xml:space="preserve">che sarà </w:t>
      </w:r>
      <w:r w:rsidR="00D04939">
        <w:t>le fondamenta</w:t>
      </w:r>
      <w:r w:rsidR="000E5129">
        <w:t xml:space="preserve"> per un nuovo modello di</w:t>
      </w:r>
      <w:r w:rsidR="009457E0">
        <w:t xml:space="preserve"> società</w:t>
      </w:r>
      <w:r w:rsidR="009C11ED">
        <w:t xml:space="preserve"> basata sullo scambio</w:t>
      </w:r>
      <w:r w:rsidR="009457E0">
        <w:t>,</w:t>
      </w:r>
      <w:r w:rsidR="009C11ED">
        <w:t xml:space="preserve"> dove c’è qualcuno in deficit e qualcuno in surplus,</w:t>
      </w:r>
      <w:r w:rsidR="009457E0">
        <w:t xml:space="preserve"> dove qualcuno</w:t>
      </w:r>
      <w:r w:rsidR="00E10CFF">
        <w:t xml:space="preserve"> </w:t>
      </w:r>
      <w:r w:rsidR="000E5129">
        <w:t>dà</w:t>
      </w:r>
      <w:r w:rsidR="009457E0">
        <w:t xml:space="preserve"> e </w:t>
      </w:r>
      <w:r w:rsidR="009C11ED">
        <w:t xml:space="preserve">qualcuno </w:t>
      </w:r>
      <w:r w:rsidR="009457E0">
        <w:t>prende</w:t>
      </w:r>
      <w:r w:rsidR="000E5129">
        <w:t>.</w:t>
      </w:r>
    </w:p>
    <w:p w14:paraId="6E5B2793" w14:textId="0E4687F8" w:rsidR="005A76D1" w:rsidRDefault="007921F4" w:rsidP="005A76D1">
      <w:r>
        <w:t>Da quando ci</w:t>
      </w:r>
      <w:r w:rsidR="001D1332">
        <w:t xml:space="preserve"> si</w:t>
      </w:r>
      <w:r>
        <w:t xml:space="preserve"> può</w:t>
      </w:r>
      <w:r w:rsidR="001D1332">
        <w:t xml:space="preserve"> </w:t>
      </w:r>
      <w:r w:rsidR="000E5129">
        <w:t xml:space="preserve">liberamente </w:t>
      </w:r>
      <w:r w:rsidR="001D1332">
        <w:t>scambia</w:t>
      </w:r>
      <w:r>
        <w:t xml:space="preserve">re </w:t>
      </w:r>
      <w:r w:rsidR="001D1332">
        <w:t>la proprietà</w:t>
      </w:r>
      <w:r>
        <w:t xml:space="preserve"> di un bene</w:t>
      </w:r>
      <w:r w:rsidR="005F093F">
        <w:t xml:space="preserve">, l’uomo si è riscoperto un abile praticante nell’arte del mercanteggiare. </w:t>
      </w:r>
      <w:r w:rsidR="00712B94">
        <w:t>E’ una storia lunga che conosciamo</w:t>
      </w:r>
      <w:r w:rsidR="00E43782">
        <w:t xml:space="preserve"> molto</w:t>
      </w:r>
      <w:r w:rsidR="00712B94">
        <w:t xml:space="preserve"> bene,</w:t>
      </w:r>
      <w:r w:rsidR="00CF7A6F">
        <w:t xml:space="preserve"> una storia controversa fatta anche di potere mal gestito e sangue</w:t>
      </w:r>
      <w:r w:rsidR="00A3315E">
        <w:t xml:space="preserve">. Noi non ci addentreremo </w:t>
      </w:r>
      <w:r w:rsidR="006B1490">
        <w:t xml:space="preserve">oltre </w:t>
      </w:r>
      <w:r w:rsidR="00067C33">
        <w:t>in questi temi che sembrano così lontani da ciò che sembrava preannunciare il titolo di questo lavoro</w:t>
      </w:r>
      <w:r w:rsidR="00A3315E">
        <w:t>,</w:t>
      </w:r>
      <w:r w:rsidR="00240B2B">
        <w:t xml:space="preserve"> </w:t>
      </w:r>
      <w:r w:rsidR="00C2586E">
        <w:t>ma c’è tanto di umano nel valore che noi attribuiamo a un bene. Come vedremo l’atto di valutare e contrattare sono alla base degli scambi di opzioni. La fragilità e l’incoerenza, l’imperfezione e</w:t>
      </w:r>
      <w:r w:rsidR="00653FD6">
        <w:t xml:space="preserve"> il tempo, sono tutti elementi che ci influenzano nel valutare.</w:t>
      </w:r>
      <w:r w:rsidR="00A3315E">
        <w:t xml:space="preserve"> parleremo di </w:t>
      </w:r>
      <w:r w:rsidR="009545C7">
        <w:t>scelte. Scelte che demoliscono ogni parvenza di razionalità del</w:t>
      </w:r>
      <w:r w:rsidR="00B16CFF">
        <w:t xml:space="preserve">l’uomo, di come cambi il suo atteggiamento se è in surplus, o in deficit. Parleremo di quanto complesso e di quanto affondo si sia andati nei numeri per tradurre in input e output </w:t>
      </w:r>
      <w:r w:rsidR="004124C1">
        <w:t>decine di fattori. Vedremo quanto le macchine ci possano aiutare in questo, e dei linguaggio che l’uomo ha creato per parlare una lingua che la macchina possa comprendere, per imparare a diventare un tuttuno, a pensare insieme. Parleremo di</w:t>
      </w:r>
      <w:r w:rsidR="00B16CFF">
        <w:t xml:space="preserve"> </w:t>
      </w:r>
      <w:r w:rsidR="00A3315E">
        <w:t>diritti e di doveri</w:t>
      </w:r>
      <w:r w:rsidR="00B77130">
        <w:t>, di fiducia e di impegni</w:t>
      </w:r>
      <w:r w:rsidR="006B1490">
        <w:t>.</w:t>
      </w:r>
      <w:r w:rsidR="00240B2B" w:rsidRPr="00240B2B">
        <w:t xml:space="preserve"> </w:t>
      </w:r>
      <w:r w:rsidR="00240B2B">
        <w:t>Parleremo di relazioni, dove ognuno ha valore in funzione dell’altro, nel</w:t>
      </w:r>
      <w:r w:rsidR="00B77130">
        <w:t xml:space="preserve">l’elementare gioco </w:t>
      </w:r>
      <w:r w:rsidR="00240B2B">
        <w:t xml:space="preserve">della domanda e dell’offerta. </w:t>
      </w:r>
      <w:r w:rsidR="006B1490">
        <w:t xml:space="preserve"> Parleremo di fredde formule che regolano </w:t>
      </w:r>
      <w:r w:rsidR="00F412BB">
        <w:t>flussi</w:t>
      </w:r>
      <w:r w:rsidR="006B1490">
        <w:t xml:space="preserve"> silenzios</w:t>
      </w:r>
      <w:r w:rsidR="00F412BB">
        <w:t>i che</w:t>
      </w:r>
      <w:r w:rsidR="006B1490">
        <w:t xml:space="preserve"> </w:t>
      </w:r>
      <w:r w:rsidR="007039DE">
        <w:t xml:space="preserve">si </w:t>
      </w:r>
      <w:r w:rsidR="006B1490">
        <w:t xml:space="preserve">muovono </w:t>
      </w:r>
      <w:r w:rsidR="007039DE">
        <w:t>a ritmo di</w:t>
      </w:r>
      <w:r w:rsidR="006B1490">
        <w:t xml:space="preserve"> aspettative e paure</w:t>
      </w:r>
      <w:r w:rsidR="00F412BB">
        <w:t>,</w:t>
      </w:r>
      <w:r w:rsidR="006B1490">
        <w:t xml:space="preserve"> </w:t>
      </w:r>
      <w:r w:rsidR="00F412BB">
        <w:t>in</w:t>
      </w:r>
      <w:r w:rsidR="006B1490">
        <w:t xml:space="preserve"> un equilibrio fragile</w:t>
      </w:r>
      <w:r w:rsidR="00765CEE">
        <w:t xml:space="preserve"> che sostiene i mercati finanziari globali</w:t>
      </w:r>
      <w:r w:rsidR="006B1490">
        <w:t>.</w:t>
      </w:r>
      <w:r w:rsidR="00A3315E">
        <w:t xml:space="preserve"> </w:t>
      </w:r>
      <w:r w:rsidR="006B1490">
        <w:t>P</w:t>
      </w:r>
      <w:r w:rsidR="00A3315E">
        <w:t xml:space="preserve">arleremo del tempo, </w:t>
      </w:r>
      <w:r w:rsidR="007039DE">
        <w:t xml:space="preserve">a cui l’uomo nel disperato tentativo di possederlo ha cercato di dare un valore. </w:t>
      </w:r>
      <w:r w:rsidR="007E40A7">
        <w:t>In questo mondo in cui</w:t>
      </w:r>
      <w:r w:rsidR="005A76D1">
        <w:t xml:space="preserve"> il prezzo </w:t>
      </w:r>
      <w:r w:rsidR="007E40A7">
        <w:t xml:space="preserve">è diventato </w:t>
      </w:r>
      <w:r w:rsidR="005A76D1">
        <w:t>attributo universal</w:t>
      </w:r>
      <w:r w:rsidR="007E40A7">
        <w:t>e e imprescindibile di tutto</w:t>
      </w:r>
      <w:r w:rsidR="00765CEE">
        <w:t>,</w:t>
      </w:r>
      <w:r w:rsidR="007E40A7">
        <w:t xml:space="preserve"> tangibile </w:t>
      </w:r>
      <w:r w:rsidR="00765CEE">
        <w:t>o</w:t>
      </w:r>
      <w:r w:rsidR="007E40A7">
        <w:t xml:space="preserve"> intangibile</w:t>
      </w:r>
      <w:r w:rsidR="00765CEE">
        <w:t xml:space="preserve"> che sia</w:t>
      </w:r>
      <w:r w:rsidR="007E40A7">
        <w:t>, impareremo a districarci e a cogliere l</w:t>
      </w:r>
      <w:r w:rsidR="00A941F2">
        <w:t>e distorsioni che inevitabilmente la mente</w:t>
      </w:r>
      <w:r w:rsidR="00C93C78">
        <w:t xml:space="preserve"> umana</w:t>
      </w:r>
      <w:r w:rsidR="00B823ED">
        <w:t xml:space="preserve"> riesce ancora a manifestare,</w:t>
      </w:r>
      <w:r w:rsidR="00EA0B20">
        <w:t xml:space="preserve"> </w:t>
      </w:r>
      <w:r w:rsidR="00B823ED">
        <w:t xml:space="preserve">anche sotto la supervisione </w:t>
      </w:r>
      <w:r w:rsidR="00EA0B20">
        <w:t>frenetic</w:t>
      </w:r>
      <w:r w:rsidR="00B823ED">
        <w:t>a</w:t>
      </w:r>
      <w:r w:rsidR="00EA0B20">
        <w:t xml:space="preserve"> della tecnologia, </w:t>
      </w:r>
      <w:r w:rsidR="00C93C78">
        <w:t>ribellandosi a ogni modello che vuole stringerla e spiegarla.</w:t>
      </w:r>
    </w:p>
    <w:p w14:paraId="46BF6AF6" w14:textId="69B59BA0" w:rsidR="00490143" w:rsidRDefault="00C70E7F">
      <w:r>
        <w:t>Quest</w:t>
      </w:r>
      <w:r w:rsidR="007E34E8">
        <w:t>a tesi si pone l’arduo obiettivo di fornir</w:t>
      </w:r>
      <w:r w:rsidR="005414CD">
        <w:t xml:space="preserve">e competenze e strumenti di supporto </w:t>
      </w:r>
      <w:r w:rsidR="00E32471">
        <w:t>fondamentali per un approccio professionale al</w:t>
      </w:r>
      <w:r w:rsidR="005414CD">
        <w:t xml:space="preserve">l’operatività </w:t>
      </w:r>
      <w:r w:rsidR="00E32471">
        <w:t>con</w:t>
      </w:r>
      <w:r w:rsidR="005414CD">
        <w:t xml:space="preserve"> opzioni</w:t>
      </w:r>
      <w:r w:rsidR="00E32471">
        <w:t xml:space="preserve"> </w:t>
      </w:r>
      <w:r w:rsidR="00A0116B">
        <w:t>a</w:t>
      </w:r>
      <w:r w:rsidR="00E32471">
        <w:t xml:space="preserve"> finalità speculativ</w:t>
      </w:r>
      <w:r w:rsidR="00A0116B">
        <w:t>a</w:t>
      </w:r>
      <w:r w:rsidR="00E32471">
        <w:t xml:space="preserve">. </w:t>
      </w:r>
      <w:r w:rsidR="0047553E">
        <w:t xml:space="preserve">Partiremo dalle nozioni teoriche </w:t>
      </w:r>
      <w:r w:rsidR="00A5050C">
        <w:t xml:space="preserve">che sono </w:t>
      </w:r>
      <w:r w:rsidR="00A0116B">
        <w:t>al</w:t>
      </w:r>
      <w:r w:rsidR="00A5050C">
        <w:t xml:space="preserve">le basi </w:t>
      </w:r>
      <w:r w:rsidR="00A0116B">
        <w:t>degli strumenti derivati</w:t>
      </w:r>
      <w:r w:rsidR="00A5050C">
        <w:t xml:space="preserve">, fino ad entrare in dettagli spesso trascurati in ambito accademico che sono pane quotidiano per chi </w:t>
      </w:r>
      <w:r w:rsidR="00E742D1">
        <w:t>opera attivamente sui mercati.</w:t>
      </w:r>
      <w:r w:rsidR="000E2248">
        <w:t xml:space="preserve"> </w:t>
      </w:r>
      <w:r w:rsidR="000E2248">
        <w:rPr>
          <w:rFonts w:eastAsiaTheme="minorEastAsia"/>
        </w:rPr>
        <w:t>L</w:t>
      </w:r>
      <w:r w:rsidR="00B147CE">
        <w:rPr>
          <w:rFonts w:eastAsiaTheme="minorEastAsia"/>
        </w:rPr>
        <w:t xml:space="preserve">a ricerca di un modello che potessero stabilire con precisione il prezzo di un’opzione è fonte di dibattito tra accademici e operatori del settore ormai da decenni. Il premio nobel per l’economia del 1997, vinto da Robert C. Merton, Myron S. Scholes, ideatori insieme a Fisher Black del modello per la valutazioni degli strumenti derivati Black-Scholes-Merton, segna una svolta. Un modello che continua a essere un paradigma assoluto per gli addetti ai lavori anche oggi, a 30 anni di distanza.  </w:t>
      </w:r>
      <w:r w:rsidR="00E742D1">
        <w:t xml:space="preserve">Cercheremo di mettere in pratica le varie strategie </w:t>
      </w:r>
      <w:r w:rsidR="000E2248">
        <w:t xml:space="preserve">e modelli complessi </w:t>
      </w:r>
      <w:r w:rsidR="00E742D1">
        <w:t xml:space="preserve">che ho avuto modo di apprendere </w:t>
      </w:r>
      <w:r w:rsidR="00F757D6">
        <w:t xml:space="preserve">sia </w:t>
      </w:r>
      <w:r w:rsidR="00A24B62">
        <w:t>durante il mio percorso di studi,</w:t>
      </w:r>
      <w:r w:rsidR="00F757D6">
        <w:t xml:space="preserve"> che grazie a un approfondimento costante che ha fatto dei mercati la mia passione</w:t>
      </w:r>
      <w:r w:rsidR="00B440CD">
        <w:t xml:space="preserve"> e la mia quotidianità</w:t>
      </w:r>
      <w:r w:rsidR="00F757D6">
        <w:t>. Lo sforzo</w:t>
      </w:r>
      <w:r w:rsidR="00A24B62">
        <w:t xml:space="preserve"> </w:t>
      </w:r>
      <w:r w:rsidR="00B440CD">
        <w:t>avrà i</w:t>
      </w:r>
      <w:r w:rsidR="00A24B62">
        <w:t>l fine di render</w:t>
      </w:r>
      <w:r w:rsidR="00B440CD">
        <w:t>ci</w:t>
      </w:r>
      <w:r w:rsidR="00A24B62">
        <w:t xml:space="preserve"> operativi. A questo fine </w:t>
      </w:r>
      <w:r w:rsidR="00A24B62">
        <w:lastRenderedPageBreak/>
        <w:t xml:space="preserve">useremo alcuni strumenti </w:t>
      </w:r>
      <w:r w:rsidR="0021305C">
        <w:t xml:space="preserve">che stanno segnando lo sviluppo alla frontiera, ma anche formule </w:t>
      </w:r>
      <w:r w:rsidR="00BE3D17">
        <w:t xml:space="preserve">di premi Nobel </w:t>
      </w:r>
      <w:r w:rsidR="0021305C">
        <w:t xml:space="preserve">che </w:t>
      </w:r>
      <w:r w:rsidR="00DC5536">
        <w:t>restano pietre miliari dell’arte del pricing</w:t>
      </w:r>
      <w:r w:rsidR="00A24B62">
        <w:t>,</w:t>
      </w:r>
      <w:r w:rsidR="00862156">
        <w:t>.</w:t>
      </w:r>
      <w:r w:rsidR="00300700">
        <w:t xml:space="preserve"> </w:t>
      </w:r>
      <w:r w:rsidR="00862156">
        <w:t>O</w:t>
      </w:r>
      <w:r w:rsidR="00300700">
        <w:t>gni passo verrà tradotto in codice</w:t>
      </w:r>
      <w:r w:rsidR="00241715">
        <w:t>,</w:t>
      </w:r>
      <w:r w:rsidR="00300700">
        <w:t xml:space="preserve"> in modo da avere una parziale automazione</w:t>
      </w:r>
      <w:r w:rsidR="00407214">
        <w:t xml:space="preserve"> dei processi</w:t>
      </w:r>
      <w:r w:rsidR="00300700">
        <w:t xml:space="preserve"> che ci permetta di apprendere velocemente le informazioni utili al</w:t>
      </w:r>
      <w:r w:rsidR="00407214">
        <w:t>la definizione di una strategia</w:t>
      </w:r>
      <w:r w:rsidR="00300700">
        <w:t xml:space="preserve">. </w:t>
      </w:r>
      <w:r w:rsidR="00EF59A3">
        <w:t>La costruzione di questi codici dalla base ci permetterà di fissare concetti e relazioni tra le variabili che sarebbero stati impossibili da cogliere</w:t>
      </w:r>
      <w:r w:rsidR="00E742D1">
        <w:t xml:space="preserve"> </w:t>
      </w:r>
      <w:r w:rsidR="00B1353F">
        <w:t>senza implementazioni matematiche.</w:t>
      </w:r>
    </w:p>
    <w:p w14:paraId="1CC07299" w14:textId="177C7853" w:rsidR="00DC5536" w:rsidRDefault="00DC5536">
      <w:r>
        <w:t xml:space="preserve">Chiunque scaricando un notebook </w:t>
      </w:r>
      <w:r w:rsidR="00BE3D17">
        <w:t xml:space="preserve">potrà replicare i codici, avere </w:t>
      </w:r>
      <w:r w:rsidR="00862156">
        <w:t xml:space="preserve">informazioni preziose e layout grafici che permetteranno </w:t>
      </w:r>
      <w:r w:rsidR="00A92792">
        <w:t xml:space="preserve">di prendere decisioni consapevoli sui mercati. </w:t>
      </w:r>
      <w:r w:rsidR="00C36DFA">
        <w:t xml:space="preserve">Allegata alla </w:t>
      </w:r>
      <w:r w:rsidR="0067324D">
        <w:t xml:space="preserve">tesi ci saranno gli script e gli Expert Advisor, cioè </w:t>
      </w:r>
      <w:r w:rsidR="00D779BE">
        <w:t>bot che lavorano costantemente sul mercato anche senza la presenza di operatori</w:t>
      </w:r>
      <w:r w:rsidR="00EF3B18">
        <w:t xml:space="preserve">. </w:t>
      </w:r>
      <w:r w:rsidR="008D7945">
        <w:t>Per tutto ciò noi faremo affidamento a MetaTrader, un software di proprietà di Metaquotes</w:t>
      </w:r>
      <w:r w:rsidR="00E31D56">
        <w:t>, che con un linguaggio basato in C++ chiamato MQL5</w:t>
      </w:r>
      <w:r w:rsidR="00FB3D3B">
        <w:t>. Grazie alla potenza di calcolo di alcuni server differiti riusciremo a fare backtest su milioni di tick, studiando gli output in funzione di infinite combinazioni degli input</w:t>
      </w:r>
      <w:r w:rsidR="0084115C">
        <w:t>.</w:t>
      </w:r>
      <w:r w:rsidR="008133B4">
        <w:t xml:space="preserve"> </w:t>
      </w:r>
      <w:r w:rsidR="009F03D6">
        <w:t xml:space="preserve">Tutto questo con estrema semplicità, rendendo accessibile a chiunque abbia una formazione anche base sugli strumenti derivati, </w:t>
      </w:r>
      <w:r w:rsidR="00AC7D3B">
        <w:t>degli strumenti che permettano di controllare davver</w:t>
      </w:r>
    </w:p>
    <w:p w14:paraId="16EE2C83" w14:textId="119517FC" w:rsidR="00EF3B18" w:rsidRDefault="005F0BE3">
      <w:r w:rsidRPr="005F0BE3">
        <w:t>Il contenuto di quest</w:t>
      </w:r>
      <w:r>
        <w:t>a tes</w:t>
      </w:r>
      <w:r w:rsidR="00AC7D3B">
        <w:t xml:space="preserve">i è indirizzato </w:t>
      </w:r>
      <w:r w:rsidR="008C1C0E">
        <w:t>a operatori, studenti o esperti del settore,</w:t>
      </w:r>
      <w:r>
        <w:t xml:space="preserve"> </w:t>
      </w:r>
      <w:r w:rsidRPr="005F0BE3">
        <w:t>non costituisce una sollecitazione al pubblico risparmio o un'offerta, né una raccomandazione all'acquisto o alla vendita di </w:t>
      </w:r>
      <w:r w:rsidR="009F03D6">
        <w:t xml:space="preserve">strumenti finanziari, </w:t>
      </w:r>
      <w:r w:rsidR="009F03D6" w:rsidRPr="009F03D6">
        <w:t xml:space="preserve">L'utilizzo dei dati e delle informazioni contenuti </w:t>
      </w:r>
      <w:r w:rsidR="008C1C0E">
        <w:t>nella tesi</w:t>
      </w:r>
      <w:r w:rsidR="009F03D6" w:rsidRPr="009F03D6">
        <w:t xml:space="preserve"> come supporto di scelte di operazioni d'investimento personale è a completo rischio </w:t>
      </w:r>
      <w:r w:rsidR="0059035F">
        <w:t xml:space="preserve">del lettore. </w:t>
      </w:r>
    </w:p>
    <w:p w14:paraId="69F8D0DF" w14:textId="56495A0A" w:rsidR="0059035F" w:rsidRDefault="0059035F">
      <w:r>
        <w:t>Iniziamo insieme questo viaggio al centro delle opzioni, e vi assicuro che potrà essere sorprendente.</w:t>
      </w:r>
    </w:p>
    <w:p w14:paraId="73156E45" w14:textId="77777777" w:rsidR="00B1353F" w:rsidRDefault="00B1353F"/>
    <w:p w14:paraId="2706FE86" w14:textId="77777777" w:rsidR="00B1353F" w:rsidRPr="000E2248" w:rsidRDefault="00B1353F">
      <w:pPr>
        <w:rPr>
          <w:rFonts w:eastAsiaTheme="minorEastAsia"/>
        </w:rPr>
      </w:pPr>
    </w:p>
    <w:p w14:paraId="52CBC18D" w14:textId="77777777" w:rsidR="00490143" w:rsidRDefault="00490143"/>
    <w:p w14:paraId="7273F4B6" w14:textId="77777777" w:rsidR="00490143" w:rsidRDefault="00490143"/>
    <w:p w14:paraId="75E2EDD4" w14:textId="77777777" w:rsidR="00490143" w:rsidRDefault="00490143"/>
    <w:p w14:paraId="0909CF8C" w14:textId="77777777" w:rsidR="00490143" w:rsidRDefault="00490143"/>
    <w:p w14:paraId="3EE40414" w14:textId="77777777" w:rsidR="00490143" w:rsidRDefault="00490143"/>
    <w:p w14:paraId="7B1B57F9" w14:textId="77777777" w:rsidR="00490143" w:rsidRDefault="00490143"/>
    <w:p w14:paraId="3AC08F6E" w14:textId="77777777" w:rsidR="00631207" w:rsidRDefault="00631207"/>
    <w:p w14:paraId="47F317A6" w14:textId="77777777" w:rsidR="00631207" w:rsidRDefault="00631207"/>
    <w:p w14:paraId="3109F4CE" w14:textId="77777777" w:rsidR="00631207" w:rsidRDefault="00631207"/>
    <w:p w14:paraId="5CB1FEEF" w14:textId="77777777" w:rsidR="00631207" w:rsidRDefault="00631207"/>
    <w:p w14:paraId="445727BB" w14:textId="77777777" w:rsidR="004069BC" w:rsidRDefault="004069BC"/>
    <w:p w14:paraId="6159F369" w14:textId="31A561F5" w:rsidR="00631207" w:rsidRDefault="001877D0" w:rsidP="001877D0">
      <w:pPr>
        <w:pStyle w:val="Titolo1"/>
        <w:numPr>
          <w:ilvl w:val="0"/>
          <w:numId w:val="5"/>
        </w:numPr>
        <w:rPr>
          <w:rFonts w:hint="eastAsia"/>
        </w:rPr>
      </w:pPr>
      <w:bookmarkStart w:id="3" w:name="_Toc187792176"/>
      <w:bookmarkStart w:id="4" w:name="_Toc187795096"/>
      <w:r>
        <w:t>Le Opzioni</w:t>
      </w:r>
      <w:bookmarkEnd w:id="3"/>
      <w:bookmarkEnd w:id="4"/>
    </w:p>
    <w:p w14:paraId="0DB66358" w14:textId="1C4A3AE2" w:rsidR="00C0360F" w:rsidRDefault="00C0360F" w:rsidP="00C0360F">
      <w:r>
        <w:t xml:space="preserve">La </w:t>
      </w:r>
      <w:r w:rsidR="00443570">
        <w:t>fonte</w:t>
      </w:r>
      <w:r w:rsidR="001C3DF8">
        <w:t xml:space="preserve"> più antica</w:t>
      </w:r>
      <w:r w:rsidR="00E30A57">
        <w:t xml:space="preserve"> che menziona</w:t>
      </w:r>
      <w:r w:rsidR="00443570">
        <w:t xml:space="preserve"> </w:t>
      </w:r>
      <w:r>
        <w:t xml:space="preserve">un </w:t>
      </w:r>
      <w:r w:rsidR="00252AAE">
        <w:t>contratto stipulato</w:t>
      </w:r>
      <w:r>
        <w:t xml:space="preserve"> </w:t>
      </w:r>
      <w:r w:rsidR="00443570">
        <w:t>tra</w:t>
      </w:r>
      <w:r w:rsidR="007A766C">
        <w:t xml:space="preserve"> due</w:t>
      </w:r>
      <w:r w:rsidR="00443570">
        <w:t xml:space="preserve"> controparti</w:t>
      </w:r>
      <w:r w:rsidR="00571BA2">
        <w:t xml:space="preserve"> con modalità</w:t>
      </w:r>
      <w:r w:rsidR="00443570">
        <w:t xml:space="preserve"> </w:t>
      </w:r>
      <w:r w:rsidR="00412633">
        <w:t>molto simili a quelle dei contratti che oggi chiamiamo opzioni</w:t>
      </w:r>
      <w:r w:rsidR="007A766C">
        <w:t xml:space="preserve"> è del XXXX a.C</w:t>
      </w:r>
      <w:r w:rsidR="00571BA2">
        <w:t>.</w:t>
      </w:r>
      <w:r>
        <w:t xml:space="preserve"> </w:t>
      </w:r>
      <w:r w:rsidR="00571BA2">
        <w:t>N</w:t>
      </w:r>
      <w:r w:rsidR="003A5467">
        <w:t>e parla Aristotele. N</w:t>
      </w:r>
      <w:r w:rsidR="00571BA2">
        <w:t>el</w:t>
      </w:r>
      <w:r>
        <w:t xml:space="preserve">la </w:t>
      </w:r>
      <w:r w:rsidRPr="00367266">
        <w:rPr>
          <w:i/>
          <w:iCs/>
        </w:rPr>
        <w:t>Politica</w:t>
      </w:r>
      <w:r>
        <w:rPr>
          <w:i/>
          <w:iCs/>
        </w:rPr>
        <w:t xml:space="preserve"> </w:t>
      </w:r>
      <w:r>
        <w:t>c</w:t>
      </w:r>
      <w:r w:rsidR="00521DB3">
        <w:t>’è un passo c</w:t>
      </w:r>
      <w:r>
        <w:t xml:space="preserve">onosciuto come </w:t>
      </w:r>
      <w:r w:rsidR="00C6103D" w:rsidRPr="004E4B7A">
        <w:rPr>
          <w:i/>
          <w:iCs/>
        </w:rPr>
        <w:t>Aneddoto</w:t>
      </w:r>
      <w:r w:rsidRPr="004E4B7A">
        <w:rPr>
          <w:i/>
          <w:iCs/>
        </w:rPr>
        <w:t xml:space="preserve"> dei frantoi di Talete</w:t>
      </w:r>
      <w:r>
        <w:t xml:space="preserve">. </w:t>
      </w:r>
      <w:r w:rsidR="0052756C">
        <w:t>I</w:t>
      </w:r>
      <w:r w:rsidR="00C6103D">
        <w:t>l</w:t>
      </w:r>
      <w:r>
        <w:t xml:space="preserve"> protagonista </w:t>
      </w:r>
      <w:r w:rsidR="0052756C">
        <w:t xml:space="preserve">è il </w:t>
      </w:r>
      <w:r>
        <w:t>filosofo e matematico Talete di Mileno</w:t>
      </w:r>
      <w:r w:rsidRPr="007D5E4C">
        <w:t xml:space="preserve">, </w:t>
      </w:r>
      <w:r>
        <w:t xml:space="preserve">che </w:t>
      </w:r>
      <w:r w:rsidRPr="007D5E4C">
        <w:t>grazie alle sue conoscenze astronomiche</w:t>
      </w:r>
      <w:r w:rsidR="00CA469F">
        <w:t xml:space="preserve"> </w:t>
      </w:r>
      <w:r w:rsidR="00F45464">
        <w:t>venne a</w:t>
      </w:r>
      <w:r w:rsidR="00C6103D">
        <w:t xml:space="preserve"> credere che </w:t>
      </w:r>
      <w:r w:rsidR="00F45464">
        <w:t xml:space="preserve">l’anno successivo </w:t>
      </w:r>
      <w:r w:rsidR="00014A4C">
        <w:t xml:space="preserve">il raccolto di olive sarebbe stato molto abbondante. Mileno </w:t>
      </w:r>
      <w:r w:rsidR="00C6103D">
        <w:t xml:space="preserve">veniva da </w:t>
      </w:r>
      <w:r>
        <w:t xml:space="preserve">una carestia lunga anni </w:t>
      </w:r>
      <w:r w:rsidR="003461A8">
        <w:t xml:space="preserve">che </w:t>
      </w:r>
      <w:r>
        <w:t>aveva portato a pochi denari i prezzi d</w:t>
      </w:r>
      <w:r w:rsidR="003461A8">
        <w:t>i locazione d</w:t>
      </w:r>
      <w:r>
        <w:t>ei terreni.</w:t>
      </w:r>
      <w:r w:rsidR="00014A4C">
        <w:t xml:space="preserve"> Così</w:t>
      </w:r>
      <w:r w:rsidRPr="007D5E4C">
        <w:t xml:space="preserve"> Talete, </w:t>
      </w:r>
      <w:r w:rsidR="009B556E">
        <w:t>durante l’</w:t>
      </w:r>
      <w:r w:rsidRPr="007D5E4C">
        <w:t xml:space="preserve">inverno, avrebbe </w:t>
      </w:r>
      <w:r>
        <w:t>usato u</w:t>
      </w:r>
      <w:r w:rsidRPr="007D5E4C">
        <w:t xml:space="preserve">na piccola somma di denaro </w:t>
      </w:r>
      <w:r>
        <w:t xml:space="preserve">per </w:t>
      </w:r>
      <w:r w:rsidR="00162AD3">
        <w:t>affittare a lungo termine</w:t>
      </w:r>
      <w:r>
        <w:t xml:space="preserve"> </w:t>
      </w:r>
      <w:r w:rsidRPr="007D5E4C">
        <w:t xml:space="preserve">tutti i frantoi di Mileto e della vicina isola di Chio. </w:t>
      </w:r>
      <w:r>
        <w:t>Con l’avvento della bella stagione le previsioni del matematico si rivelarono esatte,</w:t>
      </w:r>
      <w:r w:rsidR="008C3C52">
        <w:t xml:space="preserve"> </w:t>
      </w:r>
      <w:r w:rsidR="004F0BB2">
        <w:t xml:space="preserve">e </w:t>
      </w:r>
      <w:r w:rsidR="008C3C52">
        <w:t>dall’abbondante raccolto</w:t>
      </w:r>
      <w:r>
        <w:t xml:space="preserve"> ebbe molte ricchezze. </w:t>
      </w:r>
    </w:p>
    <w:p w14:paraId="151509BC" w14:textId="09BC82AB" w:rsidR="00364017" w:rsidRDefault="005E6C42" w:rsidP="00364017">
      <w:r>
        <w:t xml:space="preserve">L’ingegnoso </w:t>
      </w:r>
      <w:r w:rsidR="00364017">
        <w:t xml:space="preserve">Talete ha pagato un piccolo prezzo per riservarsi il diritto di raccogliere le olive da </w:t>
      </w:r>
      <w:r w:rsidR="00466094">
        <w:t>alcuni</w:t>
      </w:r>
      <w:r w:rsidR="00364017">
        <w:t xml:space="preserve"> campi</w:t>
      </w:r>
      <w:r>
        <w:t xml:space="preserve"> fino a una scadenza, mettiamo dopo il periodo di raccolto</w:t>
      </w:r>
      <w:r w:rsidR="00364017">
        <w:t>. Se la stagione si fosse rivelata sfortunata non avrebbe avuto nulla da raccogliere, avrebbe quindi perso il suo investimento. Ma il raccolto abbondante gli ha permesso di godere di ampi benefici, ai quali sottrarre</w:t>
      </w:r>
      <w:r w:rsidR="004F0BB2">
        <w:t xml:space="preserve"> solo</w:t>
      </w:r>
      <w:r w:rsidR="00364017">
        <w:t xml:space="preserve"> i pochi costi di affitto sostenuti.</w:t>
      </w:r>
      <w:r w:rsidR="0090005F">
        <w:t xml:space="preserve"> Questa strategia è molto simile a un’opzione</w:t>
      </w:r>
      <w:r w:rsidR="00132D76">
        <w:t>: paghiamo un premio per avere un diritto esercitabile a una scadenza.</w:t>
      </w:r>
      <w:r w:rsidR="008C7B70">
        <w:t xml:space="preserve"> </w:t>
      </w:r>
      <w:r w:rsidR="008D6089">
        <w:t>Che gli strumenti derivati nascano da delle esigenze pratiche</w:t>
      </w:r>
      <w:r w:rsidR="008C7B70">
        <w:t xml:space="preserve"> non </w:t>
      </w:r>
      <w:r w:rsidR="00CE7F95">
        <w:t xml:space="preserve">ci </w:t>
      </w:r>
      <w:r w:rsidR="008C7B70">
        <w:t xml:space="preserve">è </w:t>
      </w:r>
      <w:r w:rsidR="00CE7F95">
        <w:t>nuovo:</w:t>
      </w:r>
      <w:r w:rsidR="008C7B70">
        <w:t xml:space="preserve"> anche i primi contratti futures nacquero per</w:t>
      </w:r>
      <w:r w:rsidR="00E70FE6">
        <w:t xml:space="preserve"> permettere a</w:t>
      </w:r>
      <w:r w:rsidR="008C7B70">
        <w:t xml:space="preserve">i coltivatori di grano </w:t>
      </w:r>
      <w:r w:rsidR="00E70FE6">
        <w:t>di</w:t>
      </w:r>
      <w:r w:rsidR="008C7B70">
        <w:t xml:space="preserve"> coprirsi </w:t>
      </w:r>
      <w:r w:rsidR="00E70FE6">
        <w:t>dai rischi di un possibile</w:t>
      </w:r>
      <w:r w:rsidR="008C7B70">
        <w:t xml:space="preserve"> </w:t>
      </w:r>
      <w:r w:rsidR="008D6089">
        <w:t>ribasso dei prezzi</w:t>
      </w:r>
      <w:r w:rsidR="00E70FE6">
        <w:t>.</w:t>
      </w:r>
    </w:p>
    <w:p w14:paraId="4A0D48C1" w14:textId="2887B1A9" w:rsidR="001877D0" w:rsidRDefault="004600C0" w:rsidP="001877D0">
      <w:r>
        <w:t xml:space="preserve">In particolare </w:t>
      </w:r>
      <w:r w:rsidR="00E70FE6">
        <w:t>l</w:t>
      </w:r>
      <w:r w:rsidR="00604918">
        <w:t xml:space="preserve">e opzioni sono strumenti </w:t>
      </w:r>
      <w:r w:rsidR="007853FA">
        <w:t>derivati che</w:t>
      </w:r>
      <w:r w:rsidR="003E3446">
        <w:t xml:space="preserve"> </w:t>
      </w:r>
      <w:r w:rsidR="00C202A3">
        <w:t>attribuiscon</w:t>
      </w:r>
      <w:r w:rsidR="007853FA">
        <w:t xml:space="preserve">o </w:t>
      </w:r>
      <w:r w:rsidR="003F2A37">
        <w:t>all’acquirente</w:t>
      </w:r>
      <w:r w:rsidR="007853FA">
        <w:t xml:space="preserve"> il diritto di acquistare o vendere</w:t>
      </w:r>
      <w:r w:rsidR="007E2810">
        <w:t xml:space="preserve"> un sottostante</w:t>
      </w:r>
      <w:r w:rsidR="0060571A">
        <w:t xml:space="preserve"> </w:t>
      </w:r>
      <w:r w:rsidR="00F67C25">
        <w:t>entro</w:t>
      </w:r>
      <w:r>
        <w:t>,</w:t>
      </w:r>
      <w:r w:rsidR="00F67C25">
        <w:t xml:space="preserve"> oppure </w:t>
      </w:r>
      <w:r w:rsidR="0060571A">
        <w:t>a un</w:t>
      </w:r>
      <w:r w:rsidR="003364CE">
        <w:t>a certa data</w:t>
      </w:r>
      <w:r w:rsidR="00176C7E">
        <w:t>, in base allo stile dell’opzion</w:t>
      </w:r>
      <w:r w:rsidR="00657649">
        <w:t>e</w:t>
      </w:r>
      <w:r w:rsidR="00F67C25">
        <w:t xml:space="preserve">. </w:t>
      </w:r>
      <w:r w:rsidR="003E3446">
        <w:t xml:space="preserve">Il costo di un’opzione è detto premio. </w:t>
      </w:r>
      <w:r w:rsidR="00F67C25">
        <w:t>Il prezzo scelto</w:t>
      </w:r>
      <w:r w:rsidR="003E3446">
        <w:t xml:space="preserve"> per lo scambio a scadenza</w:t>
      </w:r>
      <w:r w:rsidR="00F67C25">
        <w:t xml:space="preserve"> è</w:t>
      </w:r>
      <w:r w:rsidR="00125D2B">
        <w:t xml:space="preserve"> detto </w:t>
      </w:r>
      <w:r w:rsidR="00125D2B" w:rsidRPr="00CF498D">
        <w:rPr>
          <w:i/>
          <w:iCs/>
        </w:rPr>
        <w:t>strike price</w:t>
      </w:r>
      <w:r w:rsidR="00F67C25">
        <w:t>.</w:t>
      </w:r>
      <w:r w:rsidR="007F60A4" w:rsidRPr="007F60A4">
        <w:t xml:space="preserve"> </w:t>
      </w:r>
      <w:r w:rsidR="007F60A4">
        <w:t>Sono strumenti che permettono di accordarsi oggi, stabilendo le condizioni per un potenziale scambio in un momento futuro.</w:t>
      </w:r>
      <w:r w:rsidR="00F67C25">
        <w:t xml:space="preserve"> Per</w:t>
      </w:r>
      <w:r w:rsidR="00CF563D">
        <w:t xml:space="preserve"> queste caratteristiche </w:t>
      </w:r>
      <w:r w:rsidR="00F67C25">
        <w:t xml:space="preserve">le opzioni rientrano </w:t>
      </w:r>
      <w:r w:rsidR="00CF563D">
        <w:t>ne</w:t>
      </w:r>
      <w:r w:rsidR="00F67C25">
        <w:t>ll</w:t>
      </w:r>
      <w:r w:rsidR="00657649">
        <w:t>e</w:t>
      </w:r>
      <w:r w:rsidR="00F67C25">
        <w:t xml:space="preserve"> </w:t>
      </w:r>
      <w:r w:rsidR="00584349">
        <w:t>classi</w:t>
      </w:r>
      <w:r w:rsidR="00F67C25">
        <w:t xml:space="preserve"> </w:t>
      </w:r>
      <w:r w:rsidR="00584349">
        <w:t>d</w:t>
      </w:r>
      <w:r w:rsidR="00F67C25">
        <w:t>i</w:t>
      </w:r>
      <w:r w:rsidR="00CF563D">
        <w:t xml:space="preserve"> strumenti a</w:t>
      </w:r>
      <w:r w:rsidR="00C420A2">
        <w:t xml:space="preserve"> contenuto opzionale e a</w:t>
      </w:r>
      <w:r w:rsidR="00CF563D">
        <w:t xml:space="preserve"> regolazione differit</w:t>
      </w:r>
      <w:r w:rsidR="003F2A37">
        <w:t>a</w:t>
      </w:r>
      <w:r w:rsidR="007F60A4">
        <w:t>.</w:t>
      </w:r>
      <w:r w:rsidR="00CF563D">
        <w:t xml:space="preserve"> </w:t>
      </w:r>
    </w:p>
    <w:p w14:paraId="2B966302" w14:textId="17E362B4" w:rsidR="00532E79" w:rsidRDefault="00532E79" w:rsidP="001877D0">
      <w:r>
        <w:t xml:space="preserve">Immaginiamo per un attimo di avere un sottostante dal valore </w:t>
      </w:r>
      <w:r w:rsidR="008A6C79">
        <w:t>attuale</w:t>
      </w:r>
      <w:r>
        <w:t xml:space="preserve"> di 100, e </w:t>
      </w:r>
      <w:r w:rsidR="008A6C79">
        <w:t>di avere un view</w:t>
      </w:r>
      <w:r w:rsidR="002E56FA">
        <w:t xml:space="preserve"> rialzista</w:t>
      </w:r>
      <w:r w:rsidR="003A2AB7">
        <w:t xml:space="preserve">. Immaginiamo di avere un </w:t>
      </w:r>
      <w:r w:rsidR="003032E3">
        <w:t>valore</w:t>
      </w:r>
      <w:r w:rsidR="003A2AB7">
        <w:t xml:space="preserve"> target di </w:t>
      </w:r>
      <w:r>
        <w:t>140</w:t>
      </w:r>
      <w:r w:rsidR="002E56FA">
        <w:t xml:space="preserve"> </w:t>
      </w:r>
      <w:r w:rsidR="003A2AB7">
        <w:t>entro</w:t>
      </w:r>
      <w:r w:rsidR="002E56FA">
        <w:t xml:space="preserve"> un mese</w:t>
      </w:r>
      <w:r>
        <w:t xml:space="preserve">. </w:t>
      </w:r>
      <w:r w:rsidR="00740DDB">
        <w:t>Abbiamo due possibilità:</w:t>
      </w:r>
    </w:p>
    <w:p w14:paraId="5907FB8F" w14:textId="7CD5E9BE" w:rsidR="00740DDB" w:rsidRDefault="00740DDB" w:rsidP="00740DDB">
      <w:pPr>
        <w:pStyle w:val="Paragrafoelenco"/>
        <w:numPr>
          <w:ilvl w:val="0"/>
          <w:numId w:val="7"/>
        </w:numPr>
      </w:pPr>
      <w:r>
        <w:t>Acquistare il sottostante</w:t>
      </w:r>
      <w:r w:rsidR="00110225">
        <w:t xml:space="preserve"> per rivenderlo tra un mese.</w:t>
      </w:r>
    </w:p>
    <w:p w14:paraId="74BA1ECA" w14:textId="35750E1E" w:rsidR="00125D2B" w:rsidRDefault="00125D2B" w:rsidP="00740DDB">
      <w:pPr>
        <w:pStyle w:val="Paragrafoelenco"/>
        <w:numPr>
          <w:ilvl w:val="0"/>
          <w:numId w:val="7"/>
        </w:numPr>
      </w:pPr>
      <w:r>
        <w:t xml:space="preserve">Acquistare </w:t>
      </w:r>
      <w:r w:rsidR="00EC708C">
        <w:t>un’opzione</w:t>
      </w:r>
      <w:r w:rsidR="007F60A4">
        <w:t xml:space="preserve"> in scadenza a un mese</w:t>
      </w:r>
      <w:r w:rsidR="007F60A4">
        <w:rPr>
          <w:rStyle w:val="Rimandonotaapidipagina"/>
        </w:rPr>
        <w:footnoteReference w:id="6"/>
      </w:r>
      <w:r w:rsidR="00110225">
        <w:t>.</w:t>
      </w:r>
    </w:p>
    <w:p w14:paraId="4AF75632" w14:textId="1D909769" w:rsidR="00EC708C" w:rsidRDefault="00EC708C" w:rsidP="00EC708C">
      <w:r>
        <w:lastRenderedPageBreak/>
        <w:t xml:space="preserve">Queste due possibilità, nonostante </w:t>
      </w:r>
      <w:r w:rsidR="00811F87">
        <w:t xml:space="preserve">entrambe </w:t>
      </w:r>
      <w:r w:rsidR="00105574">
        <w:t>traggano vantaggio da un apprezzarsi del sottostante,</w:t>
      </w:r>
      <w:r w:rsidR="00811F87">
        <w:t xml:space="preserve"> </w:t>
      </w:r>
      <w:r w:rsidR="003F55E5">
        <w:t xml:space="preserve">hanno </w:t>
      </w:r>
      <w:r w:rsidR="00110225">
        <w:t>profili di rischio e rendimento</w:t>
      </w:r>
      <w:r w:rsidR="003F55E5">
        <w:t xml:space="preserve"> molto divers</w:t>
      </w:r>
      <w:r w:rsidR="00110225">
        <w:t>i</w:t>
      </w:r>
      <w:r w:rsidR="003F55E5">
        <w:t>. In particolare le opzioni</w:t>
      </w:r>
      <w:r w:rsidR="00985F74">
        <w:t xml:space="preserve"> ci danno alcuni vantaggi.</w:t>
      </w:r>
      <w:r w:rsidR="003F55E5">
        <w:t xml:space="preserve"> </w:t>
      </w:r>
      <w:r w:rsidR="00985F74">
        <w:t>P</w:t>
      </w:r>
      <w:r w:rsidR="003F55E5">
        <w:t xml:space="preserve">ermettono di operare a leva tramite </w:t>
      </w:r>
      <w:r w:rsidR="00CA3B02">
        <w:t>l</w:t>
      </w:r>
      <w:r w:rsidR="00F9744D">
        <w:t xml:space="preserve">’intermediazione della </w:t>
      </w:r>
      <w:r w:rsidR="003F55E5">
        <w:t>clearing house</w:t>
      </w:r>
      <w:r w:rsidR="00CA3B02">
        <w:t>,</w:t>
      </w:r>
      <w:r w:rsidR="003F55E5">
        <w:t xml:space="preserve"> che </w:t>
      </w:r>
      <w:r w:rsidR="00F9744D">
        <w:t xml:space="preserve">monitora il rischio d’insolvenza con un sistema </w:t>
      </w:r>
      <w:r w:rsidR="00CA3B02">
        <w:t>per margini</w:t>
      </w:r>
      <w:r w:rsidR="003B0174">
        <w:t>.</w:t>
      </w:r>
      <w:r w:rsidR="00CA3B02">
        <w:t xml:space="preserve"> </w:t>
      </w:r>
      <w:r w:rsidR="003B0174">
        <w:t>Non abbiamo quindi</w:t>
      </w:r>
      <w:r w:rsidR="003F55E5">
        <w:t xml:space="preserve"> il problema della fiducia </w:t>
      </w:r>
      <w:r w:rsidR="00C00222">
        <w:t>nella controparte, è</w:t>
      </w:r>
      <w:r w:rsidR="00C55D80">
        <w:t xml:space="preserve"> </w:t>
      </w:r>
      <w:r w:rsidR="006333B9">
        <w:t>neutralizzando</w:t>
      </w:r>
      <w:r w:rsidR="003F55E5">
        <w:t xml:space="preserve"> il rischio di credito</w:t>
      </w:r>
      <w:r w:rsidR="00F6003B">
        <w:t xml:space="preserve">. Inoltre sono strumenti estremamente versatili che </w:t>
      </w:r>
      <w:r w:rsidR="006333B9">
        <w:t xml:space="preserve">se </w:t>
      </w:r>
      <w:r w:rsidR="00F6003B">
        <w:t>usat</w:t>
      </w:r>
      <w:r w:rsidR="006333B9">
        <w:t>i in combinazione</w:t>
      </w:r>
      <w:r w:rsidR="00F6003B">
        <w:t xml:space="preserve"> permettono di investire</w:t>
      </w:r>
      <w:r w:rsidR="00BE0044">
        <w:t xml:space="preserve"> non solo</w:t>
      </w:r>
      <w:r w:rsidR="00F6003B">
        <w:t xml:space="preserve"> sull’andamento del sottostante, ma anche su </w:t>
      </w:r>
      <w:r w:rsidR="00416E9F">
        <w:t xml:space="preserve">potenziali </w:t>
      </w:r>
      <w:r w:rsidR="00F6003B">
        <w:t>variazioni d</w:t>
      </w:r>
      <w:r w:rsidR="00416E9F">
        <w:t>ei parametri</w:t>
      </w:r>
      <w:r w:rsidR="00F6003B">
        <w:t xml:space="preserve"> macro</w:t>
      </w:r>
      <w:r w:rsidR="00BE5A3E">
        <w:t>, come la volatilità e il tasso free risk.</w:t>
      </w:r>
      <w:r w:rsidR="00296187">
        <w:t xml:space="preserve"> </w:t>
      </w:r>
      <w:r w:rsidR="00E90C72">
        <w:t>Mercati come il</w:t>
      </w:r>
      <w:r w:rsidR="001816F8">
        <w:t xml:space="preserve"> Chicago Board Option Exchange sono</w:t>
      </w:r>
      <w:r w:rsidR="00296187">
        <w:t xml:space="preserve"> </w:t>
      </w:r>
      <w:r w:rsidR="00975E76">
        <w:t xml:space="preserve">altamente </w:t>
      </w:r>
      <w:r w:rsidR="00296187">
        <w:t>regolamentat</w:t>
      </w:r>
      <w:r w:rsidR="001816F8">
        <w:t>i</w:t>
      </w:r>
      <w:r w:rsidR="00975E76">
        <w:t xml:space="preserve"> e gli scambi in opzioni </w:t>
      </w:r>
      <w:r w:rsidR="001816F8">
        <w:t>superano gli XXX miliardi di euro.</w:t>
      </w:r>
      <w:r w:rsidR="002D3436">
        <w:t xml:space="preserve"> </w:t>
      </w:r>
      <w:r w:rsidR="00B14F87">
        <w:t xml:space="preserve">La negoziazione su un mercato regolamentato e la standardizzazione dei contratti </w:t>
      </w:r>
      <w:r w:rsidR="00301F3E">
        <w:t xml:space="preserve">comporta un grado di liquidità superiore per gli strumenti </w:t>
      </w:r>
      <w:r w:rsidR="00E26024">
        <w:t xml:space="preserve">quotati. </w:t>
      </w:r>
      <w:r w:rsidR="002D3436">
        <w:t xml:space="preserve">Le opzioni sono anche disponibili sui mercati OTC, </w:t>
      </w:r>
      <w:r w:rsidR="00EA0FD2">
        <w:t xml:space="preserve">dove è bene sapere che non si hanno </w:t>
      </w:r>
      <w:r w:rsidR="00F648F9">
        <w:t xml:space="preserve">le stesse garanzie che </w:t>
      </w:r>
      <w:r w:rsidR="00E51D42">
        <w:t xml:space="preserve">abbiamo su </w:t>
      </w:r>
      <w:r w:rsidR="00F648F9">
        <w:t>un mercato regolamentato come</w:t>
      </w:r>
      <w:r w:rsidR="00E51D42">
        <w:t xml:space="preserve"> il</w:t>
      </w:r>
      <w:r w:rsidR="00F648F9">
        <w:t xml:space="preserve"> CBOE</w:t>
      </w:r>
      <w:r w:rsidR="00E51D42">
        <w:t>.</w:t>
      </w:r>
    </w:p>
    <w:p w14:paraId="67FD4983" w14:textId="1C050C20" w:rsidR="003C5EEF" w:rsidRDefault="00AF0DC5" w:rsidP="00367266">
      <w:r>
        <w:t>Anche il nostro Talete</w:t>
      </w:r>
      <w:r w:rsidR="004E4B7A">
        <w:t xml:space="preserve"> </w:t>
      </w:r>
      <w:r w:rsidR="00442CAD">
        <w:t>p</w:t>
      </w:r>
      <w:r w:rsidR="00F7478B">
        <w:t>iuttosto che a</w:t>
      </w:r>
      <w:r w:rsidR="00BE0044">
        <w:t>cquistare tutti i campi</w:t>
      </w:r>
      <w:r w:rsidR="00F7478B">
        <w:t xml:space="preserve">, </w:t>
      </w:r>
      <w:r w:rsidR="00BE0044">
        <w:t>ha</w:t>
      </w:r>
      <w:r w:rsidR="00F7478B">
        <w:t xml:space="preserve"> opta</w:t>
      </w:r>
      <w:r w:rsidR="00BE0044">
        <w:t xml:space="preserve">to per una strategia meno dispendiosa. </w:t>
      </w:r>
      <w:r>
        <w:t>Infatti</w:t>
      </w:r>
      <w:r w:rsidR="00BE0044">
        <w:t xml:space="preserve"> l’acquisto</w:t>
      </w:r>
      <w:r w:rsidR="00F7478B">
        <w:t xml:space="preserve"> avrebbe portato un es</w:t>
      </w:r>
      <w:r w:rsidR="00F87E9A">
        <w:t xml:space="preserve">borso iniziale molto più elevato, con tutta una serie di rischi dai quali le opzioni ci esulano. Ovviamente </w:t>
      </w:r>
      <w:r w:rsidR="00714F4A">
        <w:t>sarebbe possibile</w:t>
      </w:r>
      <w:r w:rsidR="00F87E9A">
        <w:t xml:space="preserve"> </w:t>
      </w:r>
      <w:r w:rsidR="00114C2F">
        <w:t xml:space="preserve">neutralizzare questi rischi </w:t>
      </w:r>
      <w:r w:rsidR="00E26368">
        <w:t xml:space="preserve">anche </w:t>
      </w:r>
      <w:r w:rsidR="00714F4A">
        <w:t>se comprassimo</w:t>
      </w:r>
      <w:r w:rsidR="00E26368">
        <w:t xml:space="preserve"> il sottostante grazie a </w:t>
      </w:r>
      <w:r w:rsidR="00114C2F">
        <w:t>svariate strategie di hedging, tra cui come vedremo le opzioni stesse.</w:t>
      </w:r>
      <w:r w:rsidR="00187609">
        <w:t xml:space="preserve"> </w:t>
      </w:r>
      <w:r w:rsidR="00C14687">
        <w:t>In molte strategie con le opzioni è previsto anche l’acquisto o la vendita diretta del sottostante.</w:t>
      </w:r>
    </w:p>
    <w:p w14:paraId="6EF32288" w14:textId="35C9EE64" w:rsidR="00EE5C5A" w:rsidRDefault="00EE5C5A" w:rsidP="00367266">
      <w:r>
        <w:rPr>
          <w:noProof/>
        </w:rPr>
        <w:drawing>
          <wp:anchor distT="0" distB="0" distL="114300" distR="114300" simplePos="0" relativeHeight="251658242" behindDoc="1" locked="0" layoutInCell="1" allowOverlap="1" wp14:anchorId="2CCC31D9" wp14:editId="32880810">
            <wp:simplePos x="0" y="0"/>
            <wp:positionH relativeFrom="margin">
              <wp:posOffset>1466850</wp:posOffset>
            </wp:positionH>
            <wp:positionV relativeFrom="paragraph">
              <wp:posOffset>1678305</wp:posOffset>
            </wp:positionV>
            <wp:extent cx="2857500" cy="1704975"/>
            <wp:effectExtent l="0" t="0" r="0" b="9525"/>
            <wp:wrapTopAndBottom/>
            <wp:docPr id="175758269" name="Immagine 1" descr="cia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8269" name="Immagine 1" descr="ciao&#10;"/>
                    <pic:cNvPicPr/>
                  </pic:nvPicPr>
                  <pic:blipFill>
                    <a:blip r:embed="rId13">
                      <a:extLst>
                        <a:ext uri="{28A0092B-C50C-407E-A947-70E740481C1C}">
                          <a14:useLocalDpi xmlns:a14="http://schemas.microsoft.com/office/drawing/2010/main" val="0"/>
                        </a:ext>
                      </a:extLst>
                    </a:blip>
                    <a:stretch>
                      <a:fillRect/>
                    </a:stretch>
                  </pic:blipFill>
                  <pic:spPr>
                    <a:xfrm>
                      <a:off x="0" y="0"/>
                      <a:ext cx="2857500" cy="1704975"/>
                    </a:xfrm>
                    <a:prstGeom prst="rect">
                      <a:avLst/>
                    </a:prstGeom>
                  </pic:spPr>
                </pic:pic>
              </a:graphicData>
            </a:graphic>
          </wp:anchor>
        </w:drawing>
      </w:r>
      <w:r w:rsidR="00532448">
        <w:t xml:space="preserve">Andiamo a vedere </w:t>
      </w:r>
      <w:r w:rsidR="004069BC">
        <w:t>altre caratteristiche operative del contratto opzione. Come abbiamo detto</w:t>
      </w:r>
      <w:r w:rsidR="00532448">
        <w:t xml:space="preserve"> </w:t>
      </w:r>
      <w:r w:rsidR="00310C85">
        <w:t xml:space="preserve">stiamo parlando di contratti derivati, i quali appunto controllano delle azioni. </w:t>
      </w:r>
      <w:r w:rsidR="000B28E6">
        <w:t xml:space="preserve">In particolare </w:t>
      </w:r>
      <w:r w:rsidR="00310C85">
        <w:t xml:space="preserve">le opzioni controllano un numero variabile di azioni in base al sottostante. </w:t>
      </w:r>
      <w:r w:rsidR="00F43604">
        <w:t>Gli strumenti che possono essere utilizzati come sottostant</w:t>
      </w:r>
      <w:r w:rsidR="000649D9">
        <w:t>i</w:t>
      </w:r>
      <w:r w:rsidR="00F43604">
        <w:t xml:space="preserve"> sono numerosi, dalle commodities, ai fondi, agli </w:t>
      </w:r>
      <w:r w:rsidR="00C44A5A">
        <w:t>ETF</w:t>
      </w:r>
      <w:r w:rsidR="00993C9C">
        <w:rPr>
          <w:rStyle w:val="Rimandonotaapidipagina"/>
        </w:rPr>
        <w:footnoteReference w:id="7"/>
      </w:r>
      <w:r w:rsidR="00993C9C">
        <w:t>.</w:t>
      </w:r>
      <w:r w:rsidR="00C44A5A">
        <w:t xml:space="preserve"> </w:t>
      </w:r>
      <w:r w:rsidR="00310C85">
        <w:t xml:space="preserve">Per </w:t>
      </w:r>
      <w:r w:rsidR="001C24AA">
        <w:t xml:space="preserve">le big sui mercati azionari americani tipicamente </w:t>
      </w:r>
      <w:r w:rsidR="00D202FC">
        <w:t>un’opzione</w:t>
      </w:r>
      <w:r w:rsidR="00755556">
        <w:t xml:space="preserve"> corrisponde a 100 azioni. Per trovare quelli </w:t>
      </w:r>
      <w:r w:rsidR="0001762C">
        <w:t xml:space="preserve">inerenti a borsa italiana basta andare nella sezione </w:t>
      </w:r>
      <w:r w:rsidR="003539CD" w:rsidRPr="003539CD">
        <w:t>Lotti Minimi Opzioni su Azioni</w:t>
      </w:r>
      <w:r w:rsidR="003539CD">
        <w:rPr>
          <w:rStyle w:val="Rimandonotaapidipagina"/>
        </w:rPr>
        <w:footnoteReference w:id="8"/>
      </w:r>
      <w:r w:rsidR="00C95BEE">
        <w:t>.</w:t>
      </w:r>
    </w:p>
    <w:p w14:paraId="66CB8C45" w14:textId="56B9ED1A" w:rsidR="00EE5C5A" w:rsidRDefault="00752D5E" w:rsidP="00367266">
      <w:pPr>
        <w:rPr>
          <w:noProof/>
        </w:rPr>
      </w:pPr>
      <w:r w:rsidRPr="00752D5E">
        <w:rPr>
          <w:noProof/>
        </w:rPr>
        <w:t xml:space="preserve"> </w:t>
      </w:r>
    </w:p>
    <w:p w14:paraId="576CA979" w14:textId="4E0D6961" w:rsidR="00EE5C5A" w:rsidRDefault="00EE5C5A" w:rsidP="00367266"/>
    <w:p w14:paraId="46529CBE" w14:textId="77777777" w:rsidR="00EE5C5A" w:rsidRDefault="00EE5C5A" w:rsidP="00367266"/>
    <w:p w14:paraId="36537434" w14:textId="77777777" w:rsidR="00EE5C5A" w:rsidRDefault="00EE5C5A" w:rsidP="00367266"/>
    <w:p w14:paraId="7CB3EE2F" w14:textId="7BD71879" w:rsidR="00114C2F" w:rsidRDefault="00EE5C5A" w:rsidP="006F20B1">
      <w:pPr>
        <w:pStyle w:val="Titolo2"/>
        <w:numPr>
          <w:ilvl w:val="1"/>
          <w:numId w:val="5"/>
        </w:numPr>
        <w:rPr>
          <w:rFonts w:hint="eastAsia"/>
        </w:rPr>
      </w:pPr>
      <w:bookmarkStart w:id="5" w:name="_Toc187795097"/>
      <w:r>
        <w:t>Comprare e vendere Opzioni</w:t>
      </w:r>
      <w:bookmarkEnd w:id="5"/>
    </w:p>
    <w:p w14:paraId="454EEDE2" w14:textId="0BE4D705" w:rsidR="00BB2141" w:rsidRDefault="00BB2141" w:rsidP="00BB2141">
      <w:r>
        <w:t xml:space="preserve">Ci si può porre in due modi davanti </w:t>
      </w:r>
      <w:r w:rsidR="0070648D">
        <w:t>a un opzione</w:t>
      </w:r>
      <w:r>
        <w:t>, come venditori o come compratori. Abbiamo detto che chi compra paga un piccolo premio e può godere di elevati margini di guadagno qualora il prezzo dovesse salire nel caso di una call, scendere nel caso di una put. Se le operazioni sono effettuate naked, cioè senza nessun’altra attività in portafoglio che possa influenzare il payoff del nostro capitale, non presentano particolari problemi nella valutazione del rischio: stiamo rischiando solo il premio che stiamo pagando per ogni opzione moltiplicato per il numero di azioni controllate dal contratto. Escludendo eventuali margini dati dal broker di cui parleremo successivamente, quella è la cifra che ci viene chiesta dal broker nel momento dell’acquisto delle opzioni. Immaginiamo di aver acquistato un opzione call europea su AAPL (Apple Inc. quotata sul NASDAQ) strike di valore 5, quotata attualmente al valore di 4. Se a scadenza il valore attuale sarà maggiore dello strike price, avremo un payoff pari a:</w:t>
      </w:r>
    </w:p>
    <w:p w14:paraId="0008C4BB" w14:textId="77777777" w:rsidR="00BB2141" w:rsidRDefault="00BB2141" w:rsidP="00BB2141">
      <w:pPr>
        <w:jc w:val="center"/>
        <w:rPr>
          <w:i/>
          <w:iCs/>
        </w:rPr>
      </w:pPr>
      <w:r>
        <w:rPr>
          <w:i/>
          <w:iCs/>
        </w:rPr>
        <w:t>(prezzo di mercato del sottostante – strike price) – premio versato</w:t>
      </w:r>
    </w:p>
    <w:p w14:paraId="6B6FF44D" w14:textId="77777777" w:rsidR="00BB2141" w:rsidRDefault="00BB2141" w:rsidP="00BB2141">
      <w:r>
        <w:t xml:space="preserve">Immaginando che il valore delle azioni di AAPL fosse cresciuto fino a 10 dopo lo strike price, e di aver pagato un premio di 1 per opzione, avremo un guadagno di </w:t>
      </w:r>
      <m:oMath>
        <m:d>
          <m:dPr>
            <m:ctrlPr>
              <w:rPr>
                <w:rFonts w:ascii="Cambria Math" w:hAnsi="Cambria Math"/>
                <w:i/>
              </w:rPr>
            </m:ctrlPr>
          </m:dPr>
          <m:e>
            <m:r>
              <w:rPr>
                <w:rFonts w:ascii="Cambria Math" w:hAnsi="Cambria Math"/>
              </w:rPr>
              <m:t>10-5</m:t>
            </m:r>
          </m:e>
        </m:d>
        <m:r>
          <w:rPr>
            <w:rFonts w:ascii="Cambria Math" w:hAnsi="Cambria Math"/>
          </w:rPr>
          <m:t>*100=500</m:t>
        </m:r>
      </m:oMath>
      <w:r>
        <w:t xml:space="preserve">. Una crescita del 100 % del sottostante ci ha permesso un guadagno di 500, avendo dato al broker solo </w:t>
      </w:r>
      <m:oMath>
        <m:r>
          <w:rPr>
            <w:rFonts w:ascii="Cambria Math" w:hAnsi="Cambria Math"/>
          </w:rPr>
          <m:t>1 * 100</m:t>
        </m:r>
      </m:oMath>
      <w:r>
        <w:t xml:space="preserve"> di premio. Il guadagno quindi ammonta al 500% del capitale impegnato nell’operazione. Questo è l’effetto della leva. Questa è la potenzialità delle opzioni, ma nella teoria tutto sembra molto semplice.</w:t>
      </w:r>
    </w:p>
    <w:p w14:paraId="40FC1AEC" w14:textId="77777777" w:rsidR="00BB2141" w:rsidRPr="002D1A88" w:rsidRDefault="00BB2141" w:rsidP="00BB2141">
      <w:pPr>
        <w:rPr>
          <w:rFonts w:eastAsiaTheme="minorEastAsia"/>
        </w:rPr>
      </w:pPr>
      <w:r>
        <w:t xml:space="preserve"> Avendo comprato un diritto di acquistare a un dato prezzo, esercitare a scadenza significa dover acquistare effettivamente il sottostante allo strike price, in questo caso con un esborso di </w:t>
      </w:r>
      <m:oMath>
        <m:r>
          <w:rPr>
            <w:rFonts w:ascii="Cambria Math" w:hAnsi="Cambria Math"/>
          </w:rPr>
          <m:t>50*100</m:t>
        </m:r>
      </m:oMath>
      <w:r>
        <w:rPr>
          <w:rFonts w:eastAsiaTheme="minorEastAsia"/>
        </w:rPr>
        <w:t>.</w:t>
      </w:r>
      <w:r>
        <w:t xml:space="preserve"> Queste opzioni rivendute immediatamente al valore corrente </w:t>
      </w:r>
      <m:oMath>
        <m:r>
          <w:rPr>
            <w:rFonts w:ascii="Cambria Math" w:hAnsi="Cambria Math"/>
          </w:rPr>
          <m:t>10</m:t>
        </m:r>
      </m:oMath>
      <w:r>
        <w:rPr>
          <w:rFonts w:eastAsiaTheme="minorEastAsia"/>
        </w:rPr>
        <w:t xml:space="preserve"> danno il guadagno sopracitato. La maggior parte dei broker può effettuare automaticamente la transazione a scadenza accreditandoci direttamente il risultato economico in valuta, ma alcuni investitori preferiscono esercitare il diritto di acquisto senza vendere immediatamente, E’ un caso frequente quando è previsto che il titolo sottostante scambi un dividendo.</w:t>
      </w:r>
    </w:p>
    <w:p w14:paraId="22A1950C" w14:textId="77777777" w:rsidR="00BB2141" w:rsidRDefault="00BB2141" w:rsidP="00BB2141">
      <w:r>
        <w:t>Abbiamo capito che il “diritto” di esercitare porta l’acquirente a due possibili situazioni, una in cui il diritto sarà sempre esercitato, una in cui non potrà essere esercitato. Nel caso di una call verrà esercitata se il prezzo del sottostante a scadenza è maggiore dello strike price, nel caso di una put verrà esercitata se il prezzo del sottostante è inferiore dello strike. L’opzione call incorpora una posizione rialzista, l’opzione put una ribassista. Vendere una call significa avere una posizione ribassista, vendere una put significa avere una posizione rialzista.</w:t>
      </w:r>
    </w:p>
    <w:p w14:paraId="2BDFA183" w14:textId="77777777" w:rsidR="00BB2141" w:rsidRDefault="00BB2141" w:rsidP="00BB2141">
      <w:r>
        <w:lastRenderedPageBreak/>
        <w:t xml:space="preserve">La classe degli strumenti a contenuto opzionale non ha payoff simmetrici al variare delle posizioni, infatti nel momento in cui si vende le cose cambiano, perché avendo venduto un contratto call che porta con sé un diritto, nel caso in cui l’acquirente voglia esercitarlo dovremo essere noi a vendere quelle azioni all’acquirente della call al prezzo strike, ma comprandole al valore attuale sul mercato. Abbiamo capito che se il compratore della call eserciterà, se il prezzo salirà, e la nostra posizione e la sua perdita sarà pari a: </w:t>
      </w:r>
    </w:p>
    <w:p w14:paraId="3D43E240" w14:textId="77777777" w:rsidR="00BB2141" w:rsidRDefault="00BB2141" w:rsidP="00BB2141">
      <w:pPr>
        <w:jc w:val="center"/>
        <w:rPr>
          <w:i/>
          <w:iCs/>
        </w:rPr>
      </w:pPr>
      <w:r>
        <w:rPr>
          <w:i/>
          <w:iCs/>
        </w:rPr>
        <w:t>(prezzo di mercato del sottostante - strike price  ) - premio incassato</w:t>
      </w:r>
    </w:p>
    <w:p w14:paraId="704B8BE9" w14:textId="77777777" w:rsidR="00BB2141" w:rsidRDefault="00BB2141" w:rsidP="00BB2141">
      <w:r>
        <w:t xml:space="preserve">Capiamo che la perdita è potenzialmente infinita. Diversamente nella vendita di una put la perdita non può essere infinita perché il prezzo non può scendere sotto lo zero, ma capiamo che le perdite in caso di vendita di un opzione naked sarebbero enormi. E se l’opzione fosse americana, e quindi l’acquirente potresse esercitare in ogni momento? Ovviamente sono tutte variabili che impareremo a gestire nei capitoli successivi, ma è importante sapere da subito che nella vendita di opzioni naked i rischi sono più alti e bisogna comprendere alcune dinamiche che analizzeremo in seguito. </w:t>
      </w:r>
    </w:p>
    <w:p w14:paraId="1D43619B" w14:textId="77777777" w:rsidR="00BB2141" w:rsidRDefault="00BB2141" w:rsidP="00BB2141">
      <w:r>
        <w:t xml:space="preserve">Capiremo che le opzioni non necessariamente vanno tenute fino a scadenza, ma anzi molti operatori tradano solo in funzione del premio, cioè del prezzo dell’opzione. Questa è la variabile che sarà il vero oggetto di analisi in gran parte del volume, il pricing delle opzioni è una sfida ancora aperta per gli operatori del settore, perché in un mondo non ideale come quello dell’esempio svolto precedentemente, il prezzo è il valore dell’opzione e quindi la discriminante tra un opzione che vale la pena acquistare e una che sarebbe meglio vendere. </w:t>
      </w:r>
    </w:p>
    <w:p w14:paraId="3D0449CE" w14:textId="77777777" w:rsidR="00BB2141" w:rsidRDefault="00BB2141" w:rsidP="00BB2141">
      <w:r>
        <w:t xml:space="preserve">Le opzioni hanno una nomenclatura a seconda del livello di prezzo del sottostante rispetto allo strike price in un dato momento precedente alla scadenza. Infatti un opzione è detta in-the-money se il prezzo attuale porterebbe un guadagno se scadesse o venisse esercitata ad un dato momento. Nel caso di una call comprata, sappiamo che sarà esercita se il prezzo del sottostante è maggiore dello strike price. In questo caso possiamo definire la nostra opzione in-the-money. Sempre mantenendo l’esempio di una call comprata, se lo strike price è uguale al prezzo attuale del sottostante allora l’opzione è at-the-money, se maggiore l’opzione è detta out-of-the money. </w:t>
      </w:r>
    </w:p>
    <w:p w14:paraId="68903D26" w14:textId="77777777" w:rsidR="00BB2141" w:rsidRDefault="00BB2141" w:rsidP="00BB2141">
      <w:r>
        <w:t>Vale la pena riassumere i tre elementi imprescindibili di ogni azione:</w:t>
      </w:r>
    </w:p>
    <w:p w14:paraId="0086C86E" w14:textId="77777777" w:rsidR="00BB2141" w:rsidRDefault="00BB2141" w:rsidP="00BB2141">
      <w:pPr>
        <w:pStyle w:val="Paragrafoelenco"/>
        <w:numPr>
          <w:ilvl w:val="0"/>
          <w:numId w:val="8"/>
        </w:numPr>
      </w:pPr>
      <w:r>
        <w:t>Lo strike price: cioè il prezzo del sottostante a cui avverrà lo scambio.</w:t>
      </w:r>
    </w:p>
    <w:p w14:paraId="4DC3CD78" w14:textId="77777777" w:rsidR="00BB2141" w:rsidRDefault="00BB2141" w:rsidP="00BB2141">
      <w:pPr>
        <w:pStyle w:val="Paragrafoelenco"/>
        <w:numPr>
          <w:ilvl w:val="0"/>
          <w:numId w:val="8"/>
        </w:numPr>
      </w:pPr>
      <w:r>
        <w:t>La scadenza: dalle più brevi di pochi giorni fino ad arrivare a svariati anni.</w:t>
      </w:r>
    </w:p>
    <w:p w14:paraId="6BAE668F" w14:textId="77777777" w:rsidR="00BB2141" w:rsidRDefault="00BB2141" w:rsidP="00BB2141">
      <w:pPr>
        <w:pStyle w:val="Paragrafoelenco"/>
        <w:numPr>
          <w:ilvl w:val="0"/>
          <w:numId w:val="8"/>
        </w:numPr>
      </w:pPr>
      <w:r>
        <w:t>Il premio: che è il prezzo dell’opzione.</w:t>
      </w:r>
    </w:p>
    <w:p w14:paraId="1CA16BD2" w14:textId="77777777" w:rsidR="00BB2141" w:rsidRDefault="00BB2141" w:rsidP="00BB2141">
      <w:pPr>
        <w:ind w:left="360"/>
      </w:pPr>
      <w:r>
        <w:rPr>
          <w:noProof/>
        </w:rPr>
        <mc:AlternateContent>
          <mc:Choice Requires="wpi">
            <w:drawing>
              <wp:anchor distT="0" distB="0" distL="114300" distR="114300" simplePos="0" relativeHeight="251658244" behindDoc="0" locked="0" layoutInCell="1" allowOverlap="1" wp14:anchorId="17D3454D" wp14:editId="1F1666E1">
                <wp:simplePos x="0" y="0"/>
                <wp:positionH relativeFrom="column">
                  <wp:posOffset>1130085</wp:posOffset>
                </wp:positionH>
                <wp:positionV relativeFrom="paragraph">
                  <wp:posOffset>1233640</wp:posOffset>
                </wp:positionV>
                <wp:extent cx="360" cy="360"/>
                <wp:effectExtent l="38100" t="38100" r="38100" b="38100"/>
                <wp:wrapNone/>
                <wp:docPr id="141218852" name="Input penna 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569746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 o:spid="_x0000_s1026" type="#_x0000_t75" style="position:absolute;margin-left:88.5pt;margin-top:96.65pt;width:1.05pt;height:1.0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">
                <v:imagedata r:id="rId15" o:title=""/>
              </v:shape>
            </w:pict>
          </mc:Fallback>
        </mc:AlternateContent>
      </w:r>
      <w:r>
        <w:rPr>
          <w:noProof/>
        </w:rPr>
        <mc:AlternateContent>
          <mc:Choice Requires="wpi">
            <w:drawing>
              <wp:anchor distT="0" distB="0" distL="114300" distR="114300" simplePos="0" relativeHeight="251658243" behindDoc="0" locked="0" layoutInCell="1" allowOverlap="1" wp14:anchorId="3975794A" wp14:editId="6ABAE485">
                <wp:simplePos x="0" y="0"/>
                <wp:positionH relativeFrom="column">
                  <wp:posOffset>-25515</wp:posOffset>
                </wp:positionH>
                <wp:positionV relativeFrom="paragraph">
                  <wp:posOffset>1671760</wp:posOffset>
                </wp:positionV>
                <wp:extent cx="360" cy="360"/>
                <wp:effectExtent l="38100" t="38100" r="38100" b="38100"/>
                <wp:wrapNone/>
                <wp:docPr id="1799589647" name="Input penna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703C10C" id="Input penna 5" o:spid="_x0000_s1026" type="#_x0000_t75" style="position:absolute;margin-left:-2.5pt;margin-top:131.15pt;width:1.05pt;height:1.0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">
                <v:imagedata r:id="rId15" o:title=""/>
              </v:shape>
            </w:pict>
          </mc:Fallback>
        </mc:AlternateContent>
      </w:r>
    </w:p>
    <w:p w14:paraId="77B2121B" w14:textId="77777777" w:rsidR="00BB2141" w:rsidRDefault="00BB2141" w:rsidP="00BB2141">
      <w:hyperlink r:id="rId17" w:history="1">
        <w:r w:rsidRPr="00E72A51">
          <w:rPr>
            <w:rStyle w:val="Collegamentoipertestuale"/>
          </w:rPr>
          <w:t>https://optioncharts.io/options/AAPL/option-profit-loss-chart/strategy/long-call?legs=AAPL250214C00245000,buy,1,2.85</w:t>
        </w:r>
      </w:hyperlink>
    </w:p>
    <w:p w14:paraId="056D8634" w14:textId="77777777" w:rsidR="00BB2141" w:rsidRDefault="00BB2141" w:rsidP="00BB2141"/>
    <w:p w14:paraId="55C23E0C" w14:textId="77777777" w:rsidR="00BB2141" w:rsidRDefault="00BB2141" w:rsidP="00BB2141"/>
    <w:p w14:paraId="405CDB1E" w14:textId="77777777" w:rsidR="00BB2141" w:rsidRPr="00BB2141" w:rsidRDefault="00BB2141" w:rsidP="00BB2141"/>
    <w:p w14:paraId="2C4A9D83" w14:textId="759B8A6B" w:rsidR="006F20B1" w:rsidRPr="006F20B1" w:rsidRDefault="008C71A9" w:rsidP="006F20B1">
      <w:r>
        <w:rPr>
          <w:noProof/>
        </w:rPr>
        <w:drawing>
          <wp:anchor distT="0" distB="0" distL="114300" distR="114300" simplePos="0" relativeHeight="251658240" behindDoc="0" locked="0" layoutInCell="1" allowOverlap="1" wp14:anchorId="270E6393" wp14:editId="423C7AAE">
            <wp:simplePos x="0" y="0"/>
            <wp:positionH relativeFrom="margin">
              <wp:align>left</wp:align>
            </wp:positionH>
            <wp:positionV relativeFrom="paragraph">
              <wp:posOffset>409575</wp:posOffset>
            </wp:positionV>
            <wp:extent cx="4248150" cy="3200400"/>
            <wp:effectExtent l="0" t="0" r="0" b="0"/>
            <wp:wrapTopAndBottom/>
            <wp:docPr id="484936578"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6F20B1">
        <w:t xml:space="preserve">Le opzioni Call danno il diritto di acquistare </w:t>
      </w:r>
    </w:p>
    <w:p w14:paraId="0F77B0A5" w14:textId="1043E117" w:rsidR="00BE5A3E" w:rsidRPr="00367266" w:rsidRDefault="00BE5A3E" w:rsidP="00EC708C"/>
    <w:p w14:paraId="33E8B0C3" w14:textId="29F7BCA8" w:rsidR="00490143" w:rsidRDefault="006D1A24">
      <w:r>
        <w:rPr>
          <w:noProof/>
        </w:rPr>
        <w:drawing>
          <wp:anchor distT="0" distB="0" distL="114300" distR="114300" simplePos="0" relativeHeight="251658241" behindDoc="0" locked="0" layoutInCell="1" allowOverlap="1" wp14:anchorId="5D911D59" wp14:editId="43A4F074">
            <wp:simplePos x="0" y="0"/>
            <wp:positionH relativeFrom="margin">
              <wp:posOffset>0</wp:posOffset>
            </wp:positionH>
            <wp:positionV relativeFrom="paragraph">
              <wp:posOffset>323850</wp:posOffset>
            </wp:positionV>
            <wp:extent cx="4248150" cy="3200400"/>
            <wp:effectExtent l="0" t="0" r="0" b="0"/>
            <wp:wrapTopAndBottom/>
            <wp:docPr id="708115218"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126D4E04" w14:textId="2BFFC54F" w:rsidR="00490143" w:rsidRDefault="00490143"/>
    <w:p w14:paraId="47E89CC7" w14:textId="114572CC" w:rsidR="00490143" w:rsidRDefault="00490143"/>
    <w:p w14:paraId="62802237" w14:textId="1DEB547E" w:rsidR="00490143" w:rsidRDefault="00842BD8" w:rsidP="00842BD8">
      <w:pPr>
        <w:pStyle w:val="Titolo2"/>
        <w:numPr>
          <w:ilvl w:val="1"/>
          <w:numId w:val="5"/>
        </w:numPr>
        <w:rPr>
          <w:rFonts w:hint="eastAsia"/>
        </w:rPr>
      </w:pPr>
      <w:bookmarkStart w:id="6" w:name="_Toc187792178"/>
      <w:bookmarkStart w:id="7" w:name="_Toc187795098"/>
      <w:r>
        <w:lastRenderedPageBreak/>
        <w:t>Opzioni Sell</w:t>
      </w:r>
      <w:bookmarkEnd w:id="6"/>
      <w:bookmarkEnd w:id="7"/>
    </w:p>
    <w:p w14:paraId="628CF8FA" w14:textId="6A3BA396" w:rsidR="000E3F0C" w:rsidRDefault="006364B8" w:rsidP="000E3F0C">
      <w:pPr>
        <w:pStyle w:val="Titolo2"/>
        <w:numPr>
          <w:ilvl w:val="1"/>
          <w:numId w:val="5"/>
        </w:numPr>
        <w:rPr>
          <w:rFonts w:hint="eastAsia"/>
        </w:rPr>
      </w:pPr>
      <w:bookmarkStart w:id="8" w:name="_Toc187792179"/>
      <w:bookmarkStart w:id="9" w:name="_Toc187795099"/>
      <w:r>
        <w:t>Pricing</w:t>
      </w:r>
      <w:r w:rsidR="007A08E6">
        <w:t xml:space="preserve"> delle opzioni</w:t>
      </w:r>
      <w:bookmarkEnd w:id="8"/>
      <w:bookmarkEnd w:id="9"/>
    </w:p>
    <w:p w14:paraId="474B371B" w14:textId="77777777" w:rsidR="007A08E6" w:rsidRPr="007A08E6" w:rsidRDefault="007A08E6" w:rsidP="007A08E6"/>
    <w:p w14:paraId="7D583CF3" w14:textId="3D27423E" w:rsidR="007A08E6" w:rsidRDefault="007A08E6" w:rsidP="007A08E6">
      <w:pPr>
        <w:pStyle w:val="Titolo2"/>
        <w:numPr>
          <w:ilvl w:val="1"/>
          <w:numId w:val="5"/>
        </w:numPr>
        <w:rPr>
          <w:rFonts w:hint="eastAsia"/>
        </w:rPr>
      </w:pPr>
      <w:bookmarkStart w:id="10" w:name="_Toc187792180"/>
      <w:bookmarkStart w:id="11" w:name="_Toc187795100"/>
      <w:r>
        <w:t>Strategie</w:t>
      </w:r>
      <w:bookmarkEnd w:id="10"/>
      <w:bookmarkEnd w:id="11"/>
    </w:p>
    <w:p w14:paraId="545255F7" w14:textId="39D9FF98" w:rsidR="00EF3EC6" w:rsidRDefault="00487EE2" w:rsidP="00487EE2">
      <w:pPr>
        <w:pStyle w:val="Titolo1"/>
        <w:numPr>
          <w:ilvl w:val="0"/>
          <w:numId w:val="5"/>
        </w:numPr>
        <w:rPr>
          <w:rFonts w:hint="eastAsia"/>
        </w:rPr>
      </w:pPr>
      <w:bookmarkStart w:id="12" w:name="_Toc187795101"/>
      <w:r>
        <w:t>Analisi delle serie storiche secondo l’approccio moderno</w:t>
      </w:r>
      <w:bookmarkEnd w:id="12"/>
    </w:p>
    <w:p w14:paraId="1C464197" w14:textId="77777777" w:rsidR="00DA2C9D" w:rsidRPr="002A400C" w:rsidRDefault="00DA2C9D" w:rsidP="00DA2C9D">
      <w:r w:rsidRPr="002A400C">
        <w:t xml:space="preserve">Non ci ripeteremo sui modelli econometrici che sono alle basi dello studio delle serie storiche, in quanto ci interessano maggiormente le implicazioni operative. Ciò nonostante, rimane requisito fondamentale la competenza tecnica che permetta di valutare l’andamento del sottostante e le condizioni macro in essere in un dato momento. Il rischio quando si va ad operare con strumenti derivati è quello di dimenticare che questi dipendono strettamente dal sottostante e dalle condizioni macro. E’ quindi fondamentale lavorare bene su entrambi i lati della medaglia: una strategia con opzioni che sia operativamente efficace non può prescindere da una vision chiara sull’andamento e la salute dei mercati ad un dato momento. Nelle nostre analisi passeremo brevemente sui grandi classici dell’econometria, concentrandoci su alcuni modelli che hanno rivoluzionato lo studio delle serie storiche e delle relazioni tra variabili.  </w:t>
      </w:r>
    </w:p>
    <w:p w14:paraId="4E4EF7A0" w14:textId="77777777" w:rsidR="00DA2C9D" w:rsidRPr="002A400C" w:rsidRDefault="00DA2C9D" w:rsidP="00DA2C9D">
      <w:r w:rsidRPr="002A400C">
        <w:t xml:space="preserve">Nell’approccio tradizionale si assume che la serie storica sia generata secondo un processo stocastico  </w:t>
      </w:r>
    </w:p>
    <w:p w14:paraId="467E90B0" w14:textId="77777777" w:rsidR="00DA2C9D" w:rsidRPr="002A400C" w:rsidRDefault="00C43847" w:rsidP="00DA2C9D">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p w14:paraId="0081886F" w14:textId="77777777" w:rsidR="00DA2C9D" w:rsidRPr="002A400C" w:rsidRDefault="00DA2C9D" w:rsidP="00DA2C9D">
      <w:r w:rsidRPr="002A400C">
        <w:t>In cui vi è una parte deterministica</w:t>
      </w:r>
      <w:r w:rsidRPr="002A400C">
        <w:rPr>
          <w:i/>
          <w:iCs/>
        </w:rPr>
        <w:t xml:space="preserve"> f(t), </w:t>
      </w:r>
      <w:r w:rsidRPr="002A400C">
        <w:t xml:space="preserve">scomponibile in componenti quali trend e stagionalità (Hamilton, 1995). La seconda è invece una parte stocastica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Pr="002A400C">
        <w:t xml:space="preserve"> , componente di errore dato dalla differenza tra i valori teorici calcolati e l’evidenza empirica dei valori osservati. Su quest’ultima componente si concentra l’approccio moderno, che vuole indagare la funzione dell’errore come stabilizzatore infraperiodale, che permetta di riportare la variabile dipendente y verso l’equilibrio. Come vedremo queste assunzioni sono alla base di alcune strategie di trading, le cosiddette MEAN REVERSION trading strategies.</w:t>
      </w:r>
    </w:p>
    <w:p w14:paraId="045BAB4C" w14:textId="77777777" w:rsidR="00DA2C9D" w:rsidRPr="002A400C" w:rsidRDefault="00DA2C9D" w:rsidP="00DA2C9D"/>
    <w:p w14:paraId="4BC73317" w14:textId="26CA9D17" w:rsidR="00DA2C9D" w:rsidRPr="002A400C" w:rsidRDefault="00DA2C9D" w:rsidP="00DA2C9D">
      <w:pPr>
        <w:pStyle w:val="Titolo2"/>
        <w:rPr>
          <w:rFonts w:hint="eastAsia"/>
        </w:rPr>
      </w:pPr>
      <w:bookmarkStart w:id="13" w:name="_Toc187795102"/>
      <w:r>
        <w:t>3.1</w:t>
      </w:r>
      <w:r w:rsidRPr="002A400C">
        <w:t xml:space="preserve"> Analisi delle Serie Temporali Cointegrate per il Trading Mean-Reverting</w:t>
      </w:r>
      <w:bookmarkEnd w:id="13"/>
    </w:p>
    <w:p w14:paraId="33FFCC56" w14:textId="77777777" w:rsidR="00DA2C9D" w:rsidRPr="002A400C" w:rsidRDefault="00DA2C9D" w:rsidP="00DA2C9D"/>
    <w:p w14:paraId="774EC4B3" w14:textId="77777777" w:rsidR="00DA2C9D" w:rsidRPr="002A400C" w:rsidRDefault="00DA2C9D" w:rsidP="00DA2C9D">
      <w:r w:rsidRPr="002A400C">
        <w:t xml:space="preserve">L’idea alla base di queste strategie è quella di aprire contemporaneamente posizioni long e short su due diversi asset, assumendo che entrambi abbiano delle variabili comuni che ne </w:t>
      </w:r>
      <w:r w:rsidRPr="002A400C">
        <w:lastRenderedPageBreak/>
        <w:t>influenzano gli andamenti. La strategia prevede che entrambi gli asset seguano un equilibrio comune di lungo periodo, per cui si può speculare sulla loro tendenza a riallinearsi dopo squilibri di breve periodo. Vedremo quindi i requisiti affinchè si possa tracciare un perimetro che comprenda coppie o panieri di azioni che rientrano nel comportamento sopra descritto. Il primo passo è imparare a studiare la cointegrazione tra due serie storiche Prendiamo in considerazione processi stocastici a tempo discreto, sapendo che le definizioni e i risultati valgono anche nel caso continuo. A questo punto si può ridefinire una serie temporale come una realizzazione campionaria di un processo stocastico non stazionario.</w:t>
      </w:r>
    </w:p>
    <w:p w14:paraId="23DCEF7B" w14:textId="1075B8E4" w:rsidR="00DA2C9D" w:rsidRPr="002A400C" w:rsidRDefault="00BE1672" w:rsidP="001C21C9">
      <w:pPr>
        <w:pStyle w:val="Titolo3"/>
        <w:rPr>
          <w:rFonts w:hint="eastAsia"/>
        </w:rPr>
      </w:pPr>
      <w:bookmarkStart w:id="14" w:name="_Toc187795103"/>
      <w:r>
        <w:t>3.</w:t>
      </w:r>
      <w:r w:rsidR="001C21C9">
        <w:t>1.1</w:t>
      </w:r>
      <w:r>
        <w:t xml:space="preserve"> </w:t>
      </w:r>
      <w:r w:rsidR="00DA2C9D" w:rsidRPr="002A400C">
        <w:t>Cointegrazione</w:t>
      </w:r>
      <w:bookmarkEnd w:id="14"/>
      <w:r w:rsidR="00DA2C9D" w:rsidRPr="002A400C">
        <w:t xml:space="preserve"> </w:t>
      </w:r>
    </w:p>
    <w:p w14:paraId="6DDBFD40" w14:textId="77777777" w:rsidR="00DA2C9D" w:rsidRPr="002A400C" w:rsidRDefault="00DA2C9D" w:rsidP="00DA2C9D">
      <w:r w:rsidRPr="002A400C">
        <w:t>Il più elementare processo non stazionario è chiamato Random Walk:</w:t>
      </w:r>
    </w:p>
    <w:p w14:paraId="2B8F699A" w14:textId="77777777" w:rsidR="00DA2C9D" w:rsidRPr="002A400C" w:rsidRDefault="00DA2C9D" w:rsidP="00DA2C9D">
      <w:r w:rsidRPr="002A400C">
        <w:tab/>
      </w:r>
      <w:r w:rsidRPr="002A400C">
        <w:tab/>
      </w:r>
      <w:r w:rsidRPr="002A400C">
        <w:tab/>
      </w:r>
      <w:r w:rsidRPr="002A400C">
        <w:tab/>
      </w:r>
      <w:r w:rsidRPr="002A400C">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w:r w:rsidRPr="002A400C">
        <w:tab/>
      </w:r>
      <w:r w:rsidRPr="002A400C">
        <w:tab/>
      </w:r>
      <w:r w:rsidRPr="002A400C">
        <w:tab/>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~WN(0,</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37D2FB68" w14:textId="77777777" w:rsidR="00DA2C9D" w:rsidRPr="002A400C" w:rsidRDefault="00DA2C9D" w:rsidP="00DA2C9D">
      <w:r w:rsidRPr="002A400C">
        <w:t xml:space="preserve">Il processo Random Walk implica una varianza linearmente crescente, che porta la variabile dipendente indefinitamente lontano dai valori iniziali al passare del tempo. Differentemente da altri modelli come quello autoregressivo stazionario, non gode della proprietà di regressione verso la media anche detta mean reversion. Il Random Walk è inoltre un processo dalla memoria lunga, in cui la variabile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Pr="002A400C">
        <w:t xml:space="preserve"> avrà un peso costante nelle realizzazioni future della variabile dipendente. Infatti uno shock avrà un effetto persistente sulle realizzazioni future della serie. </w:t>
      </w:r>
    </w:p>
    <w:p w14:paraId="3403A30B" w14:textId="77777777" w:rsidR="00DA2C9D" w:rsidRPr="002A400C" w:rsidRDefault="00DA2C9D" w:rsidP="00DA2C9D">
      <w:r w:rsidRPr="002A400C">
        <w:rPr>
          <w:i/>
          <w:iCs/>
        </w:rPr>
        <w:t xml:space="preserve">Le certezze del mondo della stazionarietà diventano aleatorie quando si fa inferenza con processi integrati. Immaginiamo di avere due variabili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2A400C">
        <w:t xml:space="preserve"> 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2A400C">
        <w:t xml:space="preserve"> e che esista una relazione causale unidirezionale x → y; vogliamo studiare il rapporto quindi tra la variabile dipendete y e quella indipendente x. </w:t>
      </w:r>
    </w:p>
    <w:p w14:paraId="0A92A3CF" w14:textId="77777777" w:rsidR="00DA2C9D" w:rsidRPr="002A400C" w:rsidRDefault="00DA2C9D" w:rsidP="00DA2C9D">
      <w:r w:rsidRPr="002A400C">
        <w:t>La presenza di integrazione può dar luogo al fenomeno che prende il nome di regressione spuria: se yt e xt sono generate da due random walk indipendenti la stima dei MQO di ? può risultare significativamente diversa da zero; inoltre si otterrà un coefficiente di determinazione R2 alto in presenza di un DW estremamente basso e prossimo a zero. Otteniamo così che l’adattamento dei dati al modello è del tutto fittizio. L’analisi di relazioni tra processi integrati è quindi necessaria per stabilire se i risultati di regressione siano utili ad analisi inferenziali e previsionali.</w:t>
      </w:r>
    </w:p>
    <w:p w14:paraId="36A2E244" w14:textId="77777777" w:rsidR="00DA2C9D" w:rsidRPr="002A400C" w:rsidRDefault="00DA2C9D" w:rsidP="00DA2C9D">
      <w:r w:rsidRPr="002A400C">
        <w:t>Questa analisi prende il nome di cointegrazione.</w:t>
      </w:r>
    </w:p>
    <w:p w14:paraId="21CF08AC" w14:textId="77777777" w:rsidR="00DA2C9D" w:rsidRPr="002A400C" w:rsidRDefault="00DA2C9D" w:rsidP="00DA2C9D">
      <w:r w:rsidRPr="002A400C">
        <w:t>Si supponga di avere due serie ( X e Y ) non stazionarie e si supponga che le due variabili siano legate in termini lineari. Se l'ipotesi è corretta, la "divergenza" tra Y e X dovrebbe essere limitata.</w:t>
      </w:r>
    </w:p>
    <w:bookmarkStart w:id="15" w:name="_Hlk187744773"/>
    <w:p w14:paraId="1E8C6A48" w14:textId="77777777" w:rsidR="00DA2C9D" w:rsidRPr="002A400C" w:rsidRDefault="00C43847" w:rsidP="00DA2C9D">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bookmarkEnd w:id="15"/>
    <w:p w14:paraId="0BD5FDB0" w14:textId="77777777" w:rsidR="00DA2C9D" w:rsidRPr="002A400C" w:rsidRDefault="00C43847" w:rsidP="00DA2C9D">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14:paraId="2B71FEE3" w14:textId="77777777" w:rsidR="00DA2C9D" w:rsidRPr="002A400C" w:rsidRDefault="00DA2C9D" w:rsidP="00DA2C9D">
      <w:r w:rsidRPr="002A400C">
        <w:lastRenderedPageBreak/>
        <w:t xml:space="preserve">In termini tecnici, l'errore dell'equazione dovrebbe essere una serie stazionaria. Se questo accade, Y e X sono dette cointegrate. La stima della cointegrazione si può quindi effettuare tramite uno studio OLS sui residui. </w:t>
      </w:r>
    </w:p>
    <w:p w14:paraId="4F4C1BE9" w14:textId="77777777" w:rsidR="00DA2C9D" w:rsidRPr="002A400C" w:rsidRDefault="00DA2C9D" w:rsidP="00DA2C9D">
      <w:pPr>
        <w:rPr>
          <w:i/>
          <w:iCs/>
        </w:rPr>
      </w:pPr>
      <w:r w:rsidRPr="002A400C">
        <w:rPr>
          <w:i/>
          <w:iCs/>
        </w:rPr>
        <w:t>La cointegrazione è un caso raro ma rilevante che si verifica in ambito econometrico quando      combinazioni lineari di variabili non stazionarie non risultano integrate dello stesso ordine, ma presentano un ordine di integrazione inferiore a quello delle serie di partenza. Ad esempio, nel caso in cui le variabili siano integrate del primo ordine, (I(1)), esiste una combinazione lineare che sia stazionaria, cioè I(0), ed è in questo caso che le variabili si dicono cointegrate grazie ai movimenti di lungo periodo presenti in ciascuna di esse. È presente una relazione di equilibrio statico tra le variabili da cui la loro dinamica non può discostarsi troppo. (Proietti 2011)</w:t>
      </w:r>
    </w:p>
    <w:p w14:paraId="35D7A47E" w14:textId="77777777" w:rsidR="00DA2C9D" w:rsidRPr="002A400C" w:rsidRDefault="00DA2C9D" w:rsidP="00DA2C9D">
      <w:r w:rsidRPr="002A400C">
        <w:t xml:space="preserve">Quindi per avere la cointegrazione bisogna formare una combinazione lineare di ciascuna serie per produrre una serie stazionaria, che abbia una media e una varianza fisse. Questa verifica avviene tramite i test per radici ordinarie. In particolare noi ci rifaremo al test di DICKEY FULLER </w:t>
      </w:r>
    </w:p>
    <w:p w14:paraId="2CCE505D" w14:textId="15858454" w:rsidR="00DA2C9D" w:rsidRPr="001C21C9" w:rsidRDefault="001C21C9" w:rsidP="001C21C9">
      <w:pPr>
        <w:pStyle w:val="Titolo3"/>
        <w:rPr>
          <w:rFonts w:hint="eastAsia"/>
        </w:rPr>
      </w:pPr>
      <w:bookmarkStart w:id="16" w:name="_Toc187795104"/>
      <w:r>
        <w:rPr>
          <w:rStyle w:val="Titolo3Carattere"/>
        </w:rPr>
        <w:t>3.1.2</w:t>
      </w:r>
      <w:r w:rsidR="00DA2C9D" w:rsidRPr="002A400C">
        <w:t xml:space="preserve"> TEST DI DICKEY FULLER AUMENTATO E COINTEGRATO PER LA VALUTAZIONE DEL PAIRS TRADING</w:t>
      </w:r>
      <w:bookmarkEnd w:id="16"/>
    </w:p>
    <w:p w14:paraId="01EDCA6B" w14:textId="77777777" w:rsidR="00DA2C9D" w:rsidRPr="002A400C" w:rsidRDefault="00DA2C9D" w:rsidP="00DA2C9D">
      <w:r w:rsidRPr="002A400C">
        <w:t xml:space="preserve">L’Augmented Dickey-Fuller (ADF), dal nome degli omonimi statistici, sottoporremo a verifica l'ipotesi che yt sia stazionario nelle differenze, ossia che </w:t>
      </w:r>
      <w:r w:rsidRPr="002A400C">
        <w:rPr>
          <w:i/>
          <w:iCs/>
        </w:rPr>
        <w:t xml:space="preserve">∆yt </w:t>
      </w:r>
      <w:r w:rsidRPr="002A400C">
        <w:t xml:space="preserve">ha una rappresentazione di Wold stazionaria ed invertibile, contro l'alternativa che sia stazionario attorno ad un processo deterministico. In particolare il Dickey Fuller è un test di radice unitaria che suppone </w:t>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sidRPr="002A400C">
        <w:t>incorrelato e omoschedastico. L’omoschedasticità è la proprietà di una collezione di variabili aleatorie di avere tutte la stessa varianza finita.  (teorizzata da  Pearson). Il processo</w:t>
      </w:r>
    </w:p>
    <w:p w14:paraId="1A7B1B0D" w14:textId="77777777" w:rsidR="00DA2C9D" w:rsidRPr="002A400C" w:rsidRDefault="00C43847" w:rsidP="00DA2C9D">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=dt+ </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DA2C9D" w:rsidRPr="002A400C">
        <w:tab/>
      </w:r>
      <w:r w:rsidR="00DA2C9D" w:rsidRPr="002A400C">
        <w:tab/>
      </w:r>
      <w:r w:rsidR="00DA2C9D" w:rsidRPr="002A400C">
        <w:tab/>
      </w: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~WN(0,</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p>
    <w:p w14:paraId="7FC993B1" w14:textId="77777777" w:rsidR="00DA2C9D" w:rsidRPr="002A400C" w:rsidRDefault="00DA2C9D" w:rsidP="00DA2C9D">
      <w:r w:rsidRPr="002A400C">
        <w:t xml:space="preserve">Con </w:t>
      </w:r>
      <w:r w:rsidRPr="002A400C">
        <w:rPr>
          <w:i/>
          <w:iCs/>
        </w:rPr>
        <w:t xml:space="preserve">dt </w:t>
      </w:r>
      <w:r w:rsidRPr="002A400C">
        <w:t xml:space="preserve">componente deterministica, può appartenere a due diverse classi di processi stocastici: </w:t>
      </w:r>
    </w:p>
    <w:p w14:paraId="7333F990" w14:textId="77777777" w:rsidR="00DA2C9D" w:rsidRPr="002A400C" w:rsidRDefault="00DA2C9D" w:rsidP="00DA2C9D">
      <w:pPr>
        <w:numPr>
          <w:ilvl w:val="0"/>
          <w:numId w:val="10"/>
        </w:numPr>
      </w:pPr>
      <w:r w:rsidRPr="002A400C">
        <w:t>I processi Trend-Stationary: in cui le variazioni di breve seguono un modello a media zero, in cui la componente data dal trend è la preponderante.</w:t>
      </w:r>
    </w:p>
    <w:p w14:paraId="2BFA0AB7" w14:textId="77777777" w:rsidR="00DA2C9D" w:rsidRPr="002A400C" w:rsidRDefault="00DA2C9D" w:rsidP="00DA2C9D">
      <w:pPr>
        <w:numPr>
          <w:ilvl w:val="0"/>
          <w:numId w:val="10"/>
        </w:numPr>
      </w:pPr>
      <w:r w:rsidRPr="002A400C">
        <w:t>I processi Difference-Stationary: per i quali le differenze prime della variabile yt ammettono una rappresentazione autoregressiva stazionaria.</w:t>
      </w:r>
    </w:p>
    <w:p w14:paraId="3279DCA2" w14:textId="77777777" w:rsidR="00DA2C9D" w:rsidRPr="002A400C" w:rsidRDefault="00DA2C9D" w:rsidP="00DA2C9D">
      <w:r w:rsidRPr="002A400C">
        <w:t xml:space="preserve">  </w:t>
      </w:r>
      <w:r w:rsidRPr="002A400C">
        <w:rPr>
          <w:i/>
          <w:iCs/>
        </w:rPr>
        <w:t>Al fine di distinguere in quale classe ricada il processo in analisi si effettua il test ADF: andiamo a fare un esempio e a implementare in un codice MQL5 questo caso.</w:t>
      </w:r>
    </w:p>
    <w:p w14:paraId="0811F7A4" w14:textId="77777777" w:rsidR="00DA2C9D" w:rsidRPr="002A400C" w:rsidRDefault="00DA2C9D" w:rsidP="00DA2C9D">
      <w:r w:rsidRPr="002A400C">
        <w:rPr>
          <w:i/>
          <w:iCs/>
        </w:rPr>
        <w:t xml:space="preserve">Usiamo alcuni dati simulati che sappiamo già essere cointegrati. Cerchiamo cioè due serie storiche non stazionarie che condividano una tendenza stocastica comune e che abbiano una combinazione lineare stazionaria. Partiamo dalla tendenza di fondo </w:t>
      </w:r>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2A400C">
        <w:rPr>
          <w:i/>
          <w:iCs/>
        </w:rPr>
        <w:t xml:space="preserve">e da quella genereremo le nostre serie temporali </w:t>
      </w:r>
      <m:oMath>
        <m:sSub>
          <m:sSubPr>
            <m:ctrlPr>
              <w:rPr>
                <w:rFonts w:ascii="Cambria Math" w:hAnsi="Cambria Math"/>
              </w:rPr>
            </m:ctrlPr>
          </m:sSubPr>
          <m:e>
            <m:r>
              <w:rPr>
                <w:rFonts w:ascii="Cambria Math" w:hAnsi="Cambria Math"/>
              </w:rPr>
              <m:t>y</m:t>
            </m:r>
          </m:e>
          <m:sub>
            <m:r>
              <m:rPr>
                <m:sty m:val="p"/>
              </m:rPr>
              <w:rPr>
                <w:rFonts w:ascii="Cambria Math" w:hAnsi="Cambria Math"/>
              </w:rPr>
              <m:t>t</m:t>
            </m:r>
          </m:sub>
        </m:sSub>
        <m:r>
          <w:rPr>
            <w:rFonts w:ascii="Cambria Math" w:hAnsi="Cambria Math"/>
          </w:rPr>
          <m:t xml:space="preserve"> </m:t>
        </m:r>
      </m:oMath>
      <w:r w:rsidRPr="002A400C">
        <w:rPr>
          <w:i/>
          <w:iCs/>
        </w:rP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t</m:t>
            </m:r>
          </m:sub>
        </m:sSub>
        <m:r>
          <w:rPr>
            <w:rFonts w:ascii="Cambria Math" w:hAnsi="Cambria Math"/>
          </w:rPr>
          <m:t xml:space="preserve"> </m:t>
        </m:r>
      </m:oMath>
      <w:r w:rsidRPr="002A400C">
        <w:rPr>
          <w:i/>
          <w:iCs/>
        </w:rPr>
        <w:t>.</w:t>
      </w:r>
    </w:p>
    <w:p w14:paraId="3455F850" w14:textId="77777777" w:rsidR="00DA2C9D" w:rsidRPr="002A400C" w:rsidRDefault="00DA2C9D" w:rsidP="00DA2C9D">
      <w:r w:rsidRPr="002A400C">
        <w:rPr>
          <w:i/>
          <w:iCs/>
        </w:rPr>
        <w:lastRenderedPageBreak/>
        <w:t>Ci tornano utili i concetti commentati in precedenza sulla random walk:</w:t>
      </w:r>
    </w:p>
    <w:p w14:paraId="6123F592" w14:textId="77777777" w:rsidR="00DA2C9D" w:rsidRPr="002A400C" w:rsidRDefault="00C43847" w:rsidP="00DA2C9D">
      <m:oMath>
        <m:sSub>
          <m:sSubPr>
            <m:ctrlPr>
              <w:rPr>
                <w:rFonts w:ascii="Cambria Math" w:hAnsi="Cambria Math"/>
              </w:rPr>
            </m:ctrlPr>
          </m:sSubPr>
          <m:e>
            <m:r>
              <w:rPr>
                <w:rFonts w:ascii="Cambria Math" w:hAnsi="Cambria Math"/>
              </w:rPr>
              <m:t>z</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sidR="00DA2C9D" w:rsidRPr="002A400C">
        <w:rPr>
          <w:i/>
          <w:iCs/>
        </w:rPr>
        <w:t xml:space="preserve">  </w:t>
      </w:r>
      <w:r w:rsidR="00DA2C9D" w:rsidRPr="002A400C">
        <w:rPr>
          <w:i/>
          <w:iCs/>
        </w:rPr>
        <w:tab/>
        <w:t xml:space="preserve">con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sidR="00DA2C9D" w:rsidRPr="002A400C">
        <w:rPr>
          <w:i/>
          <w:iCs/>
        </w:rPr>
        <w:t xml:space="preserve"> rumore bianco e discreto.</w:t>
      </w:r>
    </w:p>
    <w:p w14:paraId="3B90BA15" w14:textId="77777777" w:rsidR="00DA2C9D" w:rsidRPr="002A400C" w:rsidRDefault="00DA2C9D" w:rsidP="00DA2C9D">
      <w:r w:rsidRPr="002A400C">
        <w:rPr>
          <w:i/>
          <w:iCs/>
        </w:rPr>
        <w:t>Quindi creiamo:</w:t>
      </w:r>
    </w:p>
    <w:p w14:paraId="3A3F7B84" w14:textId="77777777" w:rsidR="00DA2C9D" w:rsidRPr="002A400C" w:rsidRDefault="00C43847" w:rsidP="00DA2C9D">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=p</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x,t</m:t>
              </m:r>
            </m:sub>
          </m:sSub>
        </m:oMath>
      </m:oMathPara>
    </w:p>
    <w:p w14:paraId="30724029" w14:textId="77777777" w:rsidR="00DA2C9D" w:rsidRPr="002A400C" w:rsidRDefault="00C43847" w:rsidP="00DA2C9D">
      <m:oMathPara>
        <m:oMath>
          <m:sSub>
            <m:sSubPr>
              <m:ctrlPr>
                <w:rPr>
                  <w:rFonts w:ascii="Cambria Math" w:hAnsi="Cambria Math"/>
                </w:rPr>
              </m:ctrlPr>
            </m:sSubPr>
            <m:e>
              <m:r>
                <w:rPr>
                  <w:rFonts w:ascii="Cambria Math" w:hAnsi="Cambria Math"/>
                </w:rPr>
                <m:t>y</m:t>
              </m:r>
            </m:e>
            <m:sub>
              <m:r>
                <m:rPr>
                  <m:sty m:val="p"/>
                </m:rPr>
                <w:rPr>
                  <w:rFonts w:ascii="Cambria Math" w:hAnsi="Cambria Math"/>
                </w:rPr>
                <m:t>t</m:t>
              </m:r>
            </m:sub>
          </m:sSub>
          <m:r>
            <w:rPr>
              <w:rFonts w:ascii="Cambria Math" w:hAnsi="Cambria Math"/>
            </w:rPr>
            <m:t>=q</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w</m:t>
              </m:r>
            </m:e>
            <m:sub>
              <m:r>
                <w:rPr>
                  <w:rFonts w:ascii="Cambria Math" w:hAnsi="Cambria Math"/>
                </w:rPr>
                <m:t>y,</m:t>
              </m:r>
              <m:r>
                <m:rPr>
                  <m:sty m:val="p"/>
                </m:rPr>
                <w:rPr>
                  <w:rFonts w:ascii="Cambria Math" w:hAnsi="Cambria Math"/>
                </w:rPr>
                <m:t>t</m:t>
              </m:r>
            </m:sub>
          </m:sSub>
        </m:oMath>
      </m:oMathPara>
    </w:p>
    <w:p w14:paraId="2A142A21" w14:textId="77777777" w:rsidR="00DA2C9D" w:rsidRPr="002A400C" w:rsidRDefault="00DA2C9D" w:rsidP="00DA2C9D"/>
    <w:p w14:paraId="62A10788" w14:textId="77777777" w:rsidR="00DA2C9D" w:rsidRPr="002A400C" w:rsidRDefault="00DA2C9D" w:rsidP="00DA2C9D"/>
    <w:p w14:paraId="56AADA8D" w14:textId="77777777" w:rsidR="00DA2C9D" w:rsidRPr="002A400C" w:rsidRDefault="00DA2C9D" w:rsidP="00DA2C9D"/>
    <w:p w14:paraId="738F2D82" w14:textId="77777777" w:rsidR="00DA2C9D" w:rsidRPr="002A400C" w:rsidRDefault="00DA2C9D" w:rsidP="00DA2C9D"/>
    <w:p w14:paraId="56D1CFB5" w14:textId="77777777" w:rsidR="00DA2C9D" w:rsidRPr="002A400C" w:rsidRDefault="00DA2C9D" w:rsidP="00DA2C9D">
      <m:oMathPara>
        <m:oMath>
          <m:r>
            <m:rPr>
              <m:sty m:val="p"/>
            </m:rPr>
            <w:rPr>
              <w:rFonts w:ascii="Cambria Math" w:hAnsi="Cambria Math"/>
            </w:rPr>
            <m:t>α</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+b</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t</m:t>
              </m:r>
            </m:sub>
          </m:sSub>
          <m:r>
            <m:rPr>
              <m:sty m:val="p"/>
            </m:rPr>
            <w:rPr>
              <w:rFonts w:ascii="Cambria Math" w:hAnsi="Cambria Math"/>
            </w:rPr>
            <m:t>=α</m:t>
          </m:r>
          <m:d>
            <m:dPr>
              <m:ctrlPr>
                <w:rPr>
                  <w:rFonts w:ascii="Cambria Math" w:hAnsi="Cambria Math"/>
                </w:rPr>
              </m:ctrlPr>
            </m:dPr>
            <m:e>
              <m:r>
                <m:rPr>
                  <m:sty m:val="p"/>
                </m:rPr>
                <w:rPr>
                  <w:rFonts w:ascii="Cambria Math" w:hAnsi="Cambria Math"/>
                </w:rPr>
                <m:t>p</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x,t</m:t>
                  </m:r>
                </m:sub>
              </m:sSub>
            </m:e>
          </m:d>
          <m:r>
            <m:rPr>
              <m:sty m:val="p"/>
            </m:rPr>
            <w:rPr>
              <w:rFonts w:ascii="Cambria Math" w:hAnsi="Cambria Math"/>
            </w:rPr>
            <m:t>+b</m:t>
          </m:r>
          <m:d>
            <m:dPr>
              <m:ctrlPr>
                <w:rPr>
                  <w:rFonts w:ascii="Cambria Math" w:hAnsi="Cambria Math"/>
                </w:rPr>
              </m:ctrlPr>
            </m:dPr>
            <m:e>
              <m:r>
                <m:rPr>
                  <m:sty m:val="p"/>
                </m:rPr>
                <w:rPr>
                  <w:rFonts w:ascii="Cambria Math" w:hAnsi="Cambria Math"/>
                </w:rPr>
                <m:t>q</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y,t</m:t>
                  </m:r>
                </m:sub>
              </m:sSub>
            </m:e>
          </m:d>
        </m:oMath>
      </m:oMathPara>
    </w:p>
    <w:p w14:paraId="4A1A39C8" w14:textId="77777777" w:rsidR="00DA2C9D" w:rsidRPr="002A400C" w:rsidRDefault="00DA2C9D" w:rsidP="00DA2C9D">
      <m:oMathPara>
        <m:oMath>
          <m:r>
            <m:rPr>
              <m:sty m:val="p"/>
            </m:rPr>
            <w:rPr>
              <w:rFonts w:ascii="Cambria Math" w:hAnsi="Cambria Math"/>
            </w:rPr>
            <m:t>=(αp+bq)</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t</m:t>
              </m:r>
            </m:sub>
          </m:sSub>
          <m:r>
            <m:rPr>
              <m:sty m:val="p"/>
            </m:rPr>
            <w:rPr>
              <w:rFonts w:ascii="Cambria Math" w:hAnsi="Cambria Math"/>
            </w:rPr>
            <m:t>+α</m:t>
          </m:r>
          <m:sSub>
            <m:sSubPr>
              <m:ctrlPr>
                <w:rPr>
                  <w:rFonts w:ascii="Cambria Math" w:hAnsi="Cambria Math"/>
                </w:rPr>
              </m:ctrlPr>
            </m:sSubPr>
            <m:e>
              <m:r>
                <w:rPr>
                  <w:rFonts w:ascii="Cambria Math" w:hAnsi="Cambria Math"/>
                </w:rPr>
                <m:t>w</m:t>
              </m:r>
            </m:e>
            <m:sub>
              <m:r>
                <w:rPr>
                  <w:rFonts w:ascii="Cambria Math" w:hAnsi="Cambria Math"/>
                </w:rPr>
                <m:t>x,t</m:t>
              </m:r>
            </m:sub>
          </m:sSub>
          <m:r>
            <m:rPr>
              <m:sty m:val="p"/>
            </m:rPr>
            <w:rPr>
              <w:rFonts w:ascii="Cambria Math" w:hAnsi="Cambria Math"/>
            </w:rPr>
            <m:t>+b</m:t>
          </m:r>
          <m:sSub>
            <m:sSubPr>
              <m:ctrlPr>
                <w:rPr>
                  <w:rFonts w:ascii="Cambria Math" w:hAnsi="Cambria Math"/>
                </w:rPr>
              </m:ctrlPr>
            </m:sSubPr>
            <m:e>
              <m:r>
                <w:rPr>
                  <w:rFonts w:ascii="Cambria Math" w:hAnsi="Cambria Math"/>
                </w:rPr>
                <m:t>w</m:t>
              </m:r>
            </m:e>
            <m:sub>
              <m:r>
                <w:rPr>
                  <w:rFonts w:ascii="Cambria Math" w:hAnsi="Cambria Math"/>
                </w:rPr>
                <m:t>y,t</m:t>
              </m:r>
            </m:sub>
          </m:sSub>
        </m:oMath>
      </m:oMathPara>
    </w:p>
    <w:p w14:paraId="6B277E20" w14:textId="77777777" w:rsidR="00DA2C9D" w:rsidRPr="002A400C" w:rsidRDefault="00DA2C9D" w:rsidP="00DA2C9D">
      <w:r w:rsidRPr="002A400C">
        <w:t xml:space="preserve">Abbiamo ottenuto una serie che è stazionaria per  </w:t>
      </w:r>
      <m:oMath>
        <m:d>
          <m:dPr>
            <m:ctrlPr>
              <w:rPr>
                <w:rFonts w:ascii="Cambria Math" w:hAnsi="Cambria Math"/>
              </w:rPr>
            </m:ctrlPr>
          </m:dPr>
          <m:e>
            <m:r>
              <m:rPr>
                <m:sty m:val="p"/>
              </m:rPr>
              <w:rPr>
                <w:rFonts w:ascii="Cambria Math" w:hAnsi="Cambria Math"/>
              </w:rPr>
              <m:t>αp+bq</m:t>
            </m:r>
          </m:e>
        </m:d>
        <m:r>
          <w:rPr>
            <w:rFonts w:ascii="Cambria Math" w:hAnsi="Cambria Math"/>
          </w:rPr>
          <m:t>=0</m:t>
        </m:r>
      </m:oMath>
      <w:r w:rsidRPr="002A400C">
        <w:t xml:space="preserve"> .</w:t>
      </w:r>
    </w:p>
    <w:p w14:paraId="651E94F9" w14:textId="77777777" w:rsidR="00DA2C9D" w:rsidRPr="002A400C" w:rsidRDefault="00DA2C9D" w:rsidP="00DA2C9D">
      <w:r w:rsidRPr="002A400C">
        <w:t xml:space="preserve">Vediamolo in codice : </w:t>
      </w:r>
    </w:p>
    <w:p w14:paraId="6145FE54" w14:textId="77777777" w:rsidR="00DA2C9D" w:rsidRPr="002A400C" w:rsidRDefault="00DA2C9D" w:rsidP="00DA2C9D">
      <w:hyperlink r:id="rId20" w:history="1">
        <w:r w:rsidRPr="002A400C">
          <w:rPr>
            <w:rStyle w:val="Collegamentoipertestuale"/>
          </w:rPr>
          <w:t>https://datatrading.info/analisi-delle-serie-temporali-cointegrate-per-il-trading-mean-reverting/</w:t>
        </w:r>
      </w:hyperlink>
    </w:p>
    <w:p w14:paraId="553ACF9B" w14:textId="77777777" w:rsidR="00DA2C9D" w:rsidRPr="002A400C" w:rsidRDefault="00DA2C9D" w:rsidP="00DA2C9D">
      <w:pPr>
        <w:rPr>
          <w:lang w:val="en-US"/>
        </w:rPr>
      </w:pPr>
      <w:r w:rsidRPr="002A400C">
        <w:rPr>
          <w:lang w:val="en-US"/>
        </w:rPr>
        <w:t>from statsmodels.graphics.tsaplots import plot_acf</w:t>
      </w:r>
    </w:p>
    <w:p w14:paraId="4C3B4726" w14:textId="77777777" w:rsidR="00DA2C9D" w:rsidRPr="002A400C" w:rsidRDefault="00DA2C9D" w:rsidP="00DA2C9D">
      <w:pPr>
        <w:rPr>
          <w:lang w:val="en-US"/>
        </w:rPr>
      </w:pPr>
    </w:p>
    <w:p w14:paraId="19254E7B" w14:textId="77777777" w:rsidR="00DA2C9D" w:rsidRPr="002A400C" w:rsidRDefault="00DA2C9D" w:rsidP="00DA2C9D">
      <w:pPr>
        <w:rPr>
          <w:lang w:val="en-US"/>
        </w:rPr>
      </w:pPr>
      <w:r w:rsidRPr="002A400C">
        <w:rPr>
          <w:lang w:val="en-US"/>
        </w:rPr>
        <w:t>plot_acf(random_walk, alpha=0.05, lags=30)</w:t>
      </w:r>
    </w:p>
    <w:p w14:paraId="474077B6" w14:textId="77777777" w:rsidR="00DA2C9D" w:rsidRPr="002A400C" w:rsidRDefault="00DA2C9D" w:rsidP="00DA2C9D">
      <w:pPr>
        <w:rPr>
          <w:lang w:val="en-US"/>
        </w:rPr>
      </w:pPr>
      <w:r w:rsidRPr="002A400C">
        <w:rPr>
          <w:lang w:val="en-US"/>
        </w:rPr>
        <w:t>plot_acf(np.diff(random_walk), alpha=0.05, lags=30)</w:t>
      </w:r>
    </w:p>
    <w:p w14:paraId="0F3D4F58" w14:textId="77777777" w:rsidR="00DA2C9D" w:rsidRPr="002A400C" w:rsidRDefault="00DA2C9D" w:rsidP="00DA2C9D">
      <w:r w:rsidRPr="002A400C">
        <w:t>plt.show()</w:t>
      </w:r>
    </w:p>
    <w:p w14:paraId="3E19AEB9" w14:textId="77777777" w:rsidR="00DA2C9D" w:rsidRPr="002A400C" w:rsidRDefault="00DA2C9D" w:rsidP="00DA2C9D"/>
    <w:p w14:paraId="7A50BB2E" w14:textId="77777777" w:rsidR="00DA2C9D" w:rsidRPr="002A400C" w:rsidRDefault="00DA2C9D" w:rsidP="00DA2C9D">
      <w:pPr>
        <w:rPr>
          <w:b/>
          <w:bCs/>
        </w:rPr>
      </w:pPr>
      <w:r w:rsidRPr="002A400C">
        <w:t>Purtroppo il test ADF non ci fornisce il parametro di regressione β – l’hedge ratio – necessario per ottenere la combinazione lineare delle due serie temporali. In questo articolo descriviamo la procedura Cointegrated Augmented</w:t>
      </w:r>
    </w:p>
    <w:p w14:paraId="0629DAF6" w14:textId="77777777" w:rsidR="00DA2C9D" w:rsidRPr="002A400C" w:rsidRDefault="00DA2C9D" w:rsidP="00DA2C9D">
      <w:pPr>
        <w:rPr>
          <w:i/>
          <w:iCs/>
        </w:rPr>
      </w:pPr>
      <w:r w:rsidRPr="002A400C">
        <w:rPr>
          <w:i/>
          <w:iCs/>
        </w:rPr>
        <w:t>https://www.bankpedia.org/index_voce.php?lingua=it&amp;i_id=90&amp;i_alias=c&amp;c_id=23718-cointegrazione-delle-serie-storiche-finanziarie</w:t>
      </w:r>
    </w:p>
    <w:p w14:paraId="0EC1BD9A" w14:textId="77777777" w:rsidR="00DA2C9D" w:rsidRPr="002A400C" w:rsidRDefault="00DA2C9D" w:rsidP="00DA2C9D">
      <w:pPr>
        <w:rPr>
          <w:i/>
          <w:iCs/>
        </w:rPr>
      </w:pPr>
      <w:hyperlink r:id="rId21" w:history="1">
        <w:r w:rsidRPr="002A400C">
          <w:rPr>
            <w:rStyle w:val="Collegamentoipertestuale"/>
          </w:rPr>
          <w:t>https://www.bankpedia.org/termine.php?lingua=it&amp;c_id=23708</w:t>
        </w:r>
      </w:hyperlink>
    </w:p>
    <w:p w14:paraId="39937332" w14:textId="77777777" w:rsidR="00DA2C9D" w:rsidRPr="002A400C" w:rsidRDefault="00DA2C9D" w:rsidP="00DA2C9D">
      <w:pPr>
        <w:rPr>
          <w:i/>
          <w:iCs/>
        </w:rPr>
      </w:pPr>
      <w:hyperlink r:id="rId22" w:history="1">
        <w:r w:rsidRPr="002A400C">
          <w:rPr>
            <w:rStyle w:val="Collegamentoipertestuale"/>
          </w:rPr>
          <w:t>https://tesi.luiss.it/8654/1/orsini-tesi-2012.pdf</w:t>
        </w:r>
      </w:hyperlink>
    </w:p>
    <w:p w14:paraId="68B70C1E" w14:textId="77777777" w:rsidR="00DA2C9D" w:rsidRPr="002A400C" w:rsidRDefault="00DA2C9D" w:rsidP="00DA2C9D">
      <w:pPr>
        <w:rPr>
          <w:i/>
          <w:iCs/>
        </w:rPr>
      </w:pPr>
      <w:hyperlink r:id="rId23" w:history="1">
        <w:r w:rsidRPr="002A400C">
          <w:rPr>
            <w:rStyle w:val="Collegamentoipertestuale"/>
          </w:rPr>
          <w:t>https://datatrading.info/test-di-dickey-fuller-aumentato-e-cointegrato-per-la-valutazione-del-pairs-trading/</w:t>
        </w:r>
      </w:hyperlink>
    </w:p>
    <w:p w14:paraId="5158DBA0" w14:textId="77777777" w:rsidR="00DA2C9D" w:rsidRPr="002A400C" w:rsidRDefault="00DA2C9D" w:rsidP="00DA2C9D">
      <w:pPr>
        <w:rPr>
          <w:i/>
          <w:iCs/>
        </w:rPr>
      </w:pPr>
      <w:r w:rsidRPr="002A400C">
        <w:rPr>
          <w:i/>
          <w:iCs/>
        </w:rPr>
        <w:t>https://datatrading.info/analisi-delle-serie-temporali-cointegrate-per-il-trading-mean-reverting/</w:t>
      </w:r>
    </w:p>
    <w:p w14:paraId="58EE6536" w14:textId="77777777" w:rsidR="00DA2C9D" w:rsidRPr="002A400C" w:rsidRDefault="00DA2C9D" w:rsidP="00DA2C9D">
      <w:pPr>
        <w:rPr>
          <w:i/>
          <w:iCs/>
        </w:rPr>
      </w:pPr>
    </w:p>
    <w:p w14:paraId="4CADAB86" w14:textId="77777777" w:rsidR="00DA2C9D" w:rsidRPr="002A400C" w:rsidRDefault="00DA2C9D" w:rsidP="00DA2C9D">
      <w:pPr>
        <w:rPr>
          <w:i/>
          <w:iCs/>
        </w:rPr>
      </w:pPr>
    </w:p>
    <w:p w14:paraId="3D9A0487" w14:textId="77777777" w:rsidR="00DA2C9D" w:rsidRPr="002A400C" w:rsidRDefault="00DA2C9D" w:rsidP="00DA2C9D"/>
    <w:p w14:paraId="58AC8882" w14:textId="77777777" w:rsidR="00DA2C9D" w:rsidRPr="002A400C" w:rsidRDefault="00DA2C9D" w:rsidP="00DA2C9D">
      <w:r w:rsidRPr="002A400C">
        <w:rPr>
          <w:noProof/>
        </w:rPr>
        <w:drawing>
          <wp:inline distT="0" distB="0" distL="0" distR="0" wp14:anchorId="28E6B7B4" wp14:editId="4282E9F5">
            <wp:extent cx="4381500" cy="3495675"/>
            <wp:effectExtent l="0" t="0" r="0" b="9525"/>
            <wp:docPr id="1024064689"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64689" name="Immagine 2" descr="Immagine che contiene testo, schermata, diagramma, linea&#10;&#10;Descrizione generat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0" cy="3495675"/>
                    </a:xfrm>
                    <a:prstGeom prst="rect">
                      <a:avLst/>
                    </a:prstGeom>
                    <a:noFill/>
                    <a:ln>
                      <a:noFill/>
                    </a:ln>
                  </pic:spPr>
                </pic:pic>
              </a:graphicData>
            </a:graphic>
          </wp:inline>
        </w:drawing>
      </w:r>
    </w:p>
    <w:p w14:paraId="6DFDB86B" w14:textId="77777777" w:rsidR="00DA2C9D" w:rsidRPr="002A400C" w:rsidRDefault="00DA2C9D" w:rsidP="00DA2C9D"/>
    <w:p w14:paraId="3998CEDE" w14:textId="77777777" w:rsidR="00DA2C9D" w:rsidRPr="002A400C" w:rsidRDefault="00DA2C9D" w:rsidP="00DA2C9D">
      <w:r w:rsidRPr="002A400C">
        <w:t>MODELLO DI CORREZIONE DELL'ERRORE (MCE)</w:t>
      </w:r>
    </w:p>
    <w:p w14:paraId="3644E700" w14:textId="77777777" w:rsidR="00DA2C9D" w:rsidRPr="002A400C" w:rsidRDefault="00DA2C9D" w:rsidP="00DA2C9D">
      <w:r w:rsidRPr="002A400C">
        <w:t xml:space="preserve">Il modello a correzione dell’errore è un modello che vuole risolvere il problema della correlazione spuria che spesso si verifica nella stima delle relazioni tra variabili non stazionarie. E’ un punto di giuntura tra la l’analisi delle serie storiche e la teoria economica, visualizzando le relazioni tra breve e lungo periodo. Sappiamo che le variazioni della variabile dipendente sono dovute non solo a variazioni delle varibili indipendenti, ma anche al disequilibrio formatosi all’istante precedente. </w:t>
      </w:r>
    </w:p>
    <w:p w14:paraId="0C5EC85D" w14:textId="77777777" w:rsidR="00DA2C9D" w:rsidRPr="002A400C" w:rsidRDefault="00DA2C9D" w:rsidP="00DA2C9D">
      <w:pPr>
        <w:rPr>
          <w:i/>
          <w:iCs/>
        </w:rPr>
      </w:pPr>
    </w:p>
    <w:p w14:paraId="2B3957B3" w14:textId="77777777" w:rsidR="00DA2C9D" w:rsidRPr="002A400C" w:rsidRDefault="00DA2C9D" w:rsidP="00DA2C9D"/>
    <w:p w14:paraId="51E6458B" w14:textId="77777777" w:rsidR="00DA2C9D" w:rsidRPr="002A400C" w:rsidRDefault="00DA2C9D" w:rsidP="00DA2C9D"/>
    <w:p w14:paraId="0A06C555" w14:textId="77777777" w:rsidR="00DA2C9D" w:rsidRDefault="00DA2C9D" w:rsidP="00DA2C9D">
      <w:pPr>
        <w:pStyle w:val="Sottotitolo"/>
        <w:rPr>
          <w:rStyle w:val="Enfasidelicata"/>
          <w:rFonts w:hint="eastAsia"/>
        </w:rPr>
      </w:pPr>
      <m:oMath>
        <m:r>
          <m:rPr>
            <m:sty m:val="p"/>
          </m:rPr>
          <w:rPr>
            <w:rFonts w:ascii="Cambria Math" w:hAnsi="Cambria Math"/>
          </w:rPr>
          <w:lastRenderedPageBreak/>
          <m:t>OPZIONI</m:t>
        </m:r>
      </m:oMath>
      <w:r>
        <w:rPr>
          <w:rStyle w:val="Enfasidelicata"/>
        </w:rPr>
        <w:t xml:space="preserve"> pag 441</w:t>
      </w:r>
    </w:p>
    <w:p w14:paraId="40CD0D91" w14:textId="77777777" w:rsidR="00DA2C9D" w:rsidRPr="00490143" w:rsidRDefault="00DA2C9D" w:rsidP="00DA2C9D"/>
    <w:p w14:paraId="158E5CA7" w14:textId="77777777" w:rsidR="00DA2C9D" w:rsidRDefault="00DA2C9D" w:rsidP="00DA2C9D">
      <w:r>
        <w:t xml:space="preserve">Molto più importante è la possibilità di valorizzare lo strumento anche nei momenti antecedenti la sua scadenza. </w:t>
      </w:r>
    </w:p>
    <w:p w14:paraId="11853881" w14:textId="77777777" w:rsidR="00DA2C9D" w:rsidRDefault="00DA2C9D" w:rsidP="00DA2C9D"/>
    <w:p w14:paraId="3ED56B6E" w14:textId="77777777" w:rsidR="00DA2C9D" w:rsidRPr="00D76CB6" w:rsidRDefault="00DA2C9D" w:rsidP="00DA2C9D">
      <w:pPr>
        <w:rPr>
          <w:rFonts w:eastAsiaTheme="minorEastAsia"/>
        </w:rPr>
      </w:pPr>
      <m:oMathPara>
        <m:oMath>
          <m:r>
            <w:rPr>
              <w:rFonts w:ascii="Cambria Math" w:hAnsi="Cambria Math"/>
            </w:rPr>
            <m:t>premio=VI+VT</m:t>
          </m:r>
        </m:oMath>
      </m:oMathPara>
    </w:p>
    <w:p w14:paraId="1C872824" w14:textId="77777777" w:rsidR="00DA2C9D" w:rsidRDefault="00DA2C9D" w:rsidP="00DA2C9D">
      <w:pPr>
        <w:rPr>
          <w:rFonts w:eastAsiaTheme="minorEastAsia"/>
        </w:rPr>
      </w:pPr>
    </w:p>
    <w:p w14:paraId="081BA401" w14:textId="77777777" w:rsidR="00DA2C9D" w:rsidRPr="005A76D1" w:rsidRDefault="00DA2C9D" w:rsidP="00DA2C9D">
      <w:pPr>
        <w:rPr>
          <w:rFonts w:eastAsiaTheme="minorEastAsia"/>
          <w:lang w:val="en-US"/>
        </w:rPr>
      </w:pPr>
      <w:r w:rsidRPr="005A76D1">
        <w:rPr>
          <w:rFonts w:eastAsiaTheme="minorEastAsia"/>
          <w:lang w:val="en-US"/>
        </w:rPr>
        <w:t>Vi = max (0;S-X) – out of the money Vi = 0.</w:t>
      </w:r>
    </w:p>
    <w:p w14:paraId="276F7350" w14:textId="77777777" w:rsidR="00DA2C9D" w:rsidRPr="005A76D1" w:rsidRDefault="00DA2C9D" w:rsidP="00DA2C9D">
      <w:pPr>
        <w:rPr>
          <w:rFonts w:eastAsiaTheme="minorEastAsia"/>
          <w:lang w:val="en-US"/>
        </w:rPr>
      </w:pPr>
    </w:p>
    <w:p w14:paraId="79A77955" w14:textId="77777777" w:rsidR="00DA2C9D" w:rsidRPr="005A76D1" w:rsidRDefault="00DA2C9D" w:rsidP="00DA2C9D">
      <w:pPr>
        <w:rPr>
          <w:rFonts w:eastAsiaTheme="minorEastAsia"/>
          <w:lang w:val="en-US"/>
        </w:rPr>
      </w:pPr>
    </w:p>
    <w:p w14:paraId="58FDD0F6" w14:textId="77777777" w:rsidR="00DA2C9D" w:rsidRPr="00DA2C9D" w:rsidRDefault="00DA2C9D" w:rsidP="00DA2C9D"/>
    <w:p w14:paraId="26BAF1D5" w14:textId="77777777" w:rsidR="00487EE2" w:rsidRPr="00487EE2" w:rsidRDefault="00487EE2" w:rsidP="00487EE2"/>
    <w:p w14:paraId="26252A0E" w14:textId="77777777" w:rsidR="007A08E6" w:rsidRDefault="007A08E6" w:rsidP="007A08E6">
      <w:pPr>
        <w:pStyle w:val="Paragrafoelenco"/>
      </w:pPr>
    </w:p>
    <w:p w14:paraId="12515902" w14:textId="598EA477" w:rsidR="007A02E6" w:rsidRDefault="005C37E3" w:rsidP="007B6E8D">
      <w:pPr>
        <w:pStyle w:val="Titolo1"/>
        <w:numPr>
          <w:ilvl w:val="0"/>
          <w:numId w:val="8"/>
        </w:numPr>
        <w:rPr>
          <w:rFonts w:hint="eastAsia"/>
        </w:rPr>
      </w:pPr>
      <w:bookmarkStart w:id="17" w:name="_Toc187792181"/>
      <w:bookmarkStart w:id="18" w:name="_Toc187795105"/>
      <w:r>
        <w:t>Operatività con Opzioni</w:t>
      </w:r>
      <w:bookmarkEnd w:id="17"/>
      <w:bookmarkEnd w:id="18"/>
    </w:p>
    <w:p w14:paraId="2CA04581" w14:textId="45872057" w:rsidR="009E2FD3" w:rsidRPr="009E2FD3" w:rsidRDefault="009E2FD3" w:rsidP="009E2FD3">
      <w:r>
        <w:t xml:space="preserve">Facciamo un passo indietro per capire come è possibile nel pratico accedere </w:t>
      </w:r>
      <w:r w:rsidR="00B65A46">
        <w:t>ai contratti di opzioni quotate su</w:t>
      </w:r>
      <w:r w:rsidR="00DF6FAA">
        <w:t xml:space="preserve">lle varie piazze mondiali. Le opzioni sono strumenti </w:t>
      </w:r>
      <w:r w:rsidR="00A62D05">
        <w:t>che possono avere come sottostante i più svariati titoli. Noi ci concentreremo sulle opzioni su azioni quotate sui mercati americani</w:t>
      </w:r>
      <w:r w:rsidR="00A92587">
        <w:t>, i</w:t>
      </w:r>
      <w:r w:rsidR="00CB0115">
        <w:t>n particolare al Chicago</w:t>
      </w:r>
      <w:r w:rsidR="00A92587">
        <w:t xml:space="preserve"> Board</w:t>
      </w:r>
      <w:r w:rsidR="00CB0115">
        <w:t xml:space="preserve"> </w:t>
      </w:r>
      <w:r w:rsidR="00A92587">
        <w:t xml:space="preserve">Option Exchange. Per </w:t>
      </w:r>
      <w:r w:rsidR="005F34D7">
        <w:t>accedere a quel mercato e ai suoi titoli bisogna</w:t>
      </w:r>
      <w:r w:rsidR="004B7262">
        <w:t xml:space="preserve"> interfacciarsi con un Broker, un intermediario che </w:t>
      </w:r>
      <w:r w:rsidR="00AF4B82">
        <w:t>svolgerà un ruolo fondamentale per noi, trasmettendoci informazioni in tempo reale e permettendoci di piazzare i nostri ordini</w:t>
      </w:r>
      <w:r w:rsidR="004B7262">
        <w:t>.</w:t>
      </w:r>
      <w:r w:rsidR="00F65B7D">
        <w:t xml:space="preserve"> </w:t>
      </w:r>
      <w:r w:rsidR="007C44D1">
        <w:t>L’apertura del conto trading (che comporta quindi l’apertura di un dossier titoli, come viene definito in ambito bancario) è il primo passo per l’operatività.</w:t>
      </w:r>
    </w:p>
    <w:p w14:paraId="12532521" w14:textId="3D5823F7" w:rsidR="00AF4B82" w:rsidRPr="000D3A44" w:rsidRDefault="00AF4B82" w:rsidP="007B6E8D">
      <w:pPr>
        <w:pStyle w:val="Titolo2"/>
        <w:numPr>
          <w:ilvl w:val="1"/>
          <w:numId w:val="8"/>
        </w:numPr>
        <w:rPr>
          <w:rFonts w:hint="eastAsia"/>
          <w:lang w:val="en-US"/>
        </w:rPr>
      </w:pPr>
      <w:bookmarkStart w:id="19" w:name="_Toc187792182"/>
      <w:bookmarkStart w:id="20" w:name="_Toc187795106"/>
      <w:r w:rsidRPr="000D3A44">
        <w:rPr>
          <w:lang w:val="en-US"/>
        </w:rPr>
        <w:t>Clearing House, Broker e Conto a margine.</w:t>
      </w:r>
      <w:bookmarkEnd w:id="19"/>
      <w:bookmarkEnd w:id="20"/>
    </w:p>
    <w:p w14:paraId="43E07C5A" w14:textId="77777777" w:rsidR="00EA7E41" w:rsidRDefault="00AF4B82" w:rsidP="00AF4B82">
      <w:r>
        <w:t xml:space="preserve">Come abbiamo già detto il </w:t>
      </w:r>
      <w:r w:rsidR="00735091">
        <w:t xml:space="preserve">broker è quell’intermediario che ci permette di piazzare gli ordini. </w:t>
      </w:r>
      <w:r>
        <w:t>Non solo, il broker ci fornisce anche i prezzi, bid e ask</w:t>
      </w:r>
      <w:r w:rsidR="00735091">
        <w:t>, divisi per strike e scadenza,</w:t>
      </w:r>
      <w:r>
        <w:t xml:space="preserve"> </w:t>
      </w:r>
      <w:r w:rsidR="00735091">
        <w:t>per tutto il mercato delle opzioni. La tabella che ne risulta è detta Option Chain, ed è una sorta di book dove è possibile avere una visione chiara dei prezzi</w:t>
      </w:r>
      <w:r w:rsidR="00EA7E41">
        <w:t xml:space="preserve">. </w:t>
      </w:r>
    </w:p>
    <w:p w14:paraId="3269258E" w14:textId="13C4E087" w:rsidR="00EA7E41" w:rsidRDefault="00AF4B82" w:rsidP="00AF4B82">
      <w:r>
        <w:t>Chi sono i broker? Spesso sono banche o grandi finanziarie, altre volte operatori del mercato che si pongono da intermediari per favorire l’accesso ai mercati. Svolgono anche una funziona di vigilanza e monitoraggio sia per conto delle norme internazionali che regolano l’accesso ai mercati, sia per mantenere il meccanismo di margini imposto dalle Clearing House</w:t>
      </w:r>
      <w:r w:rsidR="00EA7E41">
        <w:t>. Ma manteniamo un approccio pratico, e immaginiamo di voler investire in opzioni</w:t>
      </w:r>
      <w:r w:rsidR="000D6694">
        <w:t xml:space="preserve">. </w:t>
      </w:r>
      <w:r w:rsidR="000D6694">
        <w:lastRenderedPageBreak/>
        <w:t>Troviamo un broker che offre accesso al CBOE</w:t>
      </w:r>
      <w:r w:rsidR="000A4B7A">
        <w:t>.</w:t>
      </w:r>
      <w:r w:rsidR="00DA40B9">
        <w:t xml:space="preserve"> </w:t>
      </w:r>
      <w:r w:rsidR="000A4B7A">
        <w:t>I</w:t>
      </w:r>
      <w:r w:rsidR="00DA40B9">
        <w:t>n europa</w:t>
      </w:r>
      <w:r w:rsidR="000A4B7A">
        <w:t xml:space="preserve"> sono numerosi, io</w:t>
      </w:r>
      <w:r w:rsidR="00DA40B9">
        <w:t xml:space="preserve"> uso Interactive Broker</w:t>
      </w:r>
      <w:r w:rsidR="00176A17">
        <w:rPr>
          <w:rStyle w:val="Rimandonotaapidipagina"/>
        </w:rPr>
        <w:footnoteReference w:id="9"/>
      </w:r>
      <w:r w:rsidR="000A4B7A">
        <w:t xml:space="preserve">. Molte banche italiane si propongono come broker, principalmente per strumenti non derivati. </w:t>
      </w:r>
      <w:r w:rsidR="006932F0">
        <w:t>Il vantaggio di avere un broker italiano è la possibilità di usufruire del servizio di sostituto d’imposta</w:t>
      </w:r>
      <w:r w:rsidR="00F27039">
        <w:t xml:space="preserve">: le tasse verranno pagate direttamente dal broker in chiusura di una posizione. </w:t>
      </w:r>
      <w:r w:rsidR="00DF56F9">
        <w:t xml:space="preserve">Sebbene ciò possa azzoppare l’effetto compunding, soprattutto per chi è </w:t>
      </w:r>
      <w:r w:rsidR="009009D8">
        <w:t>abituato ad operare</w:t>
      </w:r>
      <w:r w:rsidR="00DF56F9">
        <w:t xml:space="preserve"> </w:t>
      </w:r>
      <w:r w:rsidR="009009D8">
        <w:t>con media-</w:t>
      </w:r>
      <w:r w:rsidR="00DF56F9">
        <w:t>alta fr</w:t>
      </w:r>
      <w:r w:rsidR="009009D8">
        <w:t xml:space="preserve">equenza, resta un grande vantaggio per i retail. I broker esteri non solo non possono offrire la solidità e la fiducia di una grande finanziaria italiana, ma </w:t>
      </w:r>
      <w:r w:rsidR="003E2B5C">
        <w:t xml:space="preserve">richiedono anche l’integrazione del modulo </w:t>
      </w:r>
      <w:r w:rsidR="00E14387">
        <w:t>W Quadro nel Modulo 730 della dichiarazione dei redditi</w:t>
      </w:r>
      <w:r w:rsidR="007C44D1">
        <w:t>, in quanto possessori di dossier titoli all’estero</w:t>
      </w:r>
      <w:r w:rsidR="00E14387">
        <w:t>. Non tutti i commercialisti o specialisti CAF sono in grado di gestire questo tipo di reportistica.</w:t>
      </w:r>
    </w:p>
    <w:p w14:paraId="4067CD3E" w14:textId="77777777" w:rsidR="00861E22" w:rsidRDefault="00B04BC1" w:rsidP="00AF4B82">
      <w:r>
        <w:t xml:space="preserve">Il broker e la clearing house </w:t>
      </w:r>
      <w:r w:rsidR="00D9103F">
        <w:t xml:space="preserve">applicano politiche di margini, buffer e commissioni </w:t>
      </w:r>
      <w:r w:rsidR="00E20929">
        <w:t xml:space="preserve">che un trader non può trascurare, tutto per proteggere noi e gli altri investitori sui mercati dal rischio di credito. </w:t>
      </w:r>
      <w:r w:rsidR="006C152B">
        <w:t>Facciamo un esempio</w:t>
      </w:r>
      <w:r w:rsidR="00AF59B9">
        <w:t xml:space="preserve">: </w:t>
      </w:r>
      <w:r w:rsidR="007471A8">
        <w:t xml:space="preserve">abbiamo un conto con liquidità pari a 100 e </w:t>
      </w:r>
      <w:r w:rsidR="00AF59B9">
        <w:t xml:space="preserve">vogliamo vendere una naked put, </w:t>
      </w:r>
      <w:r w:rsidR="007471A8">
        <w:t xml:space="preserve">cioè </w:t>
      </w:r>
      <w:r w:rsidR="00AF59B9">
        <w:t xml:space="preserve">una put da sola senza coperture. Sappiamo che </w:t>
      </w:r>
      <w:r w:rsidR="00B97002">
        <w:t xml:space="preserve">la perdita è potenzialmente infinita, il nostro broker dovrebbe concederci al </w:t>
      </w:r>
      <w:r w:rsidR="0086397E">
        <w:t xml:space="preserve">massimo di vendere le sole put che saremmo in grado di gestire nel caso in cui il sottostante avesse un calo </w:t>
      </w:r>
      <w:r w:rsidR="00587724">
        <w:t xml:space="preserve">vertiginoso, altrimenti </w:t>
      </w:r>
      <w:r w:rsidR="00861E22">
        <w:t>rischieremmo</w:t>
      </w:r>
      <w:r w:rsidR="00587724">
        <w:t xml:space="preserve"> di perdere più di quanto abbiamo sul conto, e il broker </w:t>
      </w:r>
      <w:r w:rsidR="00861E22">
        <w:t>non avrebbe più la</w:t>
      </w:r>
      <w:r w:rsidR="00587724">
        <w:t xml:space="preserve"> certezza di poter</w:t>
      </w:r>
      <w:r w:rsidR="00296DED">
        <w:t xml:space="preserve"> onorare l’obbligo che abbiamo nei confronti della controparte. </w:t>
      </w:r>
    </w:p>
    <w:p w14:paraId="7A31FEBC" w14:textId="2FEA22AA" w:rsidR="00296DED" w:rsidRDefault="00861E22" w:rsidP="00AF4B82">
      <w:r>
        <w:t>In realtà i broker prendono una serie di precauzioni per neutralizzare il rischio di credito</w:t>
      </w:r>
      <w:r w:rsidR="000F014D">
        <w:t>. Prima di tutto</w:t>
      </w:r>
      <w:r w:rsidR="002914B1">
        <w:t xml:space="preserve"> </w:t>
      </w:r>
      <w:r w:rsidR="000F014D">
        <w:t>in apertura conto ci viene fatta una profilazione. Una serie di domande</w:t>
      </w:r>
      <w:r w:rsidR="002914B1">
        <w:t xml:space="preserve"> (KYC)</w:t>
      </w:r>
      <w:r w:rsidR="000F014D">
        <w:t xml:space="preserve"> testano la nostra conoscenza degli investimenti, </w:t>
      </w:r>
      <w:r w:rsidR="00B50A6B">
        <w:t xml:space="preserve">la nostra situazione familiare e patrimoniale, </w:t>
      </w:r>
      <w:r w:rsidR="000F014D">
        <w:t xml:space="preserve">i </w:t>
      </w:r>
      <w:r w:rsidR="007815C7">
        <w:t xml:space="preserve">nostri proventi, la nostra attitudine al rischio, in una serie di quiz a risposta multipla che molto ricordano i questionari Mifid. </w:t>
      </w:r>
      <w:r w:rsidR="00B04BC1">
        <w:t xml:space="preserve">Il </w:t>
      </w:r>
      <w:r w:rsidR="00B50A6B">
        <w:t xml:space="preserve">broker si proteggerà limitando parzialmente l’operatività agli utenti classificati più rischiosi, come </w:t>
      </w:r>
      <w:r w:rsidR="00B04BC1">
        <w:t>potrebbe conceder</w:t>
      </w:r>
      <w:r w:rsidR="00B50A6B">
        <w:t>e</w:t>
      </w:r>
      <w:r w:rsidR="00B04BC1">
        <w:t xml:space="preserve"> l’operatività su un conto cosiddetto </w:t>
      </w:r>
      <w:r w:rsidR="00B04BC1" w:rsidRPr="005666D8">
        <w:rPr>
          <w:i/>
          <w:iCs/>
        </w:rPr>
        <w:t>a margine</w:t>
      </w:r>
      <w:r w:rsidR="00B50A6B">
        <w:rPr>
          <w:i/>
          <w:iCs/>
        </w:rPr>
        <w:t xml:space="preserve"> </w:t>
      </w:r>
      <w:r w:rsidR="00B50A6B">
        <w:t xml:space="preserve">per </w:t>
      </w:r>
      <w:r w:rsidR="000F6AF9">
        <w:t>investitori con requisiti più alti</w:t>
      </w:r>
      <w:r w:rsidR="00B04BC1">
        <w:t xml:space="preserve">. </w:t>
      </w:r>
      <w:r w:rsidR="000F6AF9">
        <w:t>Si tratta di</w:t>
      </w:r>
      <w:r w:rsidR="00B04BC1">
        <w:t xml:space="preserve"> un conto a leva, in cui poter operare come se il nostro capitale avesse un moltiplicatore.</w:t>
      </w:r>
      <w:r w:rsidR="00087AB2">
        <w:t xml:space="preserve"> Se il conto ha leva x2 potremo vendere put come se avessimo sul conto liquidità pari a 200. </w:t>
      </w:r>
      <w:r w:rsidR="000F6AF9">
        <w:t>Questo meccanismo</w:t>
      </w:r>
      <w:r w:rsidR="00BE413E">
        <w:t>, importantissimo per il trader, non</w:t>
      </w:r>
      <w:r w:rsidR="004F13BE">
        <w:t xml:space="preserve"> è fondamentale nell’</w:t>
      </w:r>
      <w:r w:rsidR="00BE413E">
        <w:t>attività di hedging</w:t>
      </w:r>
      <w:r w:rsidR="004F13BE">
        <w:t xml:space="preserve"> del</w:t>
      </w:r>
      <w:r w:rsidR="00BE413E">
        <w:t xml:space="preserve"> broker.</w:t>
      </w:r>
      <w:r w:rsidR="00573734">
        <w:t xml:space="preserve"> </w:t>
      </w:r>
      <w:r w:rsidR="00BE413E">
        <w:t>Infatti l’intermediario si</w:t>
      </w:r>
      <w:r w:rsidR="004F13BE">
        <w:t xml:space="preserve"> proteggerà </w:t>
      </w:r>
      <w:r w:rsidR="00573734">
        <w:t xml:space="preserve">tenendo </w:t>
      </w:r>
      <w:r w:rsidR="004F13BE">
        <w:t xml:space="preserve">anche </w:t>
      </w:r>
      <w:r w:rsidR="00573734">
        <w:t>conto della</w:t>
      </w:r>
      <w:r w:rsidR="004F13BE">
        <w:t xml:space="preserve"> </w:t>
      </w:r>
      <w:r w:rsidR="00573734">
        <w:t xml:space="preserve">distribuzione delle probabilità: se le possibilità di avere una certa perdita sono </w:t>
      </w:r>
      <w:r w:rsidR="00A659E9">
        <w:t xml:space="preserve">molto basse coprirsi da quel rischio è inutile e </w:t>
      </w:r>
      <w:r w:rsidR="00BE413E">
        <w:t xml:space="preserve">impegnerebbe un capitale che gli investitori potrebbero utilizzare per operare e generare </w:t>
      </w:r>
      <w:r w:rsidR="00851E1E">
        <w:t xml:space="preserve">commissioni per il broker. </w:t>
      </w:r>
      <w:r w:rsidR="003628D8">
        <w:t>Solitamente quindi il broker preleva</w:t>
      </w:r>
      <w:r w:rsidR="00C81477">
        <w:t xml:space="preserve"> una quota pari al VAR al 99%, quindi ciò che perderemmo in situazioni sfavorevoli, ma non nel caso in cui si manifestasse il Cigno Nero </w:t>
      </w:r>
      <w:r w:rsidR="00C81477">
        <w:rPr>
          <w:rStyle w:val="Rimandonotaapidipagina"/>
        </w:rPr>
        <w:footnoteReference w:id="10"/>
      </w:r>
    </w:p>
    <w:p w14:paraId="079F4C6D" w14:textId="1AB7BA63" w:rsidR="005666D8" w:rsidRPr="00AF4B82" w:rsidRDefault="00851E1E" w:rsidP="00AF4B82">
      <w:r>
        <w:t>La clearing house applica un meccanismo di margini sulle singole operazioni</w:t>
      </w:r>
      <w:r w:rsidR="00282D34">
        <w:t xml:space="preserve">, imponendo </w:t>
      </w:r>
      <w:r w:rsidR="00933481">
        <w:t xml:space="preserve">un versamento </w:t>
      </w:r>
      <w:r w:rsidR="003E1CB8">
        <w:t>al momento della stipula del contratto</w:t>
      </w:r>
      <w:r w:rsidR="00EB33C8">
        <w:t xml:space="preserve"> di un margine iniziale</w:t>
      </w:r>
      <w:r w:rsidR="004749BF">
        <w:t>,</w:t>
      </w:r>
      <w:r w:rsidR="001F5172">
        <w:t xml:space="preserve"> </w:t>
      </w:r>
      <w:r w:rsidR="004749BF">
        <w:t xml:space="preserve"> pari solitamente a una percentuale </w:t>
      </w:r>
      <w:r w:rsidR="00AB4D6C">
        <w:t>prestabilita del valore del contratto stesso.</w:t>
      </w:r>
      <w:r w:rsidR="00EC7E0B">
        <w:t xml:space="preserve"> Da questa somma vengono ogni </w:t>
      </w:r>
      <w:r w:rsidR="00EC7E0B">
        <w:lastRenderedPageBreak/>
        <w:t xml:space="preserve">giorno </w:t>
      </w:r>
      <w:r w:rsidR="007757BD">
        <w:t xml:space="preserve">prelevati o accreditati </w:t>
      </w:r>
      <w:r w:rsidR="006E1AC6">
        <w:t xml:space="preserve">i profitti e le perdite </w:t>
      </w:r>
      <w:r w:rsidR="003F6425">
        <w:t>realizzate quotidianamente</w:t>
      </w:r>
      <w:r w:rsidR="00915DA0">
        <w:t xml:space="preserve">. Se l’andamento del prezzo delle opzioni porta </w:t>
      </w:r>
      <w:r w:rsidR="0021007D">
        <w:t xml:space="preserve">a </w:t>
      </w:r>
      <w:r w:rsidR="00400FAB">
        <w:t xml:space="preserve">perdite superiori a un certo margine di mantenimento, l’investitore è chiamato a reintegrare </w:t>
      </w:r>
      <w:r w:rsidR="00C7445D">
        <w:t xml:space="preserve">il margine versato. In questo modo la clearing house è sempre coperta dagli andamenti del mercato, avendo sempre a disposizione un buffer su cui rifarsi che copre </w:t>
      </w:r>
      <w:r w:rsidR="00DD38A0">
        <w:t xml:space="preserve">con percentile 99% </w:t>
      </w:r>
      <w:r w:rsidR="001B6261">
        <w:t>la distribuzione di probabilità dei rendimenti.</w:t>
      </w:r>
      <w:r w:rsidR="0042732A">
        <w:t xml:space="preserve"> Questo processo è detto mark</w:t>
      </w:r>
      <w:r w:rsidR="00C354EA">
        <w:t>ing</w:t>
      </w:r>
      <w:r w:rsidR="0042732A">
        <w:t xml:space="preserve"> to market</w:t>
      </w:r>
      <w:r w:rsidR="00C354EA">
        <w:t xml:space="preserve">, e sebbene </w:t>
      </w:r>
      <w:r w:rsidR="00BE70B9">
        <w:t xml:space="preserve">sia fondamentale </w:t>
      </w:r>
      <w:r w:rsidR="00C354EA">
        <w:t>nei contratti</w:t>
      </w:r>
      <w:r w:rsidR="005056B4">
        <w:t xml:space="preserve"> a payoff</w:t>
      </w:r>
      <w:r w:rsidR="00C354EA">
        <w:t xml:space="preserve"> simmetrici</w:t>
      </w:r>
      <w:r w:rsidR="00BE70B9">
        <w:t>, come ad esempio per i futures,</w:t>
      </w:r>
      <w:r w:rsidR="00C354EA">
        <w:t xml:space="preserve"> nelle opzioni ci è utile solo parzialmente</w:t>
      </w:r>
      <w:r w:rsidR="00D460E3">
        <w:t xml:space="preserve"> in quanto </w:t>
      </w:r>
      <w:r w:rsidR="00F86094">
        <w:t>le perdite possono essere certe al momento del contratto</w:t>
      </w:r>
      <w:r w:rsidR="008542DA">
        <w:t>, ma se non è fosse questo il caso è bene capire che margini ci verranno richiesti e a che obblighi dobbiamo rispondere</w:t>
      </w:r>
      <w:r w:rsidR="005056B4">
        <w:t>.</w:t>
      </w:r>
      <w:r w:rsidR="00D460E3">
        <w:t xml:space="preserve"> </w:t>
      </w:r>
    </w:p>
    <w:p w14:paraId="0C809EC8" w14:textId="77777777" w:rsidR="00AF4B82" w:rsidRPr="00AF4B82" w:rsidRDefault="00AF4B82" w:rsidP="00AF4B82">
      <w:pPr>
        <w:pStyle w:val="Paragrafoelenco"/>
        <w:ind w:left="840"/>
      </w:pPr>
    </w:p>
    <w:p w14:paraId="315B1A31" w14:textId="0F20B26D" w:rsidR="009E2FD3" w:rsidRDefault="00AB5C41" w:rsidP="007B6E8D">
      <w:pPr>
        <w:pStyle w:val="Titolo2"/>
        <w:numPr>
          <w:ilvl w:val="1"/>
          <w:numId w:val="8"/>
        </w:numPr>
        <w:rPr>
          <w:rFonts w:hint="eastAsia"/>
        </w:rPr>
      </w:pPr>
      <w:bookmarkStart w:id="21" w:name="_Toc187792183"/>
      <w:bookmarkStart w:id="22" w:name="_Toc187795107"/>
      <w:r>
        <w:t>Option Chain</w:t>
      </w:r>
      <w:bookmarkEnd w:id="21"/>
      <w:bookmarkEnd w:id="22"/>
    </w:p>
    <w:p w14:paraId="086B5F92" w14:textId="0E365D83" w:rsidR="001C01F2" w:rsidRDefault="001C01F2" w:rsidP="001C01F2">
      <w:r>
        <w:t>L’option Chain è la lista d</w:t>
      </w:r>
      <w:r w:rsidR="00B1194D">
        <w:t xml:space="preserve">ei prezzi, ask e bid, </w:t>
      </w:r>
      <w:r>
        <w:t>tutte i contratti di opzione</w:t>
      </w:r>
      <w:r w:rsidR="00C31043">
        <w:t xml:space="preserve"> per un particolare sottostante, organizzate per data di</w:t>
      </w:r>
      <w:r w:rsidR="005C28E1">
        <w:t xml:space="preserve"> scadenza e strike price</w:t>
      </w:r>
      <w:r w:rsidR="00B1194D">
        <w:t xml:space="preserve">. Solitamente </w:t>
      </w:r>
      <w:r w:rsidR="000C189F">
        <w:t>la tabella dei</w:t>
      </w:r>
      <w:r w:rsidR="00B1194D">
        <w:t xml:space="preserve"> p</w:t>
      </w:r>
      <w:r w:rsidR="00475AEB">
        <w:t xml:space="preserve">rezzi </w:t>
      </w:r>
      <w:r w:rsidR="000C189F">
        <w:t>è</w:t>
      </w:r>
      <w:r w:rsidR="00475AEB">
        <w:t xml:space="preserve"> </w:t>
      </w:r>
      <w:r w:rsidR="000C189F">
        <w:t>divisa centralmente dagli strike posizionati su un asse verticale</w:t>
      </w:r>
      <w:r w:rsidR="00862B60">
        <w:t xml:space="preserve">. I due campi sono popolati rispettivamente dai bid e dagli ask delle put e delle call. </w:t>
      </w:r>
      <w:r w:rsidR="00DA535D">
        <w:t xml:space="preserve">Questo layout per strike permettere di notare immediatamente </w:t>
      </w:r>
      <w:r w:rsidR="00110B71">
        <w:t>l’andamento</w:t>
      </w:r>
      <w:r w:rsidR="00DA535D">
        <w:t xml:space="preserve"> dei prezzi al</w:t>
      </w:r>
      <w:r w:rsidR="00110B71">
        <w:t xml:space="preserve"> variare del sottostante, nel passaggio dall’out all’in-the-money,</w:t>
      </w:r>
      <w:r w:rsidR="00103E69">
        <w:t xml:space="preserve"> il crescere del valore intrinseco e tanti altri indicatori che le interfacce permettono di aggiungere in corredo ai prezzi.</w:t>
      </w:r>
    </w:p>
    <w:bookmarkStart w:id="23" w:name="_MON_1798314614"/>
    <w:bookmarkEnd w:id="23"/>
    <w:p w14:paraId="1B6B63E8" w14:textId="00BBDEF3" w:rsidR="0072482C" w:rsidRPr="001C01F2" w:rsidRDefault="00CB27F8" w:rsidP="00656E16">
      <w:pPr>
        <w:jc w:val="center"/>
      </w:pPr>
      <w:r>
        <w:rPr>
          <w:noProof/>
        </w:rPr>
        <w:object w:dxaOrig="5357" w:dyaOrig="2763" w14:anchorId="2083FB59">
          <v:shape id="_x0000_i1025" type="#_x0000_t75" style="width:272.95pt;height:141.05pt" o:ole="">
            <v:imagedata r:id="rId25" o:title=""/>
          </v:shape>
          <o:OLEObject Type="Embed" ProgID="Excel.Sheet.12" ShapeID="_x0000_i1025" DrawAspect="Content" ObjectID="_1798494414" r:id="rId26"/>
        </w:object>
      </w:r>
    </w:p>
    <w:p w14:paraId="0852EC03" w14:textId="42FF12C1" w:rsidR="009E2FD3" w:rsidRPr="009E2FD3" w:rsidRDefault="009E2FD3" w:rsidP="009E2FD3"/>
    <w:p w14:paraId="326BCA30" w14:textId="254DB787" w:rsidR="00CE6B24" w:rsidRDefault="00CE6B24" w:rsidP="007B6E8D">
      <w:pPr>
        <w:pStyle w:val="Titolo3"/>
        <w:numPr>
          <w:ilvl w:val="2"/>
          <w:numId w:val="8"/>
        </w:numPr>
        <w:rPr>
          <w:rFonts w:hint="eastAsia"/>
        </w:rPr>
      </w:pPr>
      <w:bookmarkStart w:id="24" w:name="_Toc187792184"/>
      <w:bookmarkStart w:id="25" w:name="_Toc187795108"/>
      <w:r>
        <w:t>Ciaoo</w:t>
      </w:r>
      <w:bookmarkEnd w:id="24"/>
      <w:bookmarkEnd w:id="25"/>
    </w:p>
    <w:p w14:paraId="4F19A14C" w14:textId="77777777" w:rsidR="00CE6B24" w:rsidRPr="00CE6B24" w:rsidRDefault="00CE6B24" w:rsidP="00CE6B24"/>
    <w:p w14:paraId="26F0AD85" w14:textId="70EBB342" w:rsidR="00CE6B24" w:rsidRPr="00CE6B24" w:rsidRDefault="00CE6B24" w:rsidP="00CE6B24">
      <w:r>
        <w:t xml:space="preserve">     </w:t>
      </w:r>
    </w:p>
    <w:p w14:paraId="632F4F29" w14:textId="77777777" w:rsidR="00AB5C41" w:rsidRPr="00AB5C41" w:rsidRDefault="00AB5C41" w:rsidP="00AB5C41">
      <w:pPr>
        <w:ind w:left="360"/>
      </w:pPr>
    </w:p>
    <w:p w14:paraId="413D72EF" w14:textId="77777777" w:rsidR="005C37E3" w:rsidRPr="005C37E3" w:rsidRDefault="005C37E3" w:rsidP="005C37E3"/>
    <w:p w14:paraId="6321FDDF" w14:textId="147C36D4" w:rsidR="00490143" w:rsidRDefault="00490143"/>
    <w:p w14:paraId="390B2C18" w14:textId="68AD805A" w:rsidR="00B94978" w:rsidRDefault="00A63FEF">
      <w:r>
        <w:lastRenderedPageBreak/>
        <w:t>L’apettativa di una cedola elevata produce coeteris paribus una diminuzione del valore a termine del contratto in ragione del fatto che il detentore della posizione a termine non riceve i dividendi. Si può quindi speculare sullo stesso aspetto [pag 431] . Se fosse di performance non si può fare perché il valore dei dividendi è già compreso nel prezzo a termine dell’indice stesso.</w:t>
      </w:r>
    </w:p>
    <w:p w14:paraId="3FB68CF6" w14:textId="77777777" w:rsidR="00A63FEF" w:rsidRDefault="00A63FEF"/>
    <w:p w14:paraId="1B9C99D6" w14:textId="77777777" w:rsidR="00A63FEF" w:rsidRDefault="00A63FEF"/>
    <w:p w14:paraId="21748693" w14:textId="77777777" w:rsidR="003660EC" w:rsidRDefault="00A63FEF">
      <w:r>
        <w:t>Relazione tra future e prezzo del sottostante non si mantiene costante</w:t>
      </w:r>
      <w:r w:rsidR="003660EC">
        <w:t>. La differenza è detta basis risk. Basis risk= prezzo a pronti – prezzo future diminuisce all’avvicinarsi della scadenza</w:t>
      </w:r>
    </w:p>
    <w:p w14:paraId="12A7FAB3" w14:textId="3F866243" w:rsidR="00A63FEF" w:rsidRDefault="00A63FEF">
      <w:r>
        <w:t xml:space="preserve"> [pag 432]</w:t>
      </w:r>
    </w:p>
    <w:p w14:paraId="574A6091" w14:textId="77777777" w:rsidR="005100DF" w:rsidRDefault="005100DF"/>
    <w:p w14:paraId="2D47F292" w14:textId="69631F5B" w:rsidR="005100DF" w:rsidRDefault="005100DF">
      <w:r>
        <w:t>Sistema dei margini. Margine di variazione. Margine iniziale.</w:t>
      </w:r>
    </w:p>
    <w:p w14:paraId="72C9AB3F" w14:textId="77777777" w:rsidR="005100DF" w:rsidRDefault="005100DF"/>
    <w:p w14:paraId="334BD32E" w14:textId="77777777" w:rsidR="00631207" w:rsidRDefault="00631207"/>
    <w:p w14:paraId="0DD483C5" w14:textId="77777777" w:rsidR="00631207" w:rsidRDefault="00631207"/>
    <w:p w14:paraId="4D5FD5A1" w14:textId="7EF1659F" w:rsidR="00AE0CD3" w:rsidRDefault="005100DF">
      <w:r>
        <w:t>Se effettuo copertura completa sto azzerando il rischio sistematico beta e otterrò il risk-free, se così non fosse ci sarebbe arbitraggio.</w:t>
      </w:r>
      <w:r w:rsidR="00AE0CD3">
        <w:t xml:space="preserve"> Se ho un portafoglio mio che non replica l’indice, dovrò usare il beta del mio ptf. [pag 435-436]</w:t>
      </w:r>
    </w:p>
    <w:p w14:paraId="694BC450" w14:textId="77777777" w:rsidR="00AE0CD3" w:rsidRDefault="00AE0CD3"/>
    <w:p w14:paraId="0639E24A" w14:textId="3FE8D689" w:rsidR="00AE0CD3" w:rsidRPr="00AE0CD3" w:rsidRDefault="00AE0CD3">
      <w:pPr>
        <w:rPr>
          <w:rFonts w:eastAsiaTheme="minorEastAsia"/>
        </w:rPr>
      </w:pPr>
      <m:oMathPara>
        <m:oMath>
          <m:r>
            <w:rPr>
              <w:rFonts w:ascii="Cambria Math" w:hAnsi="Cambria Math"/>
            </w:rPr>
            <m:t>rapp. copertura=</m:t>
          </m:r>
          <m:f>
            <m:fPr>
              <m:ctrlPr>
                <w:rPr>
                  <w:rFonts w:ascii="Cambria Math" w:hAnsi="Cambria Math"/>
                  <w:i/>
                </w:rPr>
              </m:ctrlPr>
            </m:fPr>
            <m:num>
              <m:r>
                <w:rPr>
                  <w:rFonts w:ascii="Cambria Math" w:hAnsi="Cambria Math"/>
                </w:rPr>
                <m:t>controvalore ptf</m:t>
              </m:r>
            </m:num>
            <m:den>
              <m:r>
                <w:rPr>
                  <w:rFonts w:ascii="Cambria Math" w:hAnsi="Cambria Math"/>
                </w:rPr>
                <m:t xml:space="preserve">controvalore future </m:t>
              </m:r>
            </m:den>
          </m:f>
          <m:r>
            <w:rPr>
              <w:rFonts w:ascii="Cambria Math" w:hAnsi="Cambria Math"/>
            </w:rPr>
            <m:t>*beta ptf</m:t>
          </m:r>
        </m:oMath>
      </m:oMathPara>
    </w:p>
    <w:p w14:paraId="10321202" w14:textId="77777777" w:rsidR="00D76CB6" w:rsidRDefault="00D76CB6">
      <w:pPr>
        <w:rPr>
          <w:rFonts w:eastAsiaTheme="minorEastAsia"/>
        </w:rPr>
      </w:pPr>
    </w:p>
    <w:p w14:paraId="7CA6792F" w14:textId="77777777" w:rsidR="00D76CB6" w:rsidRDefault="00D76CB6">
      <w:pPr>
        <w:rPr>
          <w:rFonts w:eastAsiaTheme="minorEastAsia"/>
        </w:rPr>
      </w:pPr>
    </w:p>
    <w:p w14:paraId="65372091" w14:textId="77777777" w:rsidR="002A400C" w:rsidRPr="002A400C" w:rsidRDefault="002A400C" w:rsidP="002A400C"/>
    <w:p w14:paraId="0EE93784" w14:textId="77777777" w:rsidR="002A400C" w:rsidRPr="002A400C" w:rsidRDefault="002A400C" w:rsidP="002A400C">
      <w:pPr>
        <w:rPr>
          <w:b/>
          <w:bCs/>
        </w:rPr>
      </w:pPr>
      <w:r w:rsidRPr="002A400C">
        <w:rPr>
          <w:b/>
          <w:bCs/>
        </w:rPr>
        <w:t xml:space="preserve">1 </w:t>
      </w:r>
      <w:bookmarkStart w:id="26" w:name="_Hlk187794675"/>
      <w:r w:rsidRPr="002A400C">
        <w:rPr>
          <w:b/>
          <w:bCs/>
        </w:rPr>
        <w:t>ANALISI SERIE STORICHE SECONDO L’APPROCCIO MODERNO</w:t>
      </w:r>
    </w:p>
    <w:bookmarkEnd w:id="26"/>
    <w:p w14:paraId="3F98AF9B" w14:textId="5D8D37E9" w:rsidR="004846EE" w:rsidRDefault="004846EE" w:rsidP="00D76CB6">
      <w:pPr>
        <w:rPr>
          <w:rFonts w:eastAsiaTheme="minorEastAsia"/>
        </w:rPr>
      </w:pPr>
      <w:r>
        <w:rPr>
          <w:rFonts w:eastAsiaTheme="minorEastAsia"/>
        </w:rPr>
        <w:t>Tasso risk free [pag 443] = se aumenta il valore attuale dei flussi futuri diminuisce e quindi i prezzi dei sottostanti azionari diminuiscono.</w:t>
      </w:r>
    </w:p>
    <w:p w14:paraId="5099CEE4" w14:textId="77777777" w:rsidR="004846EE" w:rsidRDefault="004846EE" w:rsidP="00D76CB6">
      <w:pPr>
        <w:rPr>
          <w:rFonts w:eastAsiaTheme="minorEastAsia"/>
        </w:rPr>
      </w:pPr>
    </w:p>
    <w:p w14:paraId="7F4F50E8" w14:textId="5CA59FC5" w:rsidR="004846EE" w:rsidRPr="00D76CB6" w:rsidRDefault="004846EE" w:rsidP="00D76CB6">
      <w:r>
        <w:rPr>
          <w:rFonts w:eastAsiaTheme="minorEastAsia"/>
        </w:rPr>
        <w:t>Maggiori sono i dividendi attesi, tanto minore il valore di una call option</w:t>
      </w:r>
    </w:p>
    <w:p w14:paraId="1A48F7C2" w14:textId="795643BD" w:rsidR="00D76CB6" w:rsidRPr="00D76CB6" w:rsidRDefault="00D76CB6" w:rsidP="00D76CB6"/>
    <w:p w14:paraId="7C5AC3E1" w14:textId="77E0A1DE" w:rsidR="00AE0CD3" w:rsidRPr="002A2D07" w:rsidRDefault="00AE0CD3" w:rsidP="00D76CB6">
      <w:pPr>
        <w:rPr>
          <w:rFonts w:eastAsiaTheme="minorEastAsia"/>
        </w:rPr>
      </w:pPr>
      <m:oMathPara>
        <m:oMath>
          <m:r>
            <m:rPr>
              <m:sty m:val="p"/>
            </m:rPr>
            <w:rPr>
              <w:rFonts w:ascii="Cambria Math" w:hAnsi="Cambria Math"/>
            </w:rPr>
            <m:t xml:space="preserve"> </m:t>
          </m:r>
        </m:oMath>
      </m:oMathPara>
    </w:p>
    <w:p w14:paraId="32FF049F" w14:textId="1C6D1CEE" w:rsidR="002A2D07" w:rsidRDefault="002A2D07" w:rsidP="00D76CB6">
      <w:pPr>
        <w:rPr>
          <w:rFonts w:eastAsiaTheme="minorEastAsia"/>
        </w:rPr>
      </w:pPr>
      <w:r>
        <w:rPr>
          <w:rFonts w:eastAsiaTheme="minorEastAsia"/>
        </w:rPr>
        <w:lastRenderedPageBreak/>
        <w:t>Per principio una call americana, in presenza di dividendi, deve valere più dell’opzione europea corrispondente, non fosse altro per la possibilità di esercizio anticipato e la concreta possibilità per il detentore dell’opzione di percepire i dividendi.</w:t>
      </w:r>
    </w:p>
    <w:p w14:paraId="70122963" w14:textId="77777777" w:rsidR="002A2D07" w:rsidRDefault="002A2D07" w:rsidP="00D76CB6">
      <w:pPr>
        <w:rPr>
          <w:rFonts w:eastAsiaTheme="minorEastAsia"/>
        </w:rPr>
      </w:pPr>
    </w:p>
    <w:p w14:paraId="11BAC68C" w14:textId="6CFD3BC4" w:rsidR="002A2D07" w:rsidRDefault="002A2D07" w:rsidP="00D76CB6">
      <w:pPr>
        <w:rPr>
          <w:rFonts w:eastAsiaTheme="minorEastAsia"/>
        </w:rPr>
      </w:pPr>
      <w:r>
        <w:rPr>
          <w:rFonts w:eastAsiaTheme="minorEastAsia"/>
        </w:rPr>
        <w:t>VEDI BENE PAG . 447</w:t>
      </w:r>
    </w:p>
    <w:p w14:paraId="4BB32EEE" w14:textId="77777777" w:rsidR="002A2D07" w:rsidRDefault="002A2D07" w:rsidP="00D76CB6">
      <w:pPr>
        <w:rPr>
          <w:rFonts w:eastAsiaTheme="minorEastAsia"/>
        </w:rPr>
      </w:pPr>
    </w:p>
    <w:p w14:paraId="3B234011" w14:textId="77777777" w:rsidR="002A2D07" w:rsidRDefault="002A2D07" w:rsidP="00D76CB6">
      <w:pPr>
        <w:rPr>
          <w:rFonts w:eastAsiaTheme="minorEastAsia"/>
        </w:rPr>
      </w:pPr>
    </w:p>
    <w:p w14:paraId="6C0A6C64" w14:textId="3E39D0BA" w:rsidR="002A2D07" w:rsidRDefault="002A2D07" w:rsidP="00D76CB6">
      <w:pPr>
        <w:rPr>
          <w:rFonts w:eastAsiaTheme="minorEastAsia"/>
        </w:rPr>
      </w:pPr>
      <w:r>
        <w:rPr>
          <w:rFonts w:eastAsiaTheme="minorEastAsia"/>
        </w:rPr>
        <w:t>Put call parity = relazione secondo cui il valore di un opzione call EUROPEA con un certo X e con una certa scadenza si può ricavare dalla put EUROPEA con stesso prezzo e stessa scadenza. NON VALE PR LE AMERICANE</w:t>
      </w:r>
    </w:p>
    <w:p w14:paraId="053BA217" w14:textId="77777777" w:rsidR="001F48C1" w:rsidRDefault="001F48C1" w:rsidP="00D76CB6">
      <w:pPr>
        <w:rPr>
          <w:rFonts w:eastAsiaTheme="minorEastAsia"/>
        </w:rPr>
      </w:pPr>
    </w:p>
    <w:p w14:paraId="55D4C179" w14:textId="0F3038C3" w:rsidR="001F48C1" w:rsidRDefault="001F48C1" w:rsidP="00D76CB6">
      <w:pPr>
        <w:rPr>
          <w:rFonts w:eastAsiaTheme="minorEastAsia"/>
        </w:rPr>
      </w:pPr>
      <w:r>
        <w:rPr>
          <w:rFonts w:eastAsiaTheme="minorEastAsia"/>
        </w:rPr>
        <w:t>Per le attività finanziarie che non distribuiscono dividendi valgono due relazioni importanti = C = c e P &lt; p</w:t>
      </w:r>
    </w:p>
    <w:p w14:paraId="150E7BB6" w14:textId="77777777" w:rsidR="00A94D11" w:rsidRDefault="00A94D11" w:rsidP="00D76CB6">
      <w:pPr>
        <w:rPr>
          <w:rFonts w:eastAsiaTheme="minorEastAsia"/>
        </w:rPr>
      </w:pPr>
    </w:p>
    <w:p w14:paraId="689E206D" w14:textId="77777777" w:rsidR="00A94D11" w:rsidRDefault="00A94D11" w:rsidP="00D76CB6">
      <w:pPr>
        <w:rPr>
          <w:rFonts w:eastAsiaTheme="minorEastAsia"/>
        </w:rPr>
      </w:pPr>
    </w:p>
    <w:p w14:paraId="377FA43B" w14:textId="73C9A777" w:rsidR="007C1BFE" w:rsidRDefault="00A94D11" w:rsidP="00D76CB6">
      <w:pPr>
        <w:rPr>
          <w:rFonts w:eastAsiaTheme="minorEastAsia"/>
        </w:rPr>
      </w:pPr>
      <w:r w:rsidRPr="005A76D1">
        <w:rPr>
          <w:rFonts w:eastAsiaTheme="minorEastAsia"/>
          <w:lang w:val="en-US"/>
        </w:rPr>
        <w:t>[TALEB] Nassim Nicholas Taleb is the founder of Empirica Capital LLC, a hedge fund operator, and a fellow at the Courant Institute of Mathematical Sciences of New York University. He has held a variety of senior derivative trading positions in New York and London and worked as an independent floor trader in Chicago. Dr. Taleb was inducted in February 2001 in the Derivatives Strategy Hall of Fame. He received an MBA from the Wharton School and a Ph.D. from University Paris-Dauphine.</w:t>
      </w:r>
      <w:r w:rsidR="007C1BFE" w:rsidRPr="005A76D1">
        <w:rPr>
          <w:rFonts w:ascii="Arial" w:hAnsi="Arial" w:cs="Arial"/>
          <w:color w:val="0F1111"/>
          <w:sz w:val="21"/>
          <w:szCs w:val="21"/>
          <w:shd w:val="clear" w:color="auto" w:fill="FFFFFF"/>
          <w:lang w:val="en-US"/>
        </w:rPr>
        <w:t xml:space="preserve"> </w:t>
      </w:r>
      <w:r w:rsidR="007C1BFE" w:rsidRPr="005A76D1">
        <w:rPr>
          <w:rFonts w:eastAsiaTheme="minorEastAsia"/>
          <w:lang w:val="en-US"/>
        </w:rPr>
        <w:t xml:space="preserve">If pricing is a science and hedging is an art, Taleb is a virtuoso. --Bruno Dupire, Head of Swaps and Options Research, Paribas Capital Markets. </w:t>
      </w:r>
      <w:r w:rsidR="007C1BFE">
        <w:rPr>
          <w:rFonts w:eastAsiaTheme="minorEastAsia"/>
        </w:rPr>
        <w:t xml:space="preserve">LIBRO: </w:t>
      </w:r>
      <w:r w:rsidR="00392934">
        <w:rPr>
          <w:rFonts w:eastAsiaTheme="minorEastAsia"/>
        </w:rPr>
        <w:t>dynamic hedging</w:t>
      </w:r>
    </w:p>
    <w:p w14:paraId="33074DDF" w14:textId="77777777" w:rsidR="002F4CF8" w:rsidRDefault="002F4CF8" w:rsidP="00D76CB6">
      <w:pPr>
        <w:rPr>
          <w:rFonts w:eastAsiaTheme="minorEastAsia"/>
        </w:rPr>
      </w:pPr>
    </w:p>
    <w:p w14:paraId="3CEE50CE" w14:textId="77777777" w:rsidR="002F4CF8" w:rsidRDefault="002F4CF8" w:rsidP="00D76CB6">
      <w:pPr>
        <w:rPr>
          <w:rFonts w:eastAsiaTheme="minorEastAsia"/>
        </w:rPr>
      </w:pPr>
    </w:p>
    <w:p w14:paraId="6D85BD89" w14:textId="77777777" w:rsidR="002F4CF8" w:rsidRDefault="002F4CF8" w:rsidP="00D76CB6">
      <w:pPr>
        <w:rPr>
          <w:rFonts w:eastAsiaTheme="minorEastAsia"/>
        </w:rPr>
      </w:pPr>
    </w:p>
    <w:p w14:paraId="2E958AF7" w14:textId="77777777" w:rsidR="002F4CF8" w:rsidRDefault="002F4CF8" w:rsidP="00D76CB6">
      <w:pPr>
        <w:rPr>
          <w:rFonts w:eastAsiaTheme="minorEastAsia"/>
        </w:rPr>
      </w:pPr>
    </w:p>
    <w:p w14:paraId="074A54AF" w14:textId="1B661256" w:rsidR="00D72742" w:rsidRDefault="0091147A" w:rsidP="00D76CB6">
      <w:pPr>
        <w:rPr>
          <w:rFonts w:eastAsiaTheme="minorEastAsia"/>
        </w:rPr>
      </w:pPr>
      <w:r>
        <w:rPr>
          <w:rFonts w:eastAsiaTheme="minorEastAsia"/>
        </w:rPr>
        <w:t xml:space="preserve">[CAP 4.] </w:t>
      </w:r>
      <w:r w:rsidR="00795FEB">
        <w:rPr>
          <w:rFonts w:eastAsiaTheme="minorEastAsia"/>
        </w:rPr>
        <w:t>Nel</w:t>
      </w:r>
      <w:r w:rsidR="001F7C9F">
        <w:rPr>
          <w:rFonts w:eastAsiaTheme="minorEastAsia"/>
        </w:rPr>
        <w:t xml:space="preserve"> paragrafo </w:t>
      </w:r>
      <w:r w:rsidR="00D05C0F">
        <w:rPr>
          <w:rFonts w:eastAsiaTheme="minorEastAsia"/>
        </w:rPr>
        <w:t>XXXX</w:t>
      </w:r>
      <w:r w:rsidR="001F7C9F">
        <w:rPr>
          <w:rFonts w:eastAsiaTheme="minorEastAsia"/>
        </w:rPr>
        <w:t xml:space="preserve"> </w:t>
      </w:r>
      <w:r w:rsidR="00795FEB">
        <w:rPr>
          <w:rFonts w:eastAsiaTheme="minorEastAsia"/>
        </w:rPr>
        <w:t xml:space="preserve">abbiamo individuato </w:t>
      </w:r>
      <w:r w:rsidR="001F7C9F">
        <w:rPr>
          <w:rFonts w:eastAsiaTheme="minorEastAsia"/>
        </w:rPr>
        <w:t>gli elementi che possono infl</w:t>
      </w:r>
      <w:r w:rsidR="00D05C0F">
        <w:rPr>
          <w:rFonts w:eastAsiaTheme="minorEastAsia"/>
        </w:rPr>
        <w:t>uenzare il prezzo di un</w:t>
      </w:r>
      <w:r w:rsidR="00795FEB">
        <w:rPr>
          <w:rFonts w:eastAsiaTheme="minorEastAsia"/>
        </w:rPr>
        <w:t>’</w:t>
      </w:r>
      <w:r w:rsidR="00D05C0F">
        <w:rPr>
          <w:rFonts w:eastAsiaTheme="minorEastAsia"/>
        </w:rPr>
        <w:t>opzione</w:t>
      </w:r>
      <w:r w:rsidR="00A40ED0">
        <w:rPr>
          <w:rFonts w:eastAsiaTheme="minorEastAsia"/>
        </w:rPr>
        <w:t xml:space="preserve">. Nonostante ciò, </w:t>
      </w:r>
      <w:r w:rsidR="00A708CF">
        <w:rPr>
          <w:rFonts w:eastAsiaTheme="minorEastAsia"/>
        </w:rPr>
        <w:t>la ricerca di un</w:t>
      </w:r>
      <w:r w:rsidR="00A40ED0">
        <w:rPr>
          <w:rFonts w:eastAsiaTheme="minorEastAsia"/>
        </w:rPr>
        <w:t xml:space="preserve"> </w:t>
      </w:r>
      <w:r w:rsidR="00BF3043">
        <w:rPr>
          <w:rFonts w:eastAsiaTheme="minorEastAsia"/>
        </w:rPr>
        <w:t>modell</w:t>
      </w:r>
      <w:r w:rsidR="00A708CF">
        <w:rPr>
          <w:rFonts w:eastAsiaTheme="minorEastAsia"/>
        </w:rPr>
        <w:t xml:space="preserve">o </w:t>
      </w:r>
      <w:r w:rsidR="00BF3043">
        <w:rPr>
          <w:rFonts w:eastAsiaTheme="minorEastAsia"/>
        </w:rPr>
        <w:t xml:space="preserve">che potessero stabilire con precisione il prezzo di un’opzione </w:t>
      </w:r>
      <w:r w:rsidR="00A708CF">
        <w:rPr>
          <w:rFonts w:eastAsiaTheme="minorEastAsia"/>
        </w:rPr>
        <w:t>è</w:t>
      </w:r>
      <w:r w:rsidR="009848E6">
        <w:rPr>
          <w:rFonts w:eastAsiaTheme="minorEastAsia"/>
        </w:rPr>
        <w:t xml:space="preserve"> fonte di</w:t>
      </w:r>
      <w:r w:rsidR="00A708CF">
        <w:rPr>
          <w:rFonts w:eastAsiaTheme="minorEastAsia"/>
        </w:rPr>
        <w:t xml:space="preserve"> dibattito </w:t>
      </w:r>
      <w:r w:rsidR="009848E6">
        <w:rPr>
          <w:rFonts w:eastAsiaTheme="minorEastAsia"/>
        </w:rPr>
        <w:t>tra</w:t>
      </w:r>
      <w:r w:rsidR="008674FD">
        <w:rPr>
          <w:rFonts w:eastAsiaTheme="minorEastAsia"/>
        </w:rPr>
        <w:t xml:space="preserve"> accademici </w:t>
      </w:r>
      <w:r w:rsidR="009848E6">
        <w:rPr>
          <w:rFonts w:eastAsiaTheme="minorEastAsia"/>
        </w:rPr>
        <w:t xml:space="preserve">e </w:t>
      </w:r>
      <w:r w:rsidR="008674FD">
        <w:rPr>
          <w:rFonts w:eastAsiaTheme="minorEastAsia"/>
        </w:rPr>
        <w:t>operatori del settore</w:t>
      </w:r>
      <w:r w:rsidR="009848E6">
        <w:rPr>
          <w:rFonts w:eastAsiaTheme="minorEastAsia"/>
        </w:rPr>
        <w:t xml:space="preserve"> ormai</w:t>
      </w:r>
      <w:r w:rsidR="008674FD">
        <w:rPr>
          <w:rFonts w:eastAsiaTheme="minorEastAsia"/>
        </w:rPr>
        <w:t xml:space="preserve"> da decenni. </w:t>
      </w:r>
      <w:r w:rsidR="002C7257">
        <w:rPr>
          <w:rFonts w:eastAsiaTheme="minorEastAsia"/>
        </w:rPr>
        <w:t xml:space="preserve">Il </w:t>
      </w:r>
      <w:r w:rsidR="00BB1262">
        <w:rPr>
          <w:rFonts w:eastAsiaTheme="minorEastAsia"/>
        </w:rPr>
        <w:t xml:space="preserve">premio nobel per l’economia del </w:t>
      </w:r>
      <w:r w:rsidR="00322C18">
        <w:rPr>
          <w:rFonts w:eastAsiaTheme="minorEastAsia"/>
        </w:rPr>
        <w:t xml:space="preserve">1997, vinto </w:t>
      </w:r>
      <w:r w:rsidR="002221D2">
        <w:rPr>
          <w:rFonts w:eastAsiaTheme="minorEastAsia"/>
        </w:rPr>
        <w:t>da Robert C. Merton</w:t>
      </w:r>
      <w:r w:rsidR="00E1462E">
        <w:rPr>
          <w:rFonts w:eastAsiaTheme="minorEastAsia"/>
        </w:rPr>
        <w:t>,</w:t>
      </w:r>
      <w:r w:rsidR="002221D2">
        <w:rPr>
          <w:rFonts w:eastAsiaTheme="minorEastAsia"/>
        </w:rPr>
        <w:t xml:space="preserve"> </w:t>
      </w:r>
      <w:r w:rsidR="00AD0E00">
        <w:rPr>
          <w:rFonts w:eastAsiaTheme="minorEastAsia"/>
        </w:rPr>
        <w:t>Myron S. Scholes,</w:t>
      </w:r>
      <w:r w:rsidR="00A87757">
        <w:rPr>
          <w:rFonts w:eastAsiaTheme="minorEastAsia"/>
        </w:rPr>
        <w:t xml:space="preserve"> ideatori </w:t>
      </w:r>
      <w:r w:rsidR="004B0EF8">
        <w:rPr>
          <w:rFonts w:eastAsiaTheme="minorEastAsia"/>
        </w:rPr>
        <w:t xml:space="preserve">insieme a Fisher Black </w:t>
      </w:r>
      <w:r w:rsidR="00A87757">
        <w:rPr>
          <w:rFonts w:eastAsiaTheme="minorEastAsia"/>
        </w:rPr>
        <w:t>del modello</w:t>
      </w:r>
      <w:r w:rsidR="006312A0">
        <w:rPr>
          <w:rFonts w:eastAsiaTheme="minorEastAsia"/>
        </w:rPr>
        <w:t xml:space="preserve"> per la valutazioni degli strumenti derivati</w:t>
      </w:r>
      <w:r w:rsidR="00A87757">
        <w:rPr>
          <w:rFonts w:eastAsiaTheme="minorEastAsia"/>
        </w:rPr>
        <w:t xml:space="preserve"> Black-Scholes-Merton</w:t>
      </w:r>
      <w:r w:rsidR="006312A0">
        <w:rPr>
          <w:rFonts w:eastAsiaTheme="minorEastAsia"/>
        </w:rPr>
        <w:t>, segna una svolta</w:t>
      </w:r>
      <w:r w:rsidR="004B0EF8">
        <w:rPr>
          <w:rFonts w:eastAsiaTheme="minorEastAsia"/>
        </w:rPr>
        <w:t xml:space="preserve">. </w:t>
      </w:r>
      <w:r w:rsidR="006312A0">
        <w:rPr>
          <w:rFonts w:eastAsiaTheme="minorEastAsia"/>
        </w:rPr>
        <w:t>Un</w:t>
      </w:r>
      <w:r w:rsidR="00780A43">
        <w:rPr>
          <w:rFonts w:eastAsiaTheme="minorEastAsia"/>
        </w:rPr>
        <w:t xml:space="preserve"> nuovo metodo per la valutazione dei </w:t>
      </w:r>
      <w:r w:rsidR="00780A43">
        <w:rPr>
          <w:rFonts w:eastAsiaTheme="minorEastAsia"/>
        </w:rPr>
        <w:lastRenderedPageBreak/>
        <w:t>derivati</w:t>
      </w:r>
      <w:r w:rsidR="006312A0">
        <w:rPr>
          <w:rFonts w:eastAsiaTheme="minorEastAsia"/>
        </w:rPr>
        <w:t xml:space="preserve"> vince il premio Nobel.</w:t>
      </w:r>
      <w:r w:rsidR="00780A43">
        <w:rPr>
          <w:rFonts w:eastAsiaTheme="minorEastAsia"/>
        </w:rPr>
        <w:t xml:space="preserve"> </w:t>
      </w:r>
      <w:r w:rsidR="006312A0">
        <w:rPr>
          <w:rFonts w:eastAsiaTheme="minorEastAsia"/>
        </w:rPr>
        <w:t>U</w:t>
      </w:r>
      <w:r w:rsidR="00780A43">
        <w:rPr>
          <w:rFonts w:eastAsiaTheme="minorEastAsia"/>
        </w:rPr>
        <w:t>n</w:t>
      </w:r>
      <w:r w:rsidR="006312A0">
        <w:rPr>
          <w:rFonts w:eastAsiaTheme="minorEastAsia"/>
        </w:rPr>
        <w:t xml:space="preserve"> modello che </w:t>
      </w:r>
      <w:r w:rsidR="00A30150">
        <w:rPr>
          <w:rFonts w:eastAsiaTheme="minorEastAsia"/>
        </w:rPr>
        <w:t>continua a essere un</w:t>
      </w:r>
      <w:r w:rsidR="00780A43">
        <w:rPr>
          <w:rFonts w:eastAsiaTheme="minorEastAsia"/>
        </w:rPr>
        <w:t xml:space="preserve"> </w:t>
      </w:r>
      <w:r w:rsidR="00A30150">
        <w:rPr>
          <w:rFonts w:eastAsiaTheme="minorEastAsia"/>
        </w:rPr>
        <w:t>paradigma assoluto</w:t>
      </w:r>
      <w:r w:rsidR="00780A43">
        <w:rPr>
          <w:rFonts w:eastAsiaTheme="minorEastAsia"/>
        </w:rPr>
        <w:t xml:space="preserve"> </w:t>
      </w:r>
      <w:r w:rsidR="002C7257">
        <w:rPr>
          <w:rFonts w:eastAsiaTheme="minorEastAsia"/>
        </w:rPr>
        <w:t>per gli addetti ai lavori anche oggi, a 30 anni di distanza</w:t>
      </w:r>
      <w:r w:rsidR="00A30150">
        <w:rPr>
          <w:rFonts w:eastAsiaTheme="minorEastAsia"/>
        </w:rPr>
        <w:t xml:space="preserve">. </w:t>
      </w:r>
      <w:r w:rsidR="002C7257">
        <w:rPr>
          <w:rFonts w:eastAsiaTheme="minorEastAsia"/>
        </w:rPr>
        <w:t xml:space="preserve"> Black</w:t>
      </w:r>
      <w:r w:rsidR="00A30150">
        <w:rPr>
          <w:rFonts w:eastAsiaTheme="minorEastAsia"/>
        </w:rPr>
        <w:t xml:space="preserve"> morirà nel 1995, non</w:t>
      </w:r>
      <w:r w:rsidR="00C21416">
        <w:rPr>
          <w:rFonts w:eastAsiaTheme="minorEastAsia"/>
        </w:rPr>
        <w:t xml:space="preserve"> ha avuto il tempo di</w:t>
      </w:r>
      <w:r w:rsidR="00A30150">
        <w:rPr>
          <w:rFonts w:eastAsiaTheme="minorEastAsia"/>
        </w:rPr>
        <w:t xml:space="preserve"> ricever</w:t>
      </w:r>
      <w:r w:rsidR="00C21416">
        <w:rPr>
          <w:rFonts w:eastAsiaTheme="minorEastAsia"/>
        </w:rPr>
        <w:t xml:space="preserve">e </w:t>
      </w:r>
      <w:r w:rsidR="00A30150">
        <w:rPr>
          <w:rFonts w:eastAsiaTheme="minorEastAsia"/>
        </w:rPr>
        <w:t xml:space="preserve">la statuetta. </w:t>
      </w:r>
      <w:r w:rsidR="001C5428">
        <w:rPr>
          <w:rFonts w:eastAsiaTheme="minorEastAsia"/>
        </w:rPr>
        <w:t xml:space="preserve">Emblematico il trascorso di </w:t>
      </w:r>
      <w:r w:rsidR="00D72742" w:rsidRPr="00D72742">
        <w:rPr>
          <w:rFonts w:eastAsiaTheme="minorEastAsia"/>
        </w:rPr>
        <w:t xml:space="preserve">Scholes </w:t>
      </w:r>
      <w:r w:rsidR="001C5428">
        <w:rPr>
          <w:rFonts w:eastAsiaTheme="minorEastAsia"/>
        </w:rPr>
        <w:t xml:space="preserve">che </w:t>
      </w:r>
      <w:r w:rsidR="00D72742" w:rsidRPr="00D72742">
        <w:rPr>
          <w:rFonts w:eastAsiaTheme="minorEastAsia"/>
        </w:rPr>
        <w:t xml:space="preserve">fu tra i fondatori, nel 1994, dell'hedge fund Long-Term Capital Management, </w:t>
      </w:r>
      <w:r w:rsidR="001C5428">
        <w:rPr>
          <w:rFonts w:eastAsiaTheme="minorEastAsia"/>
        </w:rPr>
        <w:t xml:space="preserve">successivamente </w:t>
      </w:r>
      <w:r w:rsidR="00D72742" w:rsidRPr="00D72742">
        <w:rPr>
          <w:rFonts w:eastAsiaTheme="minorEastAsia"/>
        </w:rPr>
        <w:t>salvato dal fallimento dalla Federal Reserve nel settembre 1998 per circa 3.6 miliardi di dollari</w:t>
      </w:r>
      <w:r w:rsidR="00D35AF2">
        <w:rPr>
          <w:rFonts w:eastAsiaTheme="minorEastAsia"/>
        </w:rPr>
        <w:t>, l</w:t>
      </w:r>
      <w:r w:rsidR="00C21416">
        <w:rPr>
          <w:rFonts w:eastAsiaTheme="minorEastAsia"/>
        </w:rPr>
        <w:t>a società sarà anche accusata di evasione fisale.</w:t>
      </w:r>
      <w:r w:rsidR="0001042D">
        <w:rPr>
          <w:rFonts w:eastAsiaTheme="minorEastAsia"/>
        </w:rPr>
        <w:t xml:space="preserve"> </w:t>
      </w:r>
      <w:r w:rsidR="00D35AF2">
        <w:rPr>
          <w:rFonts w:eastAsiaTheme="minorEastAsia"/>
        </w:rPr>
        <w:t>Nella lista degli a</w:t>
      </w:r>
      <w:r w:rsidR="0001042D">
        <w:rPr>
          <w:rFonts w:eastAsiaTheme="minorEastAsia"/>
        </w:rPr>
        <w:t>ssociat</w:t>
      </w:r>
      <w:r w:rsidR="00D35AF2">
        <w:rPr>
          <w:rFonts w:eastAsiaTheme="minorEastAsia"/>
        </w:rPr>
        <w:t>i</w:t>
      </w:r>
      <w:r w:rsidR="0001042D">
        <w:rPr>
          <w:rFonts w:eastAsiaTheme="minorEastAsia"/>
        </w:rPr>
        <w:t xml:space="preserve"> d’onore </w:t>
      </w:r>
      <w:r w:rsidR="00D35AF2">
        <w:rPr>
          <w:rFonts w:eastAsiaTheme="minorEastAsia"/>
        </w:rPr>
        <w:t>del fondo speculativo anche Merton.</w:t>
      </w:r>
    </w:p>
    <w:p w14:paraId="19F2F0CB" w14:textId="1EAA5323" w:rsidR="00844892" w:rsidRDefault="00844892" w:rsidP="00D76CB6">
      <w:pPr>
        <w:rPr>
          <w:rFonts w:eastAsiaTheme="minorEastAsia"/>
        </w:rPr>
      </w:pPr>
      <w:r>
        <w:rPr>
          <w:rFonts w:eastAsiaTheme="minorEastAsia"/>
        </w:rPr>
        <w:t>Per studiare il pricing delle opzioni</w:t>
      </w:r>
      <w:r w:rsidR="00D875E2">
        <w:rPr>
          <w:rFonts w:eastAsiaTheme="minorEastAsia"/>
        </w:rPr>
        <w:t xml:space="preserve"> useremo</w:t>
      </w:r>
      <w:r w:rsidR="00A95AAD">
        <w:rPr>
          <w:rFonts w:eastAsiaTheme="minorEastAsia"/>
        </w:rPr>
        <w:t xml:space="preserve"> modelli d’analisi</w:t>
      </w:r>
      <w:r w:rsidR="00D875E2">
        <w:rPr>
          <w:rFonts w:eastAsiaTheme="minorEastAsia"/>
        </w:rPr>
        <w:t xml:space="preserve"> che sono valsi il premio nobel nel 2003 a</w:t>
      </w:r>
      <w:r w:rsidR="00A95AAD">
        <w:rPr>
          <w:rFonts w:eastAsiaTheme="minorEastAsia"/>
        </w:rPr>
        <w:t>i loro ideatori</w:t>
      </w:r>
      <w:r w:rsidR="00D875E2">
        <w:rPr>
          <w:rFonts w:eastAsiaTheme="minorEastAsia"/>
        </w:rPr>
        <w:t xml:space="preserve"> </w:t>
      </w:r>
      <w:r w:rsidR="00A95AAD" w:rsidRPr="00A95AAD">
        <w:rPr>
          <w:rFonts w:eastAsiaTheme="minorEastAsia"/>
        </w:rPr>
        <w:t>Robert F. Engle</w:t>
      </w:r>
      <w:r w:rsidR="00A95AAD">
        <w:rPr>
          <w:rFonts w:eastAsiaTheme="minorEastAsia"/>
        </w:rPr>
        <w:t xml:space="preserve"> e </w:t>
      </w:r>
      <w:r w:rsidR="00A95AAD" w:rsidRPr="00A95AAD">
        <w:rPr>
          <w:rFonts w:eastAsiaTheme="minorEastAsia"/>
        </w:rPr>
        <w:t>Clive W. J. Granger</w:t>
      </w:r>
      <w:r w:rsidR="00A95AAD">
        <w:rPr>
          <w:rFonts w:eastAsiaTheme="minorEastAsia"/>
        </w:rPr>
        <w:t>:</w:t>
      </w:r>
    </w:p>
    <w:p w14:paraId="75AE20BC" w14:textId="77777777" w:rsidR="00212926" w:rsidRDefault="00212926" w:rsidP="001A6926">
      <w:pPr>
        <w:pStyle w:val="Paragrafoelenco"/>
        <w:numPr>
          <w:ilvl w:val="0"/>
          <w:numId w:val="4"/>
        </w:numPr>
        <w:rPr>
          <w:rFonts w:eastAsiaTheme="minorEastAsia"/>
        </w:rPr>
      </w:pPr>
      <w:r>
        <w:rPr>
          <w:rFonts w:eastAsiaTheme="minorEastAsia"/>
        </w:rPr>
        <w:t>Cointegrazione : Engle-</w:t>
      </w:r>
      <w:r w:rsidR="001A6926">
        <w:rPr>
          <w:rFonts w:eastAsiaTheme="minorEastAsia"/>
        </w:rPr>
        <w:t>Granger</w:t>
      </w:r>
      <w:r>
        <w:rPr>
          <w:rFonts w:eastAsiaTheme="minorEastAsia"/>
        </w:rPr>
        <w:t xml:space="preserve"> test per la correlazione spuria.</w:t>
      </w:r>
    </w:p>
    <w:p w14:paraId="3F3A37D8" w14:textId="77777777" w:rsidR="00807484" w:rsidRDefault="00807484" w:rsidP="001A6926">
      <w:pPr>
        <w:pStyle w:val="Paragrafoelenco"/>
        <w:numPr>
          <w:ilvl w:val="0"/>
          <w:numId w:val="4"/>
        </w:numPr>
        <w:rPr>
          <w:rFonts w:eastAsiaTheme="minorEastAsia"/>
        </w:rPr>
      </w:pPr>
      <w:r w:rsidRPr="00807484">
        <w:rPr>
          <w:rFonts w:eastAsiaTheme="minorEastAsia"/>
        </w:rPr>
        <w:t>Modello autoregressivo a eteroschedasticità condizionata</w:t>
      </w:r>
      <w:r>
        <w:rPr>
          <w:rFonts w:eastAsiaTheme="minorEastAsia"/>
        </w:rPr>
        <w:t>.</w:t>
      </w:r>
    </w:p>
    <w:p w14:paraId="3C9E33CD" w14:textId="69E1972E" w:rsidR="001A6926" w:rsidRPr="00807484" w:rsidRDefault="00807484" w:rsidP="00807484">
      <w:pPr>
        <w:rPr>
          <w:rFonts w:eastAsiaTheme="minorEastAsia"/>
        </w:rPr>
      </w:pPr>
      <w:r>
        <w:rPr>
          <w:rFonts w:eastAsiaTheme="minorEastAsia"/>
        </w:rPr>
        <w:t>Modelli che vedremo implementati in metatrader, ai quali dedicheremo paragrafi appositi.</w:t>
      </w:r>
      <w:r w:rsidR="001A6926" w:rsidRPr="00807484">
        <w:rPr>
          <w:rFonts w:eastAsiaTheme="minorEastAsia"/>
        </w:rPr>
        <w:t xml:space="preserve"> </w:t>
      </w:r>
    </w:p>
    <w:p w14:paraId="66106F98" w14:textId="77777777" w:rsidR="006A0D8B" w:rsidRDefault="006A0D8B" w:rsidP="00D76CB6">
      <w:pPr>
        <w:rPr>
          <w:rFonts w:eastAsiaTheme="minorEastAsia"/>
        </w:rPr>
      </w:pPr>
    </w:p>
    <w:p w14:paraId="52FDD9E7" w14:textId="77777777" w:rsidR="00E97FAE" w:rsidRDefault="00E97FAE" w:rsidP="00D76CB6">
      <w:pPr>
        <w:rPr>
          <w:rFonts w:eastAsiaTheme="minorEastAsia"/>
        </w:rPr>
      </w:pPr>
    </w:p>
    <w:p w14:paraId="041FF76A" w14:textId="77777777" w:rsidR="00E97FAE" w:rsidRDefault="00E97FAE" w:rsidP="00D76CB6">
      <w:pPr>
        <w:rPr>
          <w:rFonts w:eastAsiaTheme="minorEastAsia"/>
        </w:rPr>
      </w:pPr>
    </w:p>
    <w:p w14:paraId="5306DB21" w14:textId="0AF2202E" w:rsidR="00E97FAE" w:rsidRDefault="00E97FAE" w:rsidP="00D76CB6">
      <w:pPr>
        <w:rPr>
          <w:rFonts w:eastAsiaTheme="minorEastAsia"/>
        </w:rPr>
      </w:pPr>
    </w:p>
    <w:p w14:paraId="6CCDFC30" w14:textId="77777777" w:rsidR="00EC07D1" w:rsidRDefault="00EC07D1" w:rsidP="00EC07D1">
      <w:pPr>
        <w:pStyle w:val="Nessunaspaziatura"/>
      </w:pPr>
      <w:r>
        <w:t>In statistica la correlazione spuria è un problema che nasce nell'ambito delle analisi che calcolano la correlazione o effettuano una regressione, quando non è rispettata l'assunzione che le osservazioni sono indipendenti e identicamente distribuite.</w:t>
      </w:r>
    </w:p>
    <w:p w14:paraId="3550BE51" w14:textId="77777777" w:rsidR="00EC07D1" w:rsidRDefault="00EC07D1" w:rsidP="00EC07D1">
      <w:pPr>
        <w:pStyle w:val="Nessunaspaziatura"/>
      </w:pPr>
    </w:p>
    <w:p w14:paraId="75A1ED15" w14:textId="77777777" w:rsidR="00EC07D1" w:rsidRDefault="00EC07D1" w:rsidP="00EC07D1">
      <w:pPr>
        <w:pStyle w:val="Nessunaspaziatura"/>
      </w:pPr>
      <w:r>
        <w:t>Tale problema si presenta frequentemente (ma non esclusivamente) nell'effettuare regressioni con osservazioni provenienti da serie storiche.</w:t>
      </w:r>
    </w:p>
    <w:p w14:paraId="60113FA7" w14:textId="77777777" w:rsidR="00EC07D1" w:rsidRDefault="00EC07D1" w:rsidP="00EC07D1">
      <w:pPr>
        <w:pStyle w:val="Nessunaspaziatura"/>
      </w:pPr>
    </w:p>
    <w:p w14:paraId="10C3E1C8" w14:textId="77777777" w:rsidR="00EC07D1" w:rsidRDefault="00EC07D1" w:rsidP="00EC07D1">
      <w:pPr>
        <w:pStyle w:val="Nessunaspaziatura"/>
      </w:pPr>
      <w:r>
        <w:t>Supponiamo che ci sia una correlazione fra A e B. Escludendo le coincidenze, ci sono tre tipi possibili di relazione:</w:t>
      </w:r>
    </w:p>
    <w:p w14:paraId="45B96FA7" w14:textId="77777777" w:rsidR="00EC07D1" w:rsidRDefault="00EC07D1" w:rsidP="00EC07D1">
      <w:pPr>
        <w:pStyle w:val="Nessunaspaziatura"/>
      </w:pPr>
    </w:p>
    <w:p w14:paraId="75FD23C5" w14:textId="77777777" w:rsidR="00EC07D1" w:rsidRDefault="00EC07D1" w:rsidP="00EC07D1">
      <w:pPr>
        <w:pStyle w:val="Nessunaspaziatura"/>
      </w:pPr>
      <w:r>
        <w:t>Quando A è presente, B è osservato. (A causa B.)</w:t>
      </w:r>
    </w:p>
    <w:p w14:paraId="0B522F0F" w14:textId="77777777" w:rsidR="00EC07D1" w:rsidRDefault="00EC07D1" w:rsidP="00EC07D1">
      <w:pPr>
        <w:pStyle w:val="Nessunaspaziatura"/>
      </w:pPr>
      <w:r>
        <w:t>Quando B è presente, A è osservato. (B causa A.)</w:t>
      </w:r>
    </w:p>
    <w:p w14:paraId="6AE41AE7" w14:textId="77777777" w:rsidR="00EC07D1" w:rsidRDefault="00EC07D1" w:rsidP="00EC07D1">
      <w:pPr>
        <w:pStyle w:val="Nessunaspaziatura"/>
      </w:pPr>
      <w:r>
        <w:t>O</w:t>
      </w:r>
    </w:p>
    <w:p w14:paraId="4BE9028F" w14:textId="77777777" w:rsidR="00EC07D1" w:rsidRDefault="00EC07D1" w:rsidP="00EC07D1">
      <w:pPr>
        <w:pStyle w:val="Nessunaspaziatura"/>
      </w:pPr>
      <w:r>
        <w:t>Quando C è presente, sia A che B sono osservati. (C è causa sia di A che di B.)</w:t>
      </w:r>
    </w:p>
    <w:p w14:paraId="4513FE7E" w14:textId="77777777" w:rsidR="00EC07D1" w:rsidRDefault="00EC07D1" w:rsidP="00EC07D1">
      <w:pPr>
        <w:pStyle w:val="Nessunaspaziatura"/>
      </w:pPr>
      <w:r>
        <w:t>Nell'ultimo caso c'è una correlazione spuria fra A e B. In un modello a regressione dove A è ricondotta a B, ma in realtà è C il vero fattore causale di A, questa scelta erronea di variabile indipendente (B invece di C) è chiamata errore di specificazione.</w:t>
      </w:r>
    </w:p>
    <w:p w14:paraId="2B16F9BF" w14:textId="77777777" w:rsidR="00EC07D1" w:rsidRDefault="00EC07D1" w:rsidP="00EC07D1">
      <w:pPr>
        <w:pStyle w:val="Nessunaspaziatura"/>
      </w:pPr>
    </w:p>
    <w:p w14:paraId="2BFF8422" w14:textId="77777777" w:rsidR="00A0705F" w:rsidRDefault="00A0705F" w:rsidP="00EC07D1">
      <w:pPr>
        <w:pStyle w:val="Nessunaspaziatura"/>
      </w:pPr>
    </w:p>
    <w:p w14:paraId="418A31AB" w14:textId="77777777" w:rsidR="00A0705F" w:rsidRDefault="00A0705F" w:rsidP="00EC07D1">
      <w:pPr>
        <w:pStyle w:val="Nessunaspaziatura"/>
      </w:pPr>
    </w:p>
    <w:p w14:paraId="3AB20750" w14:textId="77777777" w:rsidR="00A0705F" w:rsidRDefault="00A0705F" w:rsidP="00EC07D1">
      <w:pPr>
        <w:pStyle w:val="Nessunaspaziatura"/>
      </w:pPr>
    </w:p>
    <w:p w14:paraId="609B3036" w14:textId="77777777" w:rsidR="00A0705F" w:rsidRDefault="00A0705F" w:rsidP="00EC07D1">
      <w:pPr>
        <w:pStyle w:val="Nessunaspaziatura"/>
      </w:pPr>
    </w:p>
    <w:p w14:paraId="5B6EB90D" w14:textId="77777777" w:rsidR="009E2FD3" w:rsidRDefault="009E2FD3" w:rsidP="00EC07D1">
      <w:pPr>
        <w:pStyle w:val="Nessunaspaziatura"/>
      </w:pPr>
    </w:p>
    <w:p w14:paraId="3528B6A0" w14:textId="77777777" w:rsidR="009E2FD3" w:rsidRDefault="009E2FD3" w:rsidP="00EC07D1">
      <w:pPr>
        <w:pStyle w:val="Nessunaspaziatura"/>
      </w:pPr>
    </w:p>
    <w:p w14:paraId="050B38F7" w14:textId="77777777" w:rsidR="009E2FD3" w:rsidRDefault="009E2FD3" w:rsidP="00EC07D1">
      <w:pPr>
        <w:pStyle w:val="Nessunaspaziatura"/>
      </w:pPr>
    </w:p>
    <w:p w14:paraId="08F29484" w14:textId="77777777" w:rsidR="00A0705F" w:rsidRDefault="00A0705F" w:rsidP="00EC07D1">
      <w:pPr>
        <w:pStyle w:val="Nessunaspaziatura"/>
      </w:pPr>
    </w:p>
    <w:p w14:paraId="50170978" w14:textId="77777777" w:rsidR="00A0705F" w:rsidRDefault="00A0705F" w:rsidP="00EC07D1">
      <w:pPr>
        <w:pStyle w:val="Nessunaspaziatura"/>
      </w:pPr>
    </w:p>
    <w:p w14:paraId="2616CA10" w14:textId="77777777" w:rsidR="00A0705F" w:rsidRDefault="00A0705F" w:rsidP="00EC07D1">
      <w:pPr>
        <w:pStyle w:val="Nessunaspaziatura"/>
      </w:pPr>
    </w:p>
    <w:p w14:paraId="22D42391" w14:textId="77777777" w:rsidR="00A0705F" w:rsidRDefault="00A0705F" w:rsidP="00EC07D1">
      <w:pPr>
        <w:pStyle w:val="Nessunaspaziatura"/>
      </w:pPr>
    </w:p>
    <w:p w14:paraId="2AEF658F" w14:textId="77777777" w:rsidR="00A0705F" w:rsidRDefault="00A0705F" w:rsidP="00EC07D1">
      <w:pPr>
        <w:pStyle w:val="Nessunaspaziatura"/>
      </w:pPr>
    </w:p>
    <w:p w14:paraId="5A2380E6" w14:textId="77777777" w:rsidR="00A0705F" w:rsidRDefault="00A0705F" w:rsidP="00EC07D1">
      <w:pPr>
        <w:pStyle w:val="Nessunaspaziatura"/>
      </w:pPr>
    </w:p>
    <w:p w14:paraId="015DAB91" w14:textId="77777777" w:rsidR="00A0705F" w:rsidRDefault="00A0705F" w:rsidP="00EC07D1">
      <w:pPr>
        <w:pStyle w:val="Nessunaspaziatura"/>
      </w:pPr>
    </w:p>
    <w:p w14:paraId="636D8EEC" w14:textId="77777777" w:rsidR="00A0705F" w:rsidRDefault="00A0705F" w:rsidP="00EC07D1">
      <w:pPr>
        <w:pStyle w:val="Nessunaspaziatura"/>
      </w:pPr>
    </w:p>
    <w:p w14:paraId="0CF3D9C6" w14:textId="5F33B535" w:rsidR="00A0705F" w:rsidRDefault="00A0705F" w:rsidP="00EC07D1">
      <w:pPr>
        <w:pStyle w:val="Nessunaspaziatura"/>
      </w:pPr>
      <w:r>
        <w:rPr>
          <w:noProof/>
        </w:rPr>
        <w:drawing>
          <wp:inline distT="0" distB="0" distL="0" distR="0" wp14:anchorId="5DBB9FBA" wp14:editId="669CC9A1">
            <wp:extent cx="6096000" cy="3438525"/>
            <wp:effectExtent l="0" t="0" r="0" b="9525"/>
            <wp:docPr id="1550684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8497" name="Immagine 155068497"/>
                    <pic:cNvPicPr/>
                  </pic:nvPicPr>
                  <pic:blipFill>
                    <a:blip r:embed="rId27">
                      <a:extLst>
                        <a:ext uri="{28A0092B-C50C-407E-A947-70E740481C1C}">
                          <a14:useLocalDpi xmlns:a14="http://schemas.microsoft.com/office/drawing/2010/main" val="0"/>
                        </a:ext>
                      </a:extLst>
                    </a:blip>
                    <a:stretch>
                      <a:fillRect/>
                    </a:stretch>
                  </pic:blipFill>
                  <pic:spPr>
                    <a:xfrm>
                      <a:off x="0" y="0"/>
                      <a:ext cx="6096000" cy="3438525"/>
                    </a:xfrm>
                    <a:prstGeom prst="rect">
                      <a:avLst/>
                    </a:prstGeom>
                  </pic:spPr>
                </pic:pic>
              </a:graphicData>
            </a:graphic>
          </wp:inline>
        </w:drawing>
      </w:r>
    </w:p>
    <w:p w14:paraId="10F5E19E" w14:textId="77777777" w:rsidR="00094D48" w:rsidRDefault="00094D48" w:rsidP="00EC07D1">
      <w:pPr>
        <w:pStyle w:val="Nessunaspaziatura"/>
      </w:pPr>
    </w:p>
    <w:p w14:paraId="15AD4217" w14:textId="7B81EE21" w:rsidR="00EC07D1" w:rsidRDefault="000D3A44" w:rsidP="00EC07D1">
      <w:pPr>
        <w:pStyle w:val="Nessunaspaziatura"/>
      </w:pPr>
      <w:hyperlink r:id="rId28" w:history="1">
        <w:r w:rsidRPr="00C93366">
          <w:rPr>
            <w:rStyle w:val="Collegamentoipertestuale"/>
          </w:rPr>
          <w:t>https://www.youtube.com/watch?v=7cFQVnNyt5o</w:t>
        </w:r>
      </w:hyperlink>
    </w:p>
    <w:p w14:paraId="4F7A0976" w14:textId="77777777" w:rsidR="000D3A44" w:rsidRDefault="000D3A44" w:rsidP="00EC07D1">
      <w:pPr>
        <w:pStyle w:val="Nessunaspaziatura"/>
      </w:pPr>
    </w:p>
    <w:p w14:paraId="0FE90C73" w14:textId="77777777" w:rsidR="000D3A44" w:rsidRDefault="000D3A44" w:rsidP="00EC07D1">
      <w:pPr>
        <w:pStyle w:val="Nessunaspaziatura"/>
      </w:pPr>
    </w:p>
    <w:p w14:paraId="693ACC45" w14:textId="0F38B4AC" w:rsidR="000D3A44" w:rsidRDefault="000D3A44" w:rsidP="00EC07D1">
      <w:pPr>
        <w:pStyle w:val="Nessunaspaziatura"/>
      </w:pPr>
      <w:r>
        <w:t>COVERED CALL</w:t>
      </w:r>
    </w:p>
    <w:p w14:paraId="4DDDD1C2" w14:textId="3B2CB347" w:rsidR="000D3A44" w:rsidRDefault="000D3A44" w:rsidP="00EC07D1">
      <w:pPr>
        <w:pStyle w:val="Nessunaspaziatura"/>
      </w:pPr>
      <w:r>
        <w:t>Adatta sia a investitori che trader</w:t>
      </w:r>
      <w:r w:rsidR="00EC5626">
        <w:t xml:space="preserve">. </w:t>
      </w:r>
      <w:r w:rsidR="004D4197">
        <w:t xml:space="preserve">Si applica quando sei già long su un sottostante, permettendo </w:t>
      </w:r>
      <w:r w:rsidR="000508D3">
        <w:t>di incrementare i guadagni implementando premi da incassare sistematicamente, senza bisogno di impegnare ulteriori margini di capitale. Tutto grasso che cola</w:t>
      </w:r>
      <w:r w:rsidR="0027308F">
        <w:t xml:space="preserve">. Ricordiamoci che dovremmo avere almeno 100 o multipli di 100 per matchare con l’opzione (??). Se hai un </w:t>
      </w:r>
      <w:r w:rsidR="006C11A1">
        <w:t>portafoglio long di azioni e non applichi la covered call sei un coglione</w:t>
      </w:r>
      <w:r w:rsidR="002620B1">
        <w:t xml:space="preserve">. </w:t>
      </w:r>
    </w:p>
    <w:p w14:paraId="2FA7C89D" w14:textId="77777777" w:rsidR="005700D8" w:rsidRDefault="002620B1" w:rsidP="00EC07D1">
      <w:pPr>
        <w:pStyle w:val="Nessunaspaziatura"/>
      </w:pPr>
      <w:r>
        <w:t xml:space="preserve">Quando vendi una call il broker ti chiede un certo margine, in base al </w:t>
      </w:r>
      <w:r w:rsidR="00A84DD4">
        <w:t>rischio. Inoltre se vieni assegnato devi essere pronto ad andare short di 100 azioni per ogni opzione.</w:t>
      </w:r>
      <w:r w:rsidR="00021CD5">
        <w:t>(cash secured call)</w:t>
      </w:r>
      <w:r w:rsidR="006B6C00">
        <w:t xml:space="preserve"> Ma se sei long su almeno 100 azioni il broker non ti chiede nessun margine, perché male che vada usa le azioni</w:t>
      </w:r>
      <w:r w:rsidR="00A01318">
        <w:t xml:space="preserve"> se vieni assegnato</w:t>
      </w:r>
      <w:r w:rsidR="006B6C00">
        <w:t>.</w:t>
      </w:r>
      <w:r w:rsidR="0068631E" w:rsidRPr="0068631E">
        <w:rPr>
          <w:rFonts w:ascii="Helvetica" w:hAnsi="Helvetica" w:cs="Helvetica"/>
          <w:kern w:val="0"/>
        </w:rPr>
        <w:t xml:space="preserve"> </w:t>
      </w:r>
      <w:r w:rsidR="0068631E" w:rsidRPr="0068631E">
        <w:t>Quindi non sei coperto dal cash (cash secured call), ma se possiedi il sottostante, il broker ti vende le azioni - sei quindi coperto dalle azioni long (covered call) - cioè l'assegnazione non implica una vendita allo scoperto, ma una vendita di quello che già possiedi!</w:t>
      </w:r>
    </w:p>
    <w:p w14:paraId="6F8FAE25" w14:textId="118B7F85" w:rsidR="002620B1" w:rsidRDefault="005700D8" w:rsidP="005700D8">
      <w:pPr>
        <w:pStyle w:val="Nessunaspaziatura"/>
        <w:jc w:val="center"/>
      </w:pPr>
      <w:r>
        <w:rPr>
          <w:noProof/>
        </w:rPr>
        <w:lastRenderedPageBreak/>
        <w:drawing>
          <wp:inline distT="0" distB="0" distL="0" distR="0" wp14:anchorId="060E0A74" wp14:editId="6A7E7CED">
            <wp:extent cx="2847104" cy="1407600"/>
            <wp:effectExtent l="0" t="0" r="0" b="2540"/>
            <wp:docPr id="3" name="Immagine 3"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iagramma&#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47104" cy="1407600"/>
                    </a:xfrm>
                    <a:prstGeom prst="rect">
                      <a:avLst/>
                    </a:prstGeom>
                  </pic:spPr>
                </pic:pic>
              </a:graphicData>
            </a:graphic>
          </wp:inline>
        </w:drawing>
      </w:r>
    </w:p>
    <w:p w14:paraId="758E5506" w14:textId="6E1F2200" w:rsidR="00FF61F4" w:rsidRDefault="00021367" w:rsidP="00FF61F4">
      <w:pPr>
        <w:pStyle w:val="Nessunaspaziatura"/>
      </w:pPr>
      <w:r>
        <w:t>Rinuncio a una parte</w:t>
      </w:r>
      <w:r w:rsidR="001F5881">
        <w:t xml:space="preserve"> di guadagno per coprirmi da perdite. Il profitto massimo = premio + </w:t>
      </w:r>
      <w:r w:rsidR="00321A7E">
        <w:t>100 * (s</w:t>
      </w:r>
      <w:r w:rsidR="005F2FD4">
        <w:t>p</w:t>
      </w:r>
      <w:r w:rsidR="00321A7E">
        <w:t>-x)</w:t>
      </w:r>
      <w:r w:rsidR="00FF61F4">
        <w:t>. Ogni mese vendo una call (coperta dal sottostante che possiedo) e</w:t>
      </w:r>
    </w:p>
    <w:p w14:paraId="7060CBE0" w14:textId="2E08A6AD" w:rsidR="00FF61F4" w:rsidRDefault="00FF61F4" w:rsidP="00FF61F4">
      <w:pPr>
        <w:pStyle w:val="Nessunaspaziatura"/>
      </w:pPr>
      <w:r>
        <w:t>Genero un cash flow mensile</w:t>
      </w:r>
    </w:p>
    <w:p w14:paraId="5F5407AF" w14:textId="007EA8E6" w:rsidR="00094D48" w:rsidRDefault="00FF61F4" w:rsidP="00EC07D1">
      <w:pPr>
        <w:pStyle w:val="Nessunaspaziatura"/>
      </w:pPr>
      <w:r>
        <w:t>• magari il sottostante paga dividendi e alla fine dell'anno, anche se il sottostante non si è mosso, ho generato cash flow dalle call vendute e dai dividendi - questo può rappresentare percentuali molto interessanti! (mi protegge da ribassi del sottostante)</w:t>
      </w:r>
    </w:p>
    <w:sectPr w:rsidR="00094D48" w:rsidSect="00102E92">
      <w:headerReference w:type="default" r:id="rId30"/>
      <w:footerReference w:type="default" r:id="rId3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3D8CA" w14:textId="77777777" w:rsidR="00B67424" w:rsidRDefault="00B67424" w:rsidP="00D76CB6">
      <w:pPr>
        <w:spacing w:after="0" w:line="240" w:lineRule="auto"/>
      </w:pPr>
      <w:r>
        <w:separator/>
      </w:r>
    </w:p>
  </w:endnote>
  <w:endnote w:type="continuationSeparator" w:id="0">
    <w:p w14:paraId="6E104C20" w14:textId="77777777" w:rsidR="00B67424" w:rsidRDefault="00B67424" w:rsidP="00D76CB6">
      <w:pPr>
        <w:spacing w:after="0" w:line="240" w:lineRule="auto"/>
      </w:pPr>
      <w:r>
        <w:continuationSeparator/>
      </w:r>
    </w:p>
  </w:endnote>
  <w:endnote w:type="continuationNotice" w:id="1">
    <w:p w14:paraId="399EF95B" w14:textId="77777777" w:rsidR="00B67424" w:rsidRDefault="00B674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63C96" w14:textId="77777777" w:rsidR="009C1AF4" w:rsidRDefault="009C1AF4">
    <w:pPr>
      <w:pStyle w:val="Pidipagina"/>
      <w:jc w:val="right"/>
    </w:pPr>
  </w:p>
  <w:sdt>
    <w:sdtPr>
      <w:id w:val="936715571"/>
      <w:docPartObj>
        <w:docPartGallery w:val="Page Numbers (Bottom of Page)"/>
        <w:docPartUnique/>
      </w:docPartObj>
    </w:sdtPr>
    <w:sdtContent>
      <w:p w14:paraId="0F80F0C8" w14:textId="2CCE566C" w:rsidR="009C1AF4" w:rsidRDefault="009C1AF4">
        <w:pPr>
          <w:pStyle w:val="Pidipagina"/>
          <w:jc w:val="right"/>
        </w:pPr>
        <w:r>
          <w:fldChar w:fldCharType="begin"/>
        </w:r>
        <w:r>
          <w:instrText>PAGE   \* MERGEFORMAT</w:instrText>
        </w:r>
        <w:r>
          <w:fldChar w:fldCharType="separate"/>
        </w:r>
        <w:r>
          <w:t>2</w:t>
        </w:r>
        <w:r>
          <w:fldChar w:fldCharType="end"/>
        </w:r>
      </w:p>
    </w:sdtContent>
  </w:sdt>
  <w:p w14:paraId="7420AB5E" w14:textId="77777777" w:rsidR="002A6976" w:rsidRDefault="002A697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97183" w14:textId="77777777" w:rsidR="00B67424" w:rsidRDefault="00B67424" w:rsidP="00D76CB6">
      <w:pPr>
        <w:spacing w:after="0" w:line="240" w:lineRule="auto"/>
      </w:pPr>
      <w:r>
        <w:separator/>
      </w:r>
    </w:p>
  </w:footnote>
  <w:footnote w:type="continuationSeparator" w:id="0">
    <w:p w14:paraId="26597889" w14:textId="77777777" w:rsidR="00B67424" w:rsidRDefault="00B67424" w:rsidP="00D76CB6">
      <w:pPr>
        <w:spacing w:after="0" w:line="240" w:lineRule="auto"/>
      </w:pPr>
      <w:r>
        <w:continuationSeparator/>
      </w:r>
    </w:p>
  </w:footnote>
  <w:footnote w:type="continuationNotice" w:id="1">
    <w:p w14:paraId="1B765360" w14:textId="77777777" w:rsidR="00B67424" w:rsidRDefault="00B67424">
      <w:pPr>
        <w:spacing w:after="0" w:line="240" w:lineRule="auto"/>
      </w:pPr>
    </w:p>
  </w:footnote>
  <w:footnote w:id="2">
    <w:p w14:paraId="343B47F3" w14:textId="69BA7C82" w:rsidR="00E244B1" w:rsidRPr="00030193" w:rsidRDefault="00E244B1">
      <w:pPr>
        <w:pStyle w:val="Testonotaapidipagina"/>
      </w:pPr>
      <w:r>
        <w:rPr>
          <w:rStyle w:val="Rimandonotaapidipagina"/>
        </w:rPr>
        <w:footnoteRef/>
      </w:r>
      <w:r>
        <w:t xml:space="preserve"> </w:t>
      </w:r>
      <w:r w:rsidR="00030193">
        <w:t xml:space="preserve">John Donne, </w:t>
      </w:r>
      <w:r w:rsidR="00030193">
        <w:rPr>
          <w:i/>
          <w:iCs/>
        </w:rPr>
        <w:t xml:space="preserve">Nessun uomo è un’isola, </w:t>
      </w:r>
      <w:r w:rsidR="00030193">
        <w:t>16</w:t>
      </w:r>
      <w:r w:rsidR="00E55460">
        <w:t>24.</w:t>
      </w:r>
    </w:p>
  </w:footnote>
  <w:footnote w:id="3">
    <w:p w14:paraId="57A65889" w14:textId="2170CBD5" w:rsidR="004449AD" w:rsidRDefault="00A10541">
      <w:pPr>
        <w:pStyle w:val="Testonotaapidipagina"/>
      </w:pPr>
      <w:r>
        <w:rPr>
          <w:rStyle w:val="Rimandonotaapidipagina"/>
        </w:rPr>
        <w:footnoteRef/>
      </w:r>
      <w:r>
        <w:t xml:space="preserve"> </w:t>
      </w:r>
      <w:r w:rsidR="0064657C" w:rsidRPr="0064657C">
        <w:t xml:space="preserve">La </w:t>
      </w:r>
      <w:r w:rsidR="0064657C">
        <w:t>rivalità</w:t>
      </w:r>
      <w:r w:rsidR="0064657C" w:rsidRPr="0064657C">
        <w:t xml:space="preserve"> indica la circostanza in cui l’uso di un bene da parte di un agente incide sulla facoltà di goderne completamente da parte di terzi. </w:t>
      </w:r>
      <w:r w:rsidR="00C90A98">
        <w:t>L</w:t>
      </w:r>
      <w:r w:rsidR="004449AD">
        <w:t xml:space="preserve">’escludibilità </w:t>
      </w:r>
      <w:r w:rsidR="004449AD" w:rsidRPr="004449AD">
        <w:t>rappresenta invece l’impossibilità di estromettere terzi dal consumo di un determinato bene.</w:t>
      </w:r>
    </w:p>
  </w:footnote>
  <w:footnote w:id="4">
    <w:p w14:paraId="15142549" w14:textId="0439E6A3" w:rsidR="00771880" w:rsidRDefault="00771880">
      <w:pPr>
        <w:pStyle w:val="Testonotaapidipagina"/>
      </w:pPr>
      <w:r>
        <w:rPr>
          <w:rStyle w:val="Rimandonotaapidipagina"/>
        </w:rPr>
        <w:footnoteRef/>
      </w:r>
      <w:r>
        <w:t xml:space="preserve"> </w:t>
      </w:r>
      <w:r w:rsidRPr="00771880">
        <w:t>Lo h.o. è un agente razionale che usa mezzi scarsi nel modo più efficiente per massimizzare il benessere</w:t>
      </w:r>
      <w:r>
        <w:t>.</w:t>
      </w:r>
      <w:r w:rsidR="004056FE">
        <w:t xml:space="preserve"> Citata in questi termini per la prima volta da</w:t>
      </w:r>
      <w:r>
        <w:t xml:space="preserve"> </w:t>
      </w:r>
      <w:r w:rsidR="004056FE">
        <w:t>J</w:t>
      </w:r>
      <w:r w:rsidR="004056FE" w:rsidRPr="004056FE">
        <w:t>ohn Stuart Mill, metà del 19esimo secolo</w:t>
      </w:r>
    </w:p>
  </w:footnote>
  <w:footnote w:id="5">
    <w:p w14:paraId="241D9001" w14:textId="05D18C6B" w:rsidR="00EB6E3E" w:rsidRPr="00E37E77" w:rsidRDefault="00EB6E3E">
      <w:pPr>
        <w:pStyle w:val="Testonotaapidipagina"/>
      </w:pPr>
      <w:r>
        <w:rPr>
          <w:rStyle w:val="Rimandonotaapidipagina"/>
        </w:rPr>
        <w:footnoteRef/>
      </w:r>
      <w:r>
        <w:t xml:space="preserve"> </w:t>
      </w:r>
      <w:r w:rsidRPr="00E37E77">
        <w:t>Erodoto</w:t>
      </w:r>
      <w:r w:rsidRPr="00EB6E3E">
        <w:rPr>
          <w:i/>
          <w:iCs/>
        </w:rPr>
        <w:t xml:space="preserve"> - Libro III</w:t>
      </w:r>
      <w:r>
        <w:rPr>
          <w:i/>
          <w:iCs/>
        </w:rPr>
        <w:t xml:space="preserve"> e IV </w:t>
      </w:r>
      <w:r w:rsidR="00E37E77">
        <w:t xml:space="preserve"> si parla dei primi talenti in argento.</w:t>
      </w:r>
    </w:p>
  </w:footnote>
  <w:footnote w:id="6">
    <w:p w14:paraId="277A2618" w14:textId="6499711F" w:rsidR="007F60A4" w:rsidRDefault="007F60A4">
      <w:pPr>
        <w:pStyle w:val="Testonotaapidipagina"/>
      </w:pPr>
      <w:r>
        <w:rPr>
          <w:rStyle w:val="Rimandonotaapidipagina"/>
        </w:rPr>
        <w:footnoteRef/>
      </w:r>
      <w:r>
        <w:t xml:space="preserve"> Ammettiamo che </w:t>
      </w:r>
      <w:r w:rsidR="003032E3">
        <w:t>esistano opzioni con</w:t>
      </w:r>
      <w:r>
        <w:t xml:space="preserve"> scadenza esattamente a un mese, </w:t>
      </w:r>
      <w:r w:rsidR="003032E3">
        <w:t>immaginiamo quindi che l</w:t>
      </w:r>
      <w:r w:rsidR="00E56842">
        <w:t>a durata coincida con il nostro</w:t>
      </w:r>
      <w:r>
        <w:t xml:space="preserve"> orizzonte </w:t>
      </w:r>
      <w:r w:rsidR="00110225">
        <w:t>d’investimento</w:t>
      </w:r>
      <w:r>
        <w:t>.</w:t>
      </w:r>
    </w:p>
  </w:footnote>
  <w:footnote w:id="7">
    <w:p w14:paraId="4B8428A2" w14:textId="3217EF0B" w:rsidR="00993C9C" w:rsidRDefault="00993C9C">
      <w:pPr>
        <w:pStyle w:val="Testonotaapidipagina"/>
      </w:pPr>
      <w:r>
        <w:rPr>
          <w:rStyle w:val="Rimandonotaapidipagina"/>
        </w:rPr>
        <w:footnoteRef/>
      </w:r>
      <w:r>
        <w:t xml:space="preserve"> Gli etf </w:t>
      </w:r>
      <w:r w:rsidR="00C44A5A">
        <w:t xml:space="preserve">sono tipicamente strumenti a gestione passiva che replicano l’andamento degli indici, si prestano quindi alle strategie con opzioni su indici. </w:t>
      </w:r>
    </w:p>
  </w:footnote>
  <w:footnote w:id="8">
    <w:p w14:paraId="12F9B826" w14:textId="38FFF4B0" w:rsidR="003539CD" w:rsidRDefault="003539CD">
      <w:pPr>
        <w:pStyle w:val="Testonotaapidipagina"/>
      </w:pPr>
      <w:r>
        <w:rPr>
          <w:rStyle w:val="Rimandonotaapidipagina"/>
        </w:rPr>
        <w:footnoteRef/>
      </w:r>
      <w:r>
        <w:t xml:space="preserve"> </w:t>
      </w:r>
      <w:r w:rsidR="00006638" w:rsidRPr="00006638">
        <w:t>https://www.borsaitaliana.it/borsa/derivati/specifichecontrattuali/lottiminimiopzionisuazioni.html?lang=it</w:t>
      </w:r>
    </w:p>
  </w:footnote>
  <w:footnote w:id="9">
    <w:p w14:paraId="48316568" w14:textId="06FBFBEE" w:rsidR="00176A17" w:rsidRPr="000D3A44" w:rsidRDefault="00176A17">
      <w:pPr>
        <w:pStyle w:val="Testonotaapidipagina"/>
        <w:rPr>
          <w:lang w:val="en-US"/>
        </w:rPr>
      </w:pPr>
      <w:r>
        <w:rPr>
          <w:rStyle w:val="Rimandonotaapidipagina"/>
        </w:rPr>
        <w:footnoteRef/>
      </w:r>
      <w:r w:rsidRPr="000D3A44">
        <w:rPr>
          <w:lang w:val="en-US"/>
        </w:rPr>
        <w:t xml:space="preserve"> Cboe Europe Derivatives Welcomes Interactive Brokers as New Trading Participant</w:t>
      </w:r>
      <w:r w:rsidR="00BE5E5F" w:rsidRPr="000D3A44">
        <w:rPr>
          <w:lang w:val="en-US"/>
        </w:rPr>
        <w:t xml:space="preserve"> </w:t>
      </w:r>
      <w:r w:rsidR="00E02B86" w:rsidRPr="000D3A44">
        <w:rPr>
          <w:lang w:val="en-US"/>
        </w:rPr>
        <w:t>https://ir.cboe.com/news/ news-</w:t>
      </w:r>
      <w:r w:rsidR="00BE5E5F" w:rsidRPr="000D3A44">
        <w:rPr>
          <w:lang w:val="en-US"/>
        </w:rPr>
        <w:t xml:space="preserve">details/2024/Cboe-Europe-Derivatives-Welcomes-Interactive-Brokers-as-New-Trading-Participant </w:t>
      </w:r>
    </w:p>
  </w:footnote>
  <w:footnote w:id="10">
    <w:p w14:paraId="44408DC1" w14:textId="40CCA865" w:rsidR="00C81477" w:rsidRDefault="00C81477">
      <w:pPr>
        <w:pStyle w:val="Testonotaapidipagina"/>
      </w:pPr>
      <w:r>
        <w:rPr>
          <w:rStyle w:val="Rimandonotaapidipagina"/>
        </w:rPr>
        <w:footnoteRef/>
      </w:r>
      <w:r>
        <w:t xml:space="preserve"> </w:t>
      </w:r>
      <w:r w:rsidR="00DF5D86">
        <w:t xml:space="preserve">Il Cigno Nero – </w:t>
      </w:r>
      <w:r w:rsidR="001E5269" w:rsidRPr="001E5269">
        <w:t>Nassim Nicholas Taleb</w:t>
      </w:r>
      <w:r w:rsidR="001E5269">
        <w:t xml:space="preserve"> </w:t>
      </w:r>
      <w:r w:rsidR="00DF5D86">
        <w:t>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1B3A9" w14:textId="77777777" w:rsidR="00D76CB6" w:rsidRDefault="00D76CB6">
    <w:pPr>
      <w:pStyle w:val="Intestazione"/>
    </w:pPr>
  </w:p>
  <w:p w14:paraId="68AB5966" w14:textId="77777777" w:rsidR="00D76CB6" w:rsidRDefault="00D76C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1AC"/>
    <w:multiLevelType w:val="hybridMultilevel"/>
    <w:tmpl w:val="CE44AF60"/>
    <w:lvl w:ilvl="0" w:tplc="84FC49FC">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EF44F1C"/>
    <w:multiLevelType w:val="multilevel"/>
    <w:tmpl w:val="3F32C9B0"/>
    <w:lvl w:ilvl="0">
      <w:start w:val="1"/>
      <w:numFmt w:val="decimal"/>
      <w:lvlText w:val="%1"/>
      <w:lvlJc w:val="left"/>
      <w:pPr>
        <w:ind w:left="504" w:hanging="504"/>
      </w:pPr>
    </w:lvl>
    <w:lvl w:ilvl="1">
      <w:start w:val="1"/>
      <w:numFmt w:val="decimal"/>
      <w:lvlText w:val="%1.%2"/>
      <w:lvlJc w:val="left"/>
      <w:pPr>
        <w:ind w:left="858" w:hanging="504"/>
      </w:pPr>
    </w:lvl>
    <w:lvl w:ilvl="2">
      <w:start w:val="1"/>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2" w15:restartNumberingAfterBreak="0">
    <w:nsid w:val="32EF26C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8E0CAC"/>
    <w:multiLevelType w:val="hybridMultilevel"/>
    <w:tmpl w:val="99B2C1E0"/>
    <w:lvl w:ilvl="0" w:tplc="6F8CE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97613F"/>
    <w:multiLevelType w:val="hybridMultilevel"/>
    <w:tmpl w:val="0D0840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C159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291270"/>
    <w:multiLevelType w:val="hybridMultilevel"/>
    <w:tmpl w:val="63CAB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692134"/>
    <w:multiLevelType w:val="hybridMultilevel"/>
    <w:tmpl w:val="BEAA326E"/>
    <w:lvl w:ilvl="0" w:tplc="BC324266">
      <w:start w:val="3"/>
      <w:numFmt w:val="bullet"/>
      <w:lvlText w:val="-"/>
      <w:lvlJc w:val="left"/>
      <w:pPr>
        <w:ind w:left="1068" w:hanging="360"/>
      </w:pPr>
      <w:rPr>
        <w:rFonts w:ascii="Aptos" w:eastAsiaTheme="minorEastAsia"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7810561D"/>
    <w:multiLevelType w:val="multilevel"/>
    <w:tmpl w:val="885007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BE55313"/>
    <w:multiLevelType w:val="hybridMultilevel"/>
    <w:tmpl w:val="8F4026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16cid:durableId="927076526">
    <w:abstractNumId w:val="0"/>
  </w:num>
  <w:num w:numId="2" w16cid:durableId="1953896297">
    <w:abstractNumId w:val="5"/>
  </w:num>
  <w:num w:numId="3" w16cid:durableId="546838727">
    <w:abstractNumId w:val="2"/>
  </w:num>
  <w:num w:numId="4" w16cid:durableId="2123721043">
    <w:abstractNumId w:val="7"/>
  </w:num>
  <w:num w:numId="5" w16cid:durableId="2058773226">
    <w:abstractNumId w:val="8"/>
  </w:num>
  <w:num w:numId="6" w16cid:durableId="2030832334">
    <w:abstractNumId w:val="6"/>
  </w:num>
  <w:num w:numId="7" w16cid:durableId="1466579952">
    <w:abstractNumId w:val="3"/>
  </w:num>
  <w:num w:numId="8" w16cid:durableId="1649819549">
    <w:abstractNumId w:val="4"/>
  </w:num>
  <w:num w:numId="9" w16cid:durableId="10445196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555014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8"/>
    <w:rsid w:val="00003D56"/>
    <w:rsid w:val="00006638"/>
    <w:rsid w:val="0001042D"/>
    <w:rsid w:val="00013EC3"/>
    <w:rsid w:val="00014A4C"/>
    <w:rsid w:val="0001581C"/>
    <w:rsid w:val="0001762C"/>
    <w:rsid w:val="00020683"/>
    <w:rsid w:val="0002105D"/>
    <w:rsid w:val="00021367"/>
    <w:rsid w:val="00021CD5"/>
    <w:rsid w:val="00023817"/>
    <w:rsid w:val="00024351"/>
    <w:rsid w:val="000271D2"/>
    <w:rsid w:val="00030193"/>
    <w:rsid w:val="0003192C"/>
    <w:rsid w:val="00034DB5"/>
    <w:rsid w:val="000508D3"/>
    <w:rsid w:val="000551A9"/>
    <w:rsid w:val="0005689B"/>
    <w:rsid w:val="000631D0"/>
    <w:rsid w:val="000649D9"/>
    <w:rsid w:val="00067C33"/>
    <w:rsid w:val="00074FFD"/>
    <w:rsid w:val="00076413"/>
    <w:rsid w:val="0008050D"/>
    <w:rsid w:val="00087AB2"/>
    <w:rsid w:val="00094D48"/>
    <w:rsid w:val="000A4B7A"/>
    <w:rsid w:val="000A6195"/>
    <w:rsid w:val="000A6D72"/>
    <w:rsid w:val="000B28E6"/>
    <w:rsid w:val="000C189F"/>
    <w:rsid w:val="000C4C2A"/>
    <w:rsid w:val="000C78CE"/>
    <w:rsid w:val="000D3A44"/>
    <w:rsid w:val="000D6694"/>
    <w:rsid w:val="000E2248"/>
    <w:rsid w:val="000E3F0C"/>
    <w:rsid w:val="000E419A"/>
    <w:rsid w:val="000E5129"/>
    <w:rsid w:val="000E61A9"/>
    <w:rsid w:val="000F014D"/>
    <w:rsid w:val="000F109E"/>
    <w:rsid w:val="000F14B5"/>
    <w:rsid w:val="000F25E0"/>
    <w:rsid w:val="000F6AF9"/>
    <w:rsid w:val="00101646"/>
    <w:rsid w:val="00102E92"/>
    <w:rsid w:val="00103E69"/>
    <w:rsid w:val="001051BF"/>
    <w:rsid w:val="00105574"/>
    <w:rsid w:val="00110225"/>
    <w:rsid w:val="00110B71"/>
    <w:rsid w:val="0011106C"/>
    <w:rsid w:val="00114C2F"/>
    <w:rsid w:val="00117DA2"/>
    <w:rsid w:val="00122114"/>
    <w:rsid w:val="00124AEA"/>
    <w:rsid w:val="00125D2B"/>
    <w:rsid w:val="001263D7"/>
    <w:rsid w:val="00132D76"/>
    <w:rsid w:val="00137814"/>
    <w:rsid w:val="00140748"/>
    <w:rsid w:val="001465D6"/>
    <w:rsid w:val="001506EE"/>
    <w:rsid w:val="00161D94"/>
    <w:rsid w:val="00162AD3"/>
    <w:rsid w:val="00170D1F"/>
    <w:rsid w:val="00170DE5"/>
    <w:rsid w:val="00171497"/>
    <w:rsid w:val="00176A17"/>
    <w:rsid w:val="00176C1F"/>
    <w:rsid w:val="00176C7E"/>
    <w:rsid w:val="0018089A"/>
    <w:rsid w:val="001816F8"/>
    <w:rsid w:val="00187609"/>
    <w:rsid w:val="001877D0"/>
    <w:rsid w:val="001A2539"/>
    <w:rsid w:val="001A6926"/>
    <w:rsid w:val="001B14DA"/>
    <w:rsid w:val="001B5181"/>
    <w:rsid w:val="001B6261"/>
    <w:rsid w:val="001C01F2"/>
    <w:rsid w:val="001C21C9"/>
    <w:rsid w:val="001C24AA"/>
    <w:rsid w:val="001C3DF8"/>
    <w:rsid w:val="001C5428"/>
    <w:rsid w:val="001C59B9"/>
    <w:rsid w:val="001C6404"/>
    <w:rsid w:val="001D1332"/>
    <w:rsid w:val="001E0575"/>
    <w:rsid w:val="001E0D14"/>
    <w:rsid w:val="001E5269"/>
    <w:rsid w:val="001E56DE"/>
    <w:rsid w:val="001E5D1C"/>
    <w:rsid w:val="001F45E8"/>
    <w:rsid w:val="001F48C1"/>
    <w:rsid w:val="001F5172"/>
    <w:rsid w:val="001F5881"/>
    <w:rsid w:val="001F7C9F"/>
    <w:rsid w:val="0021007D"/>
    <w:rsid w:val="00212926"/>
    <w:rsid w:val="0021305C"/>
    <w:rsid w:val="00215192"/>
    <w:rsid w:val="002166F8"/>
    <w:rsid w:val="002221D2"/>
    <w:rsid w:val="00224705"/>
    <w:rsid w:val="002320AE"/>
    <w:rsid w:val="00240B2B"/>
    <w:rsid w:val="00241715"/>
    <w:rsid w:val="00241DCD"/>
    <w:rsid w:val="002424D2"/>
    <w:rsid w:val="00252AAE"/>
    <w:rsid w:val="00255FE7"/>
    <w:rsid w:val="0025740C"/>
    <w:rsid w:val="002620B1"/>
    <w:rsid w:val="00262813"/>
    <w:rsid w:val="0027308F"/>
    <w:rsid w:val="002741CB"/>
    <w:rsid w:val="00274533"/>
    <w:rsid w:val="0027566D"/>
    <w:rsid w:val="002760AE"/>
    <w:rsid w:val="00281F52"/>
    <w:rsid w:val="00282D34"/>
    <w:rsid w:val="00284E9D"/>
    <w:rsid w:val="00286E27"/>
    <w:rsid w:val="00290012"/>
    <w:rsid w:val="002914B1"/>
    <w:rsid w:val="00296187"/>
    <w:rsid w:val="00296DED"/>
    <w:rsid w:val="002A0B82"/>
    <w:rsid w:val="002A2D07"/>
    <w:rsid w:val="002A400C"/>
    <w:rsid w:val="002A6976"/>
    <w:rsid w:val="002B0EA2"/>
    <w:rsid w:val="002C0429"/>
    <w:rsid w:val="002C7257"/>
    <w:rsid w:val="002D1A88"/>
    <w:rsid w:val="002D2676"/>
    <w:rsid w:val="002D3436"/>
    <w:rsid w:val="002E09A2"/>
    <w:rsid w:val="002E38AB"/>
    <w:rsid w:val="002E56FA"/>
    <w:rsid w:val="002F1D36"/>
    <w:rsid w:val="002F4CF8"/>
    <w:rsid w:val="002F7134"/>
    <w:rsid w:val="002F7595"/>
    <w:rsid w:val="00300700"/>
    <w:rsid w:val="00301F3E"/>
    <w:rsid w:val="003020D9"/>
    <w:rsid w:val="003032E3"/>
    <w:rsid w:val="00310C85"/>
    <w:rsid w:val="00314EAF"/>
    <w:rsid w:val="00321A7E"/>
    <w:rsid w:val="00322C18"/>
    <w:rsid w:val="00330A1D"/>
    <w:rsid w:val="00331C8F"/>
    <w:rsid w:val="00335099"/>
    <w:rsid w:val="003364CE"/>
    <w:rsid w:val="00341FDF"/>
    <w:rsid w:val="003461A8"/>
    <w:rsid w:val="003539CD"/>
    <w:rsid w:val="003547AF"/>
    <w:rsid w:val="00355D59"/>
    <w:rsid w:val="003628D8"/>
    <w:rsid w:val="00364017"/>
    <w:rsid w:val="003642A4"/>
    <w:rsid w:val="003659C1"/>
    <w:rsid w:val="003659EE"/>
    <w:rsid w:val="003660EC"/>
    <w:rsid w:val="00367266"/>
    <w:rsid w:val="003719B9"/>
    <w:rsid w:val="00392934"/>
    <w:rsid w:val="003969EF"/>
    <w:rsid w:val="00396FDF"/>
    <w:rsid w:val="003A2AB7"/>
    <w:rsid w:val="003A5467"/>
    <w:rsid w:val="003A7D52"/>
    <w:rsid w:val="003B0174"/>
    <w:rsid w:val="003B38B7"/>
    <w:rsid w:val="003C1DE3"/>
    <w:rsid w:val="003C5EEF"/>
    <w:rsid w:val="003C681E"/>
    <w:rsid w:val="003C7303"/>
    <w:rsid w:val="003D0BEF"/>
    <w:rsid w:val="003E0385"/>
    <w:rsid w:val="003E0CF3"/>
    <w:rsid w:val="003E1CB8"/>
    <w:rsid w:val="003E2B5C"/>
    <w:rsid w:val="003E3446"/>
    <w:rsid w:val="003E4ACD"/>
    <w:rsid w:val="003E6FF0"/>
    <w:rsid w:val="003F00E7"/>
    <w:rsid w:val="003F0EF4"/>
    <w:rsid w:val="003F1EDC"/>
    <w:rsid w:val="003F2A37"/>
    <w:rsid w:val="003F2F9F"/>
    <w:rsid w:val="003F31AF"/>
    <w:rsid w:val="003F55E5"/>
    <w:rsid w:val="003F6425"/>
    <w:rsid w:val="00400FAB"/>
    <w:rsid w:val="00401C30"/>
    <w:rsid w:val="0040369A"/>
    <w:rsid w:val="004056FE"/>
    <w:rsid w:val="004069BC"/>
    <w:rsid w:val="00407214"/>
    <w:rsid w:val="004124C1"/>
    <w:rsid w:val="00412633"/>
    <w:rsid w:val="00412798"/>
    <w:rsid w:val="00413274"/>
    <w:rsid w:val="0041357B"/>
    <w:rsid w:val="00416E9F"/>
    <w:rsid w:val="0042732A"/>
    <w:rsid w:val="00442CAD"/>
    <w:rsid w:val="00443570"/>
    <w:rsid w:val="004449AD"/>
    <w:rsid w:val="00446B09"/>
    <w:rsid w:val="004542B5"/>
    <w:rsid w:val="00455B6E"/>
    <w:rsid w:val="00455F1E"/>
    <w:rsid w:val="004600C0"/>
    <w:rsid w:val="0046056F"/>
    <w:rsid w:val="0046271E"/>
    <w:rsid w:val="00466094"/>
    <w:rsid w:val="00472FB4"/>
    <w:rsid w:val="00473847"/>
    <w:rsid w:val="00473F89"/>
    <w:rsid w:val="004740C2"/>
    <w:rsid w:val="004749BF"/>
    <w:rsid w:val="0047553E"/>
    <w:rsid w:val="00475AEB"/>
    <w:rsid w:val="00477350"/>
    <w:rsid w:val="004819C9"/>
    <w:rsid w:val="004846EE"/>
    <w:rsid w:val="00487EE2"/>
    <w:rsid w:val="00490143"/>
    <w:rsid w:val="00491884"/>
    <w:rsid w:val="004A0D1E"/>
    <w:rsid w:val="004A4548"/>
    <w:rsid w:val="004A6E44"/>
    <w:rsid w:val="004B0EF8"/>
    <w:rsid w:val="004B4D1D"/>
    <w:rsid w:val="004B543A"/>
    <w:rsid w:val="004B7262"/>
    <w:rsid w:val="004C47C5"/>
    <w:rsid w:val="004C64C9"/>
    <w:rsid w:val="004D0552"/>
    <w:rsid w:val="004D1FE2"/>
    <w:rsid w:val="004D4197"/>
    <w:rsid w:val="004E32BD"/>
    <w:rsid w:val="004E4B7A"/>
    <w:rsid w:val="004E4CB3"/>
    <w:rsid w:val="004E78D3"/>
    <w:rsid w:val="004F0BB2"/>
    <w:rsid w:val="004F13BE"/>
    <w:rsid w:val="004F17F0"/>
    <w:rsid w:val="004F5157"/>
    <w:rsid w:val="004F6008"/>
    <w:rsid w:val="004F683A"/>
    <w:rsid w:val="00500375"/>
    <w:rsid w:val="00500737"/>
    <w:rsid w:val="00503FF4"/>
    <w:rsid w:val="005056B4"/>
    <w:rsid w:val="005100DF"/>
    <w:rsid w:val="00510754"/>
    <w:rsid w:val="005126DF"/>
    <w:rsid w:val="00512F94"/>
    <w:rsid w:val="00520055"/>
    <w:rsid w:val="00521B37"/>
    <w:rsid w:val="00521DB3"/>
    <w:rsid w:val="0052233C"/>
    <w:rsid w:val="0052320F"/>
    <w:rsid w:val="0052756C"/>
    <w:rsid w:val="005300DA"/>
    <w:rsid w:val="00532448"/>
    <w:rsid w:val="00532A32"/>
    <w:rsid w:val="00532E79"/>
    <w:rsid w:val="00535325"/>
    <w:rsid w:val="005414CD"/>
    <w:rsid w:val="005565A8"/>
    <w:rsid w:val="00562A08"/>
    <w:rsid w:val="005666D8"/>
    <w:rsid w:val="00567149"/>
    <w:rsid w:val="005700D8"/>
    <w:rsid w:val="00571BA2"/>
    <w:rsid w:val="00573734"/>
    <w:rsid w:val="005824FD"/>
    <w:rsid w:val="0058430B"/>
    <w:rsid w:val="00584349"/>
    <w:rsid w:val="005851D1"/>
    <w:rsid w:val="00587724"/>
    <w:rsid w:val="0059035F"/>
    <w:rsid w:val="00590A7B"/>
    <w:rsid w:val="005974D6"/>
    <w:rsid w:val="005A5A58"/>
    <w:rsid w:val="005A63D3"/>
    <w:rsid w:val="005A76D1"/>
    <w:rsid w:val="005B12DA"/>
    <w:rsid w:val="005B52C6"/>
    <w:rsid w:val="005C0259"/>
    <w:rsid w:val="005C28E1"/>
    <w:rsid w:val="005C31A4"/>
    <w:rsid w:val="005C37E3"/>
    <w:rsid w:val="005C7473"/>
    <w:rsid w:val="005D58EB"/>
    <w:rsid w:val="005E21A9"/>
    <w:rsid w:val="005E6C42"/>
    <w:rsid w:val="005F0147"/>
    <w:rsid w:val="005F0312"/>
    <w:rsid w:val="005F093F"/>
    <w:rsid w:val="005F0BE3"/>
    <w:rsid w:val="005F2FD4"/>
    <w:rsid w:val="005F34D7"/>
    <w:rsid w:val="005F47A7"/>
    <w:rsid w:val="00604918"/>
    <w:rsid w:val="0060571A"/>
    <w:rsid w:val="00611EAA"/>
    <w:rsid w:val="006156C3"/>
    <w:rsid w:val="00620CC4"/>
    <w:rsid w:val="006219A3"/>
    <w:rsid w:val="00624B32"/>
    <w:rsid w:val="00631207"/>
    <w:rsid w:val="006312A0"/>
    <w:rsid w:val="006333B9"/>
    <w:rsid w:val="006364B8"/>
    <w:rsid w:val="0064657C"/>
    <w:rsid w:val="00650B39"/>
    <w:rsid w:val="00653FD6"/>
    <w:rsid w:val="00656E16"/>
    <w:rsid w:val="00657649"/>
    <w:rsid w:val="00661490"/>
    <w:rsid w:val="00665451"/>
    <w:rsid w:val="0067324D"/>
    <w:rsid w:val="00673DD8"/>
    <w:rsid w:val="00685294"/>
    <w:rsid w:val="0068631E"/>
    <w:rsid w:val="00686DF6"/>
    <w:rsid w:val="00690EFE"/>
    <w:rsid w:val="006932F0"/>
    <w:rsid w:val="006A0D8B"/>
    <w:rsid w:val="006A4A6F"/>
    <w:rsid w:val="006A7D67"/>
    <w:rsid w:val="006B1490"/>
    <w:rsid w:val="006B493C"/>
    <w:rsid w:val="006B6C00"/>
    <w:rsid w:val="006B76D1"/>
    <w:rsid w:val="006C11A1"/>
    <w:rsid w:val="006C152B"/>
    <w:rsid w:val="006C1E93"/>
    <w:rsid w:val="006C252C"/>
    <w:rsid w:val="006D1A24"/>
    <w:rsid w:val="006E1AC6"/>
    <w:rsid w:val="006E48D1"/>
    <w:rsid w:val="006F20B1"/>
    <w:rsid w:val="006F287B"/>
    <w:rsid w:val="006F34C0"/>
    <w:rsid w:val="006F441D"/>
    <w:rsid w:val="00701136"/>
    <w:rsid w:val="007039DE"/>
    <w:rsid w:val="007046A7"/>
    <w:rsid w:val="0070648D"/>
    <w:rsid w:val="00712B94"/>
    <w:rsid w:val="007145F1"/>
    <w:rsid w:val="00714F4A"/>
    <w:rsid w:val="00724350"/>
    <w:rsid w:val="0072482C"/>
    <w:rsid w:val="0073256D"/>
    <w:rsid w:val="00735091"/>
    <w:rsid w:val="00740868"/>
    <w:rsid w:val="00740DDB"/>
    <w:rsid w:val="0074705B"/>
    <w:rsid w:val="007471A8"/>
    <w:rsid w:val="007476DE"/>
    <w:rsid w:val="00752D5E"/>
    <w:rsid w:val="00755556"/>
    <w:rsid w:val="00762EA8"/>
    <w:rsid w:val="00762EC1"/>
    <w:rsid w:val="00765CEE"/>
    <w:rsid w:val="00771880"/>
    <w:rsid w:val="007757BD"/>
    <w:rsid w:val="00777683"/>
    <w:rsid w:val="00780A43"/>
    <w:rsid w:val="007815C7"/>
    <w:rsid w:val="007853FA"/>
    <w:rsid w:val="00786007"/>
    <w:rsid w:val="0079121F"/>
    <w:rsid w:val="00791BC2"/>
    <w:rsid w:val="007921F4"/>
    <w:rsid w:val="00795FEB"/>
    <w:rsid w:val="007A02E6"/>
    <w:rsid w:val="007A08E6"/>
    <w:rsid w:val="007A0A58"/>
    <w:rsid w:val="007A766C"/>
    <w:rsid w:val="007A7B6F"/>
    <w:rsid w:val="007B4152"/>
    <w:rsid w:val="007B6AE1"/>
    <w:rsid w:val="007B6E8D"/>
    <w:rsid w:val="007C1BFE"/>
    <w:rsid w:val="007C30E1"/>
    <w:rsid w:val="007C44D1"/>
    <w:rsid w:val="007D3149"/>
    <w:rsid w:val="007D551B"/>
    <w:rsid w:val="007D5E4C"/>
    <w:rsid w:val="007D66E2"/>
    <w:rsid w:val="007E2810"/>
    <w:rsid w:val="007E2E62"/>
    <w:rsid w:val="007E34E8"/>
    <w:rsid w:val="007E40A7"/>
    <w:rsid w:val="007E5BD9"/>
    <w:rsid w:val="007E6528"/>
    <w:rsid w:val="007F60A4"/>
    <w:rsid w:val="00807484"/>
    <w:rsid w:val="00811379"/>
    <w:rsid w:val="00811F87"/>
    <w:rsid w:val="00812CDF"/>
    <w:rsid w:val="008133B4"/>
    <w:rsid w:val="00817204"/>
    <w:rsid w:val="008179E5"/>
    <w:rsid w:val="00817F95"/>
    <w:rsid w:val="00820EDC"/>
    <w:rsid w:val="00826568"/>
    <w:rsid w:val="00826F6D"/>
    <w:rsid w:val="0084115C"/>
    <w:rsid w:val="00842BD8"/>
    <w:rsid w:val="00844892"/>
    <w:rsid w:val="00846DA8"/>
    <w:rsid w:val="00851BD8"/>
    <w:rsid w:val="00851E1E"/>
    <w:rsid w:val="00853C60"/>
    <w:rsid w:val="008542DA"/>
    <w:rsid w:val="00854C97"/>
    <w:rsid w:val="00861E22"/>
    <w:rsid w:val="00862156"/>
    <w:rsid w:val="00862B60"/>
    <w:rsid w:val="00862DFD"/>
    <w:rsid w:val="0086397E"/>
    <w:rsid w:val="008669E8"/>
    <w:rsid w:val="008674FD"/>
    <w:rsid w:val="0087055C"/>
    <w:rsid w:val="0087447A"/>
    <w:rsid w:val="0088632C"/>
    <w:rsid w:val="00886410"/>
    <w:rsid w:val="00890407"/>
    <w:rsid w:val="00893F7C"/>
    <w:rsid w:val="008A3696"/>
    <w:rsid w:val="008A4608"/>
    <w:rsid w:val="008A5262"/>
    <w:rsid w:val="008A6C79"/>
    <w:rsid w:val="008B0FCD"/>
    <w:rsid w:val="008B635F"/>
    <w:rsid w:val="008B66EE"/>
    <w:rsid w:val="008C1C0E"/>
    <w:rsid w:val="008C3C52"/>
    <w:rsid w:val="008C3EF0"/>
    <w:rsid w:val="008C5E2B"/>
    <w:rsid w:val="008C71A9"/>
    <w:rsid w:val="008C7B70"/>
    <w:rsid w:val="008D2709"/>
    <w:rsid w:val="008D6089"/>
    <w:rsid w:val="008D7945"/>
    <w:rsid w:val="008F63C5"/>
    <w:rsid w:val="0090005F"/>
    <w:rsid w:val="009009D8"/>
    <w:rsid w:val="0090145E"/>
    <w:rsid w:val="00907960"/>
    <w:rsid w:val="0091147A"/>
    <w:rsid w:val="009122A4"/>
    <w:rsid w:val="009148C2"/>
    <w:rsid w:val="00915DA0"/>
    <w:rsid w:val="00924334"/>
    <w:rsid w:val="009247B3"/>
    <w:rsid w:val="00924FAE"/>
    <w:rsid w:val="0092560B"/>
    <w:rsid w:val="00933481"/>
    <w:rsid w:val="0093389A"/>
    <w:rsid w:val="009457E0"/>
    <w:rsid w:val="009545C7"/>
    <w:rsid w:val="00974EAB"/>
    <w:rsid w:val="00975E76"/>
    <w:rsid w:val="00976B4E"/>
    <w:rsid w:val="00981CA6"/>
    <w:rsid w:val="00981D07"/>
    <w:rsid w:val="0098286D"/>
    <w:rsid w:val="00983EFC"/>
    <w:rsid w:val="009848E6"/>
    <w:rsid w:val="00985F74"/>
    <w:rsid w:val="009914DE"/>
    <w:rsid w:val="009933E8"/>
    <w:rsid w:val="00993C9C"/>
    <w:rsid w:val="00996470"/>
    <w:rsid w:val="00996833"/>
    <w:rsid w:val="009A4E22"/>
    <w:rsid w:val="009B556E"/>
    <w:rsid w:val="009B6135"/>
    <w:rsid w:val="009C11ED"/>
    <w:rsid w:val="009C1AF4"/>
    <w:rsid w:val="009C1D6A"/>
    <w:rsid w:val="009C25B8"/>
    <w:rsid w:val="009C5B78"/>
    <w:rsid w:val="009D48A2"/>
    <w:rsid w:val="009E1FAB"/>
    <w:rsid w:val="009E2FD3"/>
    <w:rsid w:val="009E7B8B"/>
    <w:rsid w:val="009F03D6"/>
    <w:rsid w:val="009F19C6"/>
    <w:rsid w:val="009F4D1A"/>
    <w:rsid w:val="00A0116B"/>
    <w:rsid w:val="00A01318"/>
    <w:rsid w:val="00A0705F"/>
    <w:rsid w:val="00A10541"/>
    <w:rsid w:val="00A10C04"/>
    <w:rsid w:val="00A110BA"/>
    <w:rsid w:val="00A13A48"/>
    <w:rsid w:val="00A150A0"/>
    <w:rsid w:val="00A24B62"/>
    <w:rsid w:val="00A30150"/>
    <w:rsid w:val="00A313E2"/>
    <w:rsid w:val="00A318AB"/>
    <w:rsid w:val="00A327FF"/>
    <w:rsid w:val="00A3315E"/>
    <w:rsid w:val="00A362FA"/>
    <w:rsid w:val="00A40ED0"/>
    <w:rsid w:val="00A44B94"/>
    <w:rsid w:val="00A5050C"/>
    <w:rsid w:val="00A53089"/>
    <w:rsid w:val="00A6259F"/>
    <w:rsid w:val="00A62A3B"/>
    <w:rsid w:val="00A62D05"/>
    <w:rsid w:val="00A63FEF"/>
    <w:rsid w:val="00A64923"/>
    <w:rsid w:val="00A659E9"/>
    <w:rsid w:val="00A677BD"/>
    <w:rsid w:val="00A708CF"/>
    <w:rsid w:val="00A70EA2"/>
    <w:rsid w:val="00A7444B"/>
    <w:rsid w:val="00A74E59"/>
    <w:rsid w:val="00A847D6"/>
    <w:rsid w:val="00A84DD4"/>
    <w:rsid w:val="00A87757"/>
    <w:rsid w:val="00A9257C"/>
    <w:rsid w:val="00A92587"/>
    <w:rsid w:val="00A92792"/>
    <w:rsid w:val="00A93F09"/>
    <w:rsid w:val="00A941F2"/>
    <w:rsid w:val="00A9421F"/>
    <w:rsid w:val="00A94D11"/>
    <w:rsid w:val="00A95AAD"/>
    <w:rsid w:val="00A961B6"/>
    <w:rsid w:val="00AA0BD3"/>
    <w:rsid w:val="00AA222A"/>
    <w:rsid w:val="00AB4D6C"/>
    <w:rsid w:val="00AB5C41"/>
    <w:rsid w:val="00AB66EC"/>
    <w:rsid w:val="00AC4CCE"/>
    <w:rsid w:val="00AC7D3B"/>
    <w:rsid w:val="00AD0E00"/>
    <w:rsid w:val="00AD2E88"/>
    <w:rsid w:val="00AE0CD3"/>
    <w:rsid w:val="00AE254B"/>
    <w:rsid w:val="00AE7317"/>
    <w:rsid w:val="00AF0DC5"/>
    <w:rsid w:val="00AF1773"/>
    <w:rsid w:val="00AF17C7"/>
    <w:rsid w:val="00AF4B82"/>
    <w:rsid w:val="00AF59B9"/>
    <w:rsid w:val="00B03C74"/>
    <w:rsid w:val="00B04BC1"/>
    <w:rsid w:val="00B1194D"/>
    <w:rsid w:val="00B1353F"/>
    <w:rsid w:val="00B147CE"/>
    <w:rsid w:val="00B14F87"/>
    <w:rsid w:val="00B16CFF"/>
    <w:rsid w:val="00B22488"/>
    <w:rsid w:val="00B24982"/>
    <w:rsid w:val="00B255F7"/>
    <w:rsid w:val="00B31273"/>
    <w:rsid w:val="00B33BD8"/>
    <w:rsid w:val="00B34065"/>
    <w:rsid w:val="00B40178"/>
    <w:rsid w:val="00B41AD8"/>
    <w:rsid w:val="00B4343F"/>
    <w:rsid w:val="00B43B4F"/>
    <w:rsid w:val="00B440CD"/>
    <w:rsid w:val="00B47BE4"/>
    <w:rsid w:val="00B50A6B"/>
    <w:rsid w:val="00B535AB"/>
    <w:rsid w:val="00B54370"/>
    <w:rsid w:val="00B54FAF"/>
    <w:rsid w:val="00B62612"/>
    <w:rsid w:val="00B64632"/>
    <w:rsid w:val="00B65A46"/>
    <w:rsid w:val="00B67424"/>
    <w:rsid w:val="00B77130"/>
    <w:rsid w:val="00B823ED"/>
    <w:rsid w:val="00B8492A"/>
    <w:rsid w:val="00B93098"/>
    <w:rsid w:val="00B93130"/>
    <w:rsid w:val="00B94978"/>
    <w:rsid w:val="00B97002"/>
    <w:rsid w:val="00BB1262"/>
    <w:rsid w:val="00BB2141"/>
    <w:rsid w:val="00BB3B2A"/>
    <w:rsid w:val="00BE0044"/>
    <w:rsid w:val="00BE0C89"/>
    <w:rsid w:val="00BE1672"/>
    <w:rsid w:val="00BE1E21"/>
    <w:rsid w:val="00BE3D17"/>
    <w:rsid w:val="00BE413E"/>
    <w:rsid w:val="00BE48EB"/>
    <w:rsid w:val="00BE5A3E"/>
    <w:rsid w:val="00BE5E5F"/>
    <w:rsid w:val="00BE70B9"/>
    <w:rsid w:val="00BE77A8"/>
    <w:rsid w:val="00BF3043"/>
    <w:rsid w:val="00C00222"/>
    <w:rsid w:val="00C0360F"/>
    <w:rsid w:val="00C04BE2"/>
    <w:rsid w:val="00C112F7"/>
    <w:rsid w:val="00C11A7C"/>
    <w:rsid w:val="00C126BA"/>
    <w:rsid w:val="00C14687"/>
    <w:rsid w:val="00C1640E"/>
    <w:rsid w:val="00C202A3"/>
    <w:rsid w:val="00C21416"/>
    <w:rsid w:val="00C21E8E"/>
    <w:rsid w:val="00C23B64"/>
    <w:rsid w:val="00C2586E"/>
    <w:rsid w:val="00C27129"/>
    <w:rsid w:val="00C31043"/>
    <w:rsid w:val="00C3181F"/>
    <w:rsid w:val="00C34700"/>
    <w:rsid w:val="00C354EA"/>
    <w:rsid w:val="00C368AE"/>
    <w:rsid w:val="00C36DFA"/>
    <w:rsid w:val="00C420A2"/>
    <w:rsid w:val="00C43847"/>
    <w:rsid w:val="00C44A5A"/>
    <w:rsid w:val="00C47C61"/>
    <w:rsid w:val="00C555A8"/>
    <w:rsid w:val="00C55913"/>
    <w:rsid w:val="00C55D80"/>
    <w:rsid w:val="00C6103D"/>
    <w:rsid w:val="00C70E7F"/>
    <w:rsid w:val="00C7445D"/>
    <w:rsid w:val="00C81477"/>
    <w:rsid w:val="00C90A98"/>
    <w:rsid w:val="00C93C78"/>
    <w:rsid w:val="00C95BEE"/>
    <w:rsid w:val="00CA0806"/>
    <w:rsid w:val="00CA3B02"/>
    <w:rsid w:val="00CA469F"/>
    <w:rsid w:val="00CA5774"/>
    <w:rsid w:val="00CB0115"/>
    <w:rsid w:val="00CB271D"/>
    <w:rsid w:val="00CB27F8"/>
    <w:rsid w:val="00CB4650"/>
    <w:rsid w:val="00CB475A"/>
    <w:rsid w:val="00CC00A4"/>
    <w:rsid w:val="00CC059D"/>
    <w:rsid w:val="00CD0993"/>
    <w:rsid w:val="00CD3D82"/>
    <w:rsid w:val="00CD7D57"/>
    <w:rsid w:val="00CE32C1"/>
    <w:rsid w:val="00CE34D5"/>
    <w:rsid w:val="00CE44A1"/>
    <w:rsid w:val="00CE6B24"/>
    <w:rsid w:val="00CE7E95"/>
    <w:rsid w:val="00CE7F95"/>
    <w:rsid w:val="00CF498D"/>
    <w:rsid w:val="00CF563D"/>
    <w:rsid w:val="00CF7A6F"/>
    <w:rsid w:val="00D012F3"/>
    <w:rsid w:val="00D04939"/>
    <w:rsid w:val="00D05C0F"/>
    <w:rsid w:val="00D05FBE"/>
    <w:rsid w:val="00D075D0"/>
    <w:rsid w:val="00D134FD"/>
    <w:rsid w:val="00D202FC"/>
    <w:rsid w:val="00D272C4"/>
    <w:rsid w:val="00D35686"/>
    <w:rsid w:val="00D35AF2"/>
    <w:rsid w:val="00D419C1"/>
    <w:rsid w:val="00D42AD8"/>
    <w:rsid w:val="00D439E3"/>
    <w:rsid w:val="00D460E3"/>
    <w:rsid w:val="00D47F36"/>
    <w:rsid w:val="00D47FC2"/>
    <w:rsid w:val="00D5316F"/>
    <w:rsid w:val="00D72742"/>
    <w:rsid w:val="00D72EF4"/>
    <w:rsid w:val="00D76CB6"/>
    <w:rsid w:val="00D779BE"/>
    <w:rsid w:val="00D849BC"/>
    <w:rsid w:val="00D875E2"/>
    <w:rsid w:val="00D9103F"/>
    <w:rsid w:val="00DA1A4A"/>
    <w:rsid w:val="00DA2C9D"/>
    <w:rsid w:val="00DA3A56"/>
    <w:rsid w:val="00DA40B9"/>
    <w:rsid w:val="00DA535D"/>
    <w:rsid w:val="00DB68ED"/>
    <w:rsid w:val="00DC0813"/>
    <w:rsid w:val="00DC4551"/>
    <w:rsid w:val="00DC533E"/>
    <w:rsid w:val="00DC5536"/>
    <w:rsid w:val="00DC7E9E"/>
    <w:rsid w:val="00DD38A0"/>
    <w:rsid w:val="00DD6294"/>
    <w:rsid w:val="00DE0684"/>
    <w:rsid w:val="00DE3EAA"/>
    <w:rsid w:val="00DF0B06"/>
    <w:rsid w:val="00DF276B"/>
    <w:rsid w:val="00DF56F9"/>
    <w:rsid w:val="00DF5D86"/>
    <w:rsid w:val="00DF6FAA"/>
    <w:rsid w:val="00E0021F"/>
    <w:rsid w:val="00E02B86"/>
    <w:rsid w:val="00E05E77"/>
    <w:rsid w:val="00E07C58"/>
    <w:rsid w:val="00E10CFF"/>
    <w:rsid w:val="00E13F66"/>
    <w:rsid w:val="00E1431D"/>
    <w:rsid w:val="00E14387"/>
    <w:rsid w:val="00E1462E"/>
    <w:rsid w:val="00E20929"/>
    <w:rsid w:val="00E21C5F"/>
    <w:rsid w:val="00E22D8E"/>
    <w:rsid w:val="00E244B1"/>
    <w:rsid w:val="00E26024"/>
    <w:rsid w:val="00E26368"/>
    <w:rsid w:val="00E30A57"/>
    <w:rsid w:val="00E31D56"/>
    <w:rsid w:val="00E32471"/>
    <w:rsid w:val="00E3586E"/>
    <w:rsid w:val="00E37E77"/>
    <w:rsid w:val="00E4330E"/>
    <w:rsid w:val="00E43782"/>
    <w:rsid w:val="00E50E21"/>
    <w:rsid w:val="00E51D42"/>
    <w:rsid w:val="00E55460"/>
    <w:rsid w:val="00E556C8"/>
    <w:rsid w:val="00E56842"/>
    <w:rsid w:val="00E6040C"/>
    <w:rsid w:val="00E6424E"/>
    <w:rsid w:val="00E6558A"/>
    <w:rsid w:val="00E65AA2"/>
    <w:rsid w:val="00E70FE6"/>
    <w:rsid w:val="00E742D1"/>
    <w:rsid w:val="00E763D4"/>
    <w:rsid w:val="00E85809"/>
    <w:rsid w:val="00E90C72"/>
    <w:rsid w:val="00E97FAE"/>
    <w:rsid w:val="00EA0B20"/>
    <w:rsid w:val="00EA0FD2"/>
    <w:rsid w:val="00EA2A20"/>
    <w:rsid w:val="00EA7E41"/>
    <w:rsid w:val="00EB054D"/>
    <w:rsid w:val="00EB2D12"/>
    <w:rsid w:val="00EB33C8"/>
    <w:rsid w:val="00EB6E3E"/>
    <w:rsid w:val="00EC07D1"/>
    <w:rsid w:val="00EC4D6F"/>
    <w:rsid w:val="00EC5626"/>
    <w:rsid w:val="00EC708C"/>
    <w:rsid w:val="00EC7E0B"/>
    <w:rsid w:val="00ED21D9"/>
    <w:rsid w:val="00ED368F"/>
    <w:rsid w:val="00ED7C48"/>
    <w:rsid w:val="00EE22D6"/>
    <w:rsid w:val="00EE5B28"/>
    <w:rsid w:val="00EE5C5A"/>
    <w:rsid w:val="00EE7828"/>
    <w:rsid w:val="00EF3B18"/>
    <w:rsid w:val="00EF3EC6"/>
    <w:rsid w:val="00EF59A3"/>
    <w:rsid w:val="00F00FC4"/>
    <w:rsid w:val="00F10E66"/>
    <w:rsid w:val="00F12A47"/>
    <w:rsid w:val="00F27039"/>
    <w:rsid w:val="00F27896"/>
    <w:rsid w:val="00F33A0E"/>
    <w:rsid w:val="00F412BB"/>
    <w:rsid w:val="00F43604"/>
    <w:rsid w:val="00F436A9"/>
    <w:rsid w:val="00F44BFB"/>
    <w:rsid w:val="00F45464"/>
    <w:rsid w:val="00F50DD5"/>
    <w:rsid w:val="00F524A5"/>
    <w:rsid w:val="00F5439D"/>
    <w:rsid w:val="00F54F13"/>
    <w:rsid w:val="00F6003B"/>
    <w:rsid w:val="00F6293F"/>
    <w:rsid w:val="00F63D82"/>
    <w:rsid w:val="00F648F9"/>
    <w:rsid w:val="00F65B7D"/>
    <w:rsid w:val="00F66482"/>
    <w:rsid w:val="00F67C25"/>
    <w:rsid w:val="00F7478B"/>
    <w:rsid w:val="00F75638"/>
    <w:rsid w:val="00F757D6"/>
    <w:rsid w:val="00F86094"/>
    <w:rsid w:val="00F87E9A"/>
    <w:rsid w:val="00F902DF"/>
    <w:rsid w:val="00F92866"/>
    <w:rsid w:val="00F966A6"/>
    <w:rsid w:val="00F9744D"/>
    <w:rsid w:val="00FA221E"/>
    <w:rsid w:val="00FA23ED"/>
    <w:rsid w:val="00FA7360"/>
    <w:rsid w:val="00FB3D3B"/>
    <w:rsid w:val="00FC0B3A"/>
    <w:rsid w:val="00FC507A"/>
    <w:rsid w:val="00FE19E0"/>
    <w:rsid w:val="00FE746D"/>
    <w:rsid w:val="00FF2DB8"/>
    <w:rsid w:val="00FF61F4"/>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AE4BB1A"/>
  <w15:chartTrackingRefBased/>
  <w15:docId w15:val="{1A1F3CA4-842B-4154-A8D9-53910C9E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4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94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9497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9497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9497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9497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9497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9497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9497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497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9497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9497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9497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9497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9497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9497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9497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94978"/>
    <w:rPr>
      <w:rFonts w:eastAsiaTheme="majorEastAsia" w:cstheme="majorBidi"/>
      <w:color w:val="272727" w:themeColor="text1" w:themeTint="D8"/>
    </w:rPr>
  </w:style>
  <w:style w:type="paragraph" w:styleId="Titolo">
    <w:name w:val="Title"/>
    <w:basedOn w:val="Normale"/>
    <w:next w:val="Normale"/>
    <w:link w:val="TitoloCarattere"/>
    <w:uiPriority w:val="10"/>
    <w:qFormat/>
    <w:rsid w:val="00B9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9497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9497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9497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9497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94978"/>
    <w:rPr>
      <w:i/>
      <w:iCs/>
      <w:color w:val="404040" w:themeColor="text1" w:themeTint="BF"/>
    </w:rPr>
  </w:style>
  <w:style w:type="paragraph" w:styleId="Paragrafoelenco">
    <w:name w:val="List Paragraph"/>
    <w:basedOn w:val="Normale"/>
    <w:uiPriority w:val="34"/>
    <w:qFormat/>
    <w:rsid w:val="00B94978"/>
    <w:pPr>
      <w:ind w:left="720"/>
      <w:contextualSpacing/>
    </w:pPr>
  </w:style>
  <w:style w:type="character" w:styleId="Enfasiintensa">
    <w:name w:val="Intense Emphasis"/>
    <w:basedOn w:val="Carpredefinitoparagrafo"/>
    <w:uiPriority w:val="21"/>
    <w:qFormat/>
    <w:rsid w:val="00B94978"/>
    <w:rPr>
      <w:i/>
      <w:iCs/>
      <w:color w:val="0F4761" w:themeColor="accent1" w:themeShade="BF"/>
    </w:rPr>
  </w:style>
  <w:style w:type="paragraph" w:styleId="Citazioneintensa">
    <w:name w:val="Intense Quote"/>
    <w:basedOn w:val="Normale"/>
    <w:next w:val="Normale"/>
    <w:link w:val="CitazioneintensaCarattere"/>
    <w:uiPriority w:val="30"/>
    <w:qFormat/>
    <w:rsid w:val="00B94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94978"/>
    <w:rPr>
      <w:i/>
      <w:iCs/>
      <w:color w:val="0F4761" w:themeColor="accent1" w:themeShade="BF"/>
    </w:rPr>
  </w:style>
  <w:style w:type="character" w:styleId="Riferimentointenso">
    <w:name w:val="Intense Reference"/>
    <w:basedOn w:val="Carpredefinitoparagrafo"/>
    <w:uiPriority w:val="32"/>
    <w:qFormat/>
    <w:rsid w:val="00B94978"/>
    <w:rPr>
      <w:b/>
      <w:bCs/>
      <w:smallCaps/>
      <w:color w:val="0F4761" w:themeColor="accent1" w:themeShade="BF"/>
      <w:spacing w:val="5"/>
    </w:rPr>
  </w:style>
  <w:style w:type="character" w:styleId="Testosegnaposto">
    <w:name w:val="Placeholder Text"/>
    <w:basedOn w:val="Carpredefinitoparagrafo"/>
    <w:uiPriority w:val="99"/>
    <w:semiHidden/>
    <w:rsid w:val="00AE0CD3"/>
    <w:rPr>
      <w:color w:val="666666"/>
    </w:rPr>
  </w:style>
  <w:style w:type="paragraph" w:styleId="Intestazione">
    <w:name w:val="header"/>
    <w:basedOn w:val="Normale"/>
    <w:link w:val="IntestazioneCarattere"/>
    <w:uiPriority w:val="99"/>
    <w:unhideWhenUsed/>
    <w:rsid w:val="00D76C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6CB6"/>
  </w:style>
  <w:style w:type="paragraph" w:styleId="Pidipagina">
    <w:name w:val="footer"/>
    <w:basedOn w:val="Normale"/>
    <w:link w:val="PidipaginaCarattere"/>
    <w:uiPriority w:val="99"/>
    <w:unhideWhenUsed/>
    <w:rsid w:val="00D76C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CB6"/>
  </w:style>
  <w:style w:type="character" w:styleId="Enfasidelicata">
    <w:name w:val="Subtle Emphasis"/>
    <w:basedOn w:val="Carpredefinitoparagrafo"/>
    <w:uiPriority w:val="19"/>
    <w:qFormat/>
    <w:rsid w:val="00D76CB6"/>
    <w:rPr>
      <w:i/>
      <w:iCs/>
      <w:color w:val="404040" w:themeColor="text1" w:themeTint="BF"/>
    </w:rPr>
  </w:style>
  <w:style w:type="character" w:styleId="Collegamentoipertestuale">
    <w:name w:val="Hyperlink"/>
    <w:basedOn w:val="Carpredefinitoparagrafo"/>
    <w:uiPriority w:val="99"/>
    <w:unhideWhenUsed/>
    <w:rsid w:val="00EC07D1"/>
    <w:rPr>
      <w:color w:val="467886" w:themeColor="hyperlink"/>
      <w:u w:val="single"/>
    </w:rPr>
  </w:style>
  <w:style w:type="character" w:styleId="Menzionenonrisolta">
    <w:name w:val="Unresolved Mention"/>
    <w:basedOn w:val="Carpredefinitoparagrafo"/>
    <w:uiPriority w:val="99"/>
    <w:semiHidden/>
    <w:unhideWhenUsed/>
    <w:rsid w:val="00EC07D1"/>
    <w:rPr>
      <w:color w:val="605E5C"/>
      <w:shd w:val="clear" w:color="auto" w:fill="E1DFDD"/>
    </w:rPr>
  </w:style>
  <w:style w:type="paragraph" w:styleId="Nessunaspaziatura">
    <w:name w:val="No Spacing"/>
    <w:link w:val="NessunaspaziaturaCarattere"/>
    <w:uiPriority w:val="1"/>
    <w:qFormat/>
    <w:rsid w:val="00EC07D1"/>
    <w:pPr>
      <w:spacing w:after="0" w:line="240" w:lineRule="auto"/>
    </w:pPr>
  </w:style>
  <w:style w:type="paragraph" w:styleId="Testonotaapidipagina">
    <w:name w:val="footnote text"/>
    <w:basedOn w:val="Normale"/>
    <w:link w:val="TestonotaapidipaginaCarattere"/>
    <w:uiPriority w:val="99"/>
    <w:semiHidden/>
    <w:unhideWhenUsed/>
    <w:rsid w:val="00E244B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244B1"/>
    <w:rPr>
      <w:sz w:val="20"/>
      <w:szCs w:val="20"/>
    </w:rPr>
  </w:style>
  <w:style w:type="character" w:styleId="Rimandonotaapidipagina">
    <w:name w:val="footnote reference"/>
    <w:basedOn w:val="Carpredefinitoparagrafo"/>
    <w:uiPriority w:val="99"/>
    <w:semiHidden/>
    <w:unhideWhenUsed/>
    <w:rsid w:val="00E244B1"/>
    <w:rPr>
      <w:vertAlign w:val="superscript"/>
    </w:rPr>
  </w:style>
  <w:style w:type="paragraph" w:styleId="Testonotadichiusura">
    <w:name w:val="endnote text"/>
    <w:basedOn w:val="Normale"/>
    <w:link w:val="TestonotadichiusuraCarattere"/>
    <w:uiPriority w:val="99"/>
    <w:semiHidden/>
    <w:unhideWhenUsed/>
    <w:rsid w:val="00E02B86"/>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E02B86"/>
    <w:rPr>
      <w:sz w:val="20"/>
      <w:szCs w:val="20"/>
    </w:rPr>
  </w:style>
  <w:style w:type="character" w:styleId="Rimandonotadichiusura">
    <w:name w:val="endnote reference"/>
    <w:basedOn w:val="Carpredefinitoparagrafo"/>
    <w:uiPriority w:val="99"/>
    <w:semiHidden/>
    <w:unhideWhenUsed/>
    <w:rsid w:val="00E02B86"/>
    <w:rPr>
      <w:vertAlign w:val="superscript"/>
    </w:rPr>
  </w:style>
  <w:style w:type="character" w:styleId="Collegamentovisitato">
    <w:name w:val="FollowedHyperlink"/>
    <w:basedOn w:val="Carpredefinitoparagrafo"/>
    <w:uiPriority w:val="99"/>
    <w:semiHidden/>
    <w:unhideWhenUsed/>
    <w:rsid w:val="000E419A"/>
    <w:rPr>
      <w:color w:val="96607D" w:themeColor="followedHyperlink"/>
      <w:u w:val="single"/>
    </w:rPr>
  </w:style>
  <w:style w:type="paragraph" w:styleId="Titolosommario">
    <w:name w:val="TOC Heading"/>
    <w:basedOn w:val="Titolo1"/>
    <w:next w:val="Normale"/>
    <w:uiPriority w:val="39"/>
    <w:unhideWhenUsed/>
    <w:qFormat/>
    <w:rsid w:val="00567149"/>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567149"/>
    <w:pPr>
      <w:spacing w:after="100"/>
      <w:ind w:left="240"/>
    </w:pPr>
  </w:style>
  <w:style w:type="paragraph" w:styleId="Sommario1">
    <w:name w:val="toc 1"/>
    <w:basedOn w:val="Normale"/>
    <w:next w:val="Normale"/>
    <w:autoRedefine/>
    <w:uiPriority w:val="39"/>
    <w:unhideWhenUsed/>
    <w:rsid w:val="00567149"/>
    <w:pPr>
      <w:spacing w:after="100"/>
    </w:pPr>
  </w:style>
  <w:style w:type="paragraph" w:styleId="Sommario3">
    <w:name w:val="toc 3"/>
    <w:basedOn w:val="Normale"/>
    <w:next w:val="Normale"/>
    <w:autoRedefine/>
    <w:uiPriority w:val="39"/>
    <w:unhideWhenUsed/>
    <w:rsid w:val="00567149"/>
    <w:pPr>
      <w:spacing w:after="100"/>
      <w:ind w:left="480"/>
    </w:pPr>
  </w:style>
  <w:style w:type="character" w:customStyle="1" w:styleId="NessunaspaziaturaCarattere">
    <w:name w:val="Nessuna spaziatura Carattere"/>
    <w:basedOn w:val="Carpredefinitoparagrafo"/>
    <w:link w:val="Nessunaspaziatura"/>
    <w:uiPriority w:val="1"/>
    <w:rsid w:val="0010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3324">
      <w:bodyDiv w:val="1"/>
      <w:marLeft w:val="0"/>
      <w:marRight w:val="0"/>
      <w:marTop w:val="0"/>
      <w:marBottom w:val="0"/>
      <w:divBdr>
        <w:top w:val="none" w:sz="0" w:space="0" w:color="auto"/>
        <w:left w:val="none" w:sz="0" w:space="0" w:color="auto"/>
        <w:bottom w:val="none" w:sz="0" w:space="0" w:color="auto"/>
        <w:right w:val="none" w:sz="0" w:space="0" w:color="auto"/>
      </w:divBdr>
      <w:divsChild>
        <w:div w:id="473134432">
          <w:marLeft w:val="0"/>
          <w:marRight w:val="0"/>
          <w:marTop w:val="60"/>
          <w:marBottom w:val="60"/>
          <w:divBdr>
            <w:top w:val="none" w:sz="0" w:space="0" w:color="auto"/>
            <w:left w:val="none" w:sz="0" w:space="0" w:color="auto"/>
            <w:bottom w:val="none" w:sz="0" w:space="0" w:color="auto"/>
            <w:right w:val="none" w:sz="0" w:space="0" w:color="auto"/>
          </w:divBdr>
        </w:div>
        <w:div w:id="1422024024">
          <w:marLeft w:val="0"/>
          <w:marRight w:val="0"/>
          <w:marTop w:val="60"/>
          <w:marBottom w:val="60"/>
          <w:divBdr>
            <w:top w:val="none" w:sz="0" w:space="0" w:color="auto"/>
            <w:left w:val="none" w:sz="0" w:space="0" w:color="auto"/>
            <w:bottom w:val="none" w:sz="0" w:space="0" w:color="auto"/>
            <w:right w:val="none" w:sz="0" w:space="0" w:color="auto"/>
          </w:divBdr>
        </w:div>
      </w:divsChild>
    </w:div>
    <w:div w:id="49112039">
      <w:bodyDiv w:val="1"/>
      <w:marLeft w:val="0"/>
      <w:marRight w:val="0"/>
      <w:marTop w:val="0"/>
      <w:marBottom w:val="0"/>
      <w:divBdr>
        <w:top w:val="none" w:sz="0" w:space="0" w:color="auto"/>
        <w:left w:val="none" w:sz="0" w:space="0" w:color="auto"/>
        <w:bottom w:val="none" w:sz="0" w:space="0" w:color="auto"/>
        <w:right w:val="none" w:sz="0" w:space="0" w:color="auto"/>
      </w:divBdr>
      <w:divsChild>
        <w:div w:id="1154831920">
          <w:marLeft w:val="0"/>
          <w:marRight w:val="0"/>
          <w:marTop w:val="0"/>
          <w:marBottom w:val="0"/>
          <w:divBdr>
            <w:top w:val="none" w:sz="0" w:space="0" w:color="auto"/>
            <w:left w:val="none" w:sz="0" w:space="0" w:color="auto"/>
            <w:bottom w:val="none" w:sz="0" w:space="0" w:color="auto"/>
            <w:right w:val="none" w:sz="0" w:space="0" w:color="auto"/>
          </w:divBdr>
          <w:divsChild>
            <w:div w:id="513887686">
              <w:marLeft w:val="0"/>
              <w:marRight w:val="0"/>
              <w:marTop w:val="0"/>
              <w:marBottom w:val="0"/>
              <w:divBdr>
                <w:top w:val="none" w:sz="0" w:space="0" w:color="auto"/>
                <w:left w:val="none" w:sz="0" w:space="0" w:color="auto"/>
                <w:bottom w:val="none" w:sz="0" w:space="0" w:color="auto"/>
                <w:right w:val="none" w:sz="0" w:space="0" w:color="auto"/>
              </w:divBdr>
              <w:divsChild>
                <w:div w:id="1112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368">
      <w:bodyDiv w:val="1"/>
      <w:marLeft w:val="0"/>
      <w:marRight w:val="0"/>
      <w:marTop w:val="0"/>
      <w:marBottom w:val="0"/>
      <w:divBdr>
        <w:top w:val="none" w:sz="0" w:space="0" w:color="auto"/>
        <w:left w:val="none" w:sz="0" w:space="0" w:color="auto"/>
        <w:bottom w:val="none" w:sz="0" w:space="0" w:color="auto"/>
        <w:right w:val="none" w:sz="0" w:space="0" w:color="auto"/>
      </w:divBdr>
      <w:divsChild>
        <w:div w:id="419520851">
          <w:marLeft w:val="0"/>
          <w:marRight w:val="0"/>
          <w:marTop w:val="0"/>
          <w:marBottom w:val="0"/>
          <w:divBdr>
            <w:top w:val="none" w:sz="0" w:space="0" w:color="auto"/>
            <w:left w:val="none" w:sz="0" w:space="0" w:color="auto"/>
            <w:bottom w:val="none" w:sz="0" w:space="0" w:color="auto"/>
            <w:right w:val="none" w:sz="0" w:space="0" w:color="auto"/>
          </w:divBdr>
          <w:divsChild>
            <w:div w:id="1983077089">
              <w:marLeft w:val="0"/>
              <w:marRight w:val="0"/>
              <w:marTop w:val="0"/>
              <w:marBottom w:val="0"/>
              <w:divBdr>
                <w:top w:val="none" w:sz="0" w:space="0" w:color="auto"/>
                <w:left w:val="none" w:sz="0" w:space="0" w:color="auto"/>
                <w:bottom w:val="none" w:sz="0" w:space="0" w:color="auto"/>
                <w:right w:val="none" w:sz="0" w:space="0" w:color="auto"/>
              </w:divBdr>
              <w:divsChild>
                <w:div w:id="1324046549">
                  <w:marLeft w:val="0"/>
                  <w:marRight w:val="0"/>
                  <w:marTop w:val="0"/>
                  <w:marBottom w:val="450"/>
                  <w:divBdr>
                    <w:top w:val="none" w:sz="0" w:space="0" w:color="auto"/>
                    <w:left w:val="none" w:sz="0" w:space="0" w:color="auto"/>
                    <w:bottom w:val="none" w:sz="0" w:space="0" w:color="auto"/>
                    <w:right w:val="none" w:sz="0" w:space="0" w:color="auto"/>
                  </w:divBdr>
                  <w:divsChild>
                    <w:div w:id="1520315190">
                      <w:marLeft w:val="0"/>
                      <w:marRight w:val="0"/>
                      <w:marTop w:val="0"/>
                      <w:marBottom w:val="0"/>
                      <w:divBdr>
                        <w:top w:val="none" w:sz="0" w:space="0" w:color="auto"/>
                        <w:left w:val="none" w:sz="0" w:space="0" w:color="auto"/>
                        <w:bottom w:val="none" w:sz="0" w:space="0" w:color="auto"/>
                        <w:right w:val="none" w:sz="0" w:space="0" w:color="auto"/>
                      </w:divBdr>
                      <w:divsChild>
                        <w:div w:id="225339395">
                          <w:marLeft w:val="0"/>
                          <w:marRight w:val="0"/>
                          <w:marTop w:val="0"/>
                          <w:marBottom w:val="0"/>
                          <w:divBdr>
                            <w:top w:val="none" w:sz="0" w:space="0" w:color="auto"/>
                            <w:left w:val="none" w:sz="0" w:space="0" w:color="auto"/>
                            <w:bottom w:val="none" w:sz="0" w:space="0" w:color="auto"/>
                            <w:right w:val="none" w:sz="0" w:space="0" w:color="auto"/>
                          </w:divBdr>
                          <w:divsChild>
                            <w:div w:id="1040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81710">
      <w:bodyDiv w:val="1"/>
      <w:marLeft w:val="0"/>
      <w:marRight w:val="0"/>
      <w:marTop w:val="0"/>
      <w:marBottom w:val="0"/>
      <w:divBdr>
        <w:top w:val="none" w:sz="0" w:space="0" w:color="auto"/>
        <w:left w:val="none" w:sz="0" w:space="0" w:color="auto"/>
        <w:bottom w:val="none" w:sz="0" w:space="0" w:color="auto"/>
        <w:right w:val="none" w:sz="0" w:space="0" w:color="auto"/>
      </w:divBdr>
    </w:div>
    <w:div w:id="285894385">
      <w:bodyDiv w:val="1"/>
      <w:marLeft w:val="0"/>
      <w:marRight w:val="0"/>
      <w:marTop w:val="0"/>
      <w:marBottom w:val="0"/>
      <w:divBdr>
        <w:top w:val="none" w:sz="0" w:space="0" w:color="auto"/>
        <w:left w:val="none" w:sz="0" w:space="0" w:color="auto"/>
        <w:bottom w:val="none" w:sz="0" w:space="0" w:color="auto"/>
        <w:right w:val="none" w:sz="0" w:space="0" w:color="auto"/>
      </w:divBdr>
      <w:divsChild>
        <w:div w:id="1692416785">
          <w:marLeft w:val="0"/>
          <w:marRight w:val="0"/>
          <w:marTop w:val="0"/>
          <w:marBottom w:val="0"/>
          <w:divBdr>
            <w:top w:val="none" w:sz="0" w:space="0" w:color="auto"/>
            <w:left w:val="none" w:sz="0" w:space="0" w:color="auto"/>
            <w:bottom w:val="none" w:sz="0" w:space="0" w:color="auto"/>
            <w:right w:val="none" w:sz="0" w:space="0" w:color="auto"/>
          </w:divBdr>
          <w:divsChild>
            <w:div w:id="1995451661">
              <w:marLeft w:val="0"/>
              <w:marRight w:val="0"/>
              <w:marTop w:val="0"/>
              <w:marBottom w:val="0"/>
              <w:divBdr>
                <w:top w:val="none" w:sz="0" w:space="0" w:color="auto"/>
                <w:left w:val="none" w:sz="0" w:space="0" w:color="auto"/>
                <w:bottom w:val="none" w:sz="0" w:space="0" w:color="auto"/>
                <w:right w:val="none" w:sz="0" w:space="0" w:color="auto"/>
              </w:divBdr>
              <w:divsChild>
                <w:div w:id="1187596112">
                  <w:marLeft w:val="0"/>
                  <w:marRight w:val="0"/>
                  <w:marTop w:val="0"/>
                  <w:marBottom w:val="450"/>
                  <w:divBdr>
                    <w:top w:val="none" w:sz="0" w:space="0" w:color="auto"/>
                    <w:left w:val="none" w:sz="0" w:space="0" w:color="auto"/>
                    <w:bottom w:val="none" w:sz="0" w:space="0" w:color="auto"/>
                    <w:right w:val="none" w:sz="0" w:space="0" w:color="auto"/>
                  </w:divBdr>
                  <w:divsChild>
                    <w:div w:id="284581486">
                      <w:marLeft w:val="0"/>
                      <w:marRight w:val="0"/>
                      <w:marTop w:val="0"/>
                      <w:marBottom w:val="0"/>
                      <w:divBdr>
                        <w:top w:val="none" w:sz="0" w:space="0" w:color="auto"/>
                        <w:left w:val="none" w:sz="0" w:space="0" w:color="auto"/>
                        <w:bottom w:val="none" w:sz="0" w:space="0" w:color="auto"/>
                        <w:right w:val="none" w:sz="0" w:space="0" w:color="auto"/>
                      </w:divBdr>
                      <w:divsChild>
                        <w:div w:id="2023893325">
                          <w:marLeft w:val="0"/>
                          <w:marRight w:val="0"/>
                          <w:marTop w:val="0"/>
                          <w:marBottom w:val="0"/>
                          <w:divBdr>
                            <w:top w:val="none" w:sz="0" w:space="0" w:color="auto"/>
                            <w:left w:val="none" w:sz="0" w:space="0" w:color="auto"/>
                            <w:bottom w:val="none" w:sz="0" w:space="0" w:color="auto"/>
                            <w:right w:val="none" w:sz="0" w:space="0" w:color="auto"/>
                          </w:divBdr>
                          <w:divsChild>
                            <w:div w:id="17109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968550">
      <w:bodyDiv w:val="1"/>
      <w:marLeft w:val="0"/>
      <w:marRight w:val="0"/>
      <w:marTop w:val="0"/>
      <w:marBottom w:val="0"/>
      <w:divBdr>
        <w:top w:val="none" w:sz="0" w:space="0" w:color="auto"/>
        <w:left w:val="none" w:sz="0" w:space="0" w:color="auto"/>
        <w:bottom w:val="none" w:sz="0" w:space="0" w:color="auto"/>
        <w:right w:val="none" w:sz="0" w:space="0" w:color="auto"/>
      </w:divBdr>
    </w:div>
    <w:div w:id="511146229">
      <w:bodyDiv w:val="1"/>
      <w:marLeft w:val="0"/>
      <w:marRight w:val="0"/>
      <w:marTop w:val="0"/>
      <w:marBottom w:val="0"/>
      <w:divBdr>
        <w:top w:val="none" w:sz="0" w:space="0" w:color="auto"/>
        <w:left w:val="none" w:sz="0" w:space="0" w:color="auto"/>
        <w:bottom w:val="none" w:sz="0" w:space="0" w:color="auto"/>
        <w:right w:val="none" w:sz="0" w:space="0" w:color="auto"/>
      </w:divBdr>
      <w:divsChild>
        <w:div w:id="98304951">
          <w:marLeft w:val="0"/>
          <w:marRight w:val="0"/>
          <w:marTop w:val="0"/>
          <w:marBottom w:val="0"/>
          <w:divBdr>
            <w:top w:val="none" w:sz="0" w:space="0" w:color="auto"/>
            <w:left w:val="none" w:sz="0" w:space="0" w:color="auto"/>
            <w:bottom w:val="none" w:sz="0" w:space="0" w:color="auto"/>
            <w:right w:val="none" w:sz="0" w:space="0" w:color="auto"/>
          </w:divBdr>
          <w:divsChild>
            <w:div w:id="301935195">
              <w:marLeft w:val="0"/>
              <w:marRight w:val="0"/>
              <w:marTop w:val="0"/>
              <w:marBottom w:val="0"/>
              <w:divBdr>
                <w:top w:val="none" w:sz="0" w:space="0" w:color="auto"/>
                <w:left w:val="none" w:sz="0" w:space="0" w:color="auto"/>
                <w:bottom w:val="none" w:sz="0" w:space="0" w:color="auto"/>
                <w:right w:val="none" w:sz="0" w:space="0" w:color="auto"/>
              </w:divBdr>
              <w:divsChild>
                <w:div w:id="474683431">
                  <w:marLeft w:val="0"/>
                  <w:marRight w:val="0"/>
                  <w:marTop w:val="0"/>
                  <w:marBottom w:val="450"/>
                  <w:divBdr>
                    <w:top w:val="none" w:sz="0" w:space="0" w:color="auto"/>
                    <w:left w:val="none" w:sz="0" w:space="0" w:color="auto"/>
                    <w:bottom w:val="none" w:sz="0" w:space="0" w:color="auto"/>
                    <w:right w:val="none" w:sz="0" w:space="0" w:color="auto"/>
                  </w:divBdr>
                  <w:divsChild>
                    <w:div w:id="1990936001">
                      <w:marLeft w:val="0"/>
                      <w:marRight w:val="0"/>
                      <w:marTop w:val="0"/>
                      <w:marBottom w:val="0"/>
                      <w:divBdr>
                        <w:top w:val="none" w:sz="0" w:space="0" w:color="auto"/>
                        <w:left w:val="none" w:sz="0" w:space="0" w:color="auto"/>
                        <w:bottom w:val="none" w:sz="0" w:space="0" w:color="auto"/>
                        <w:right w:val="none" w:sz="0" w:space="0" w:color="auto"/>
                      </w:divBdr>
                      <w:divsChild>
                        <w:div w:id="2073575094">
                          <w:marLeft w:val="0"/>
                          <w:marRight w:val="0"/>
                          <w:marTop w:val="0"/>
                          <w:marBottom w:val="0"/>
                          <w:divBdr>
                            <w:top w:val="none" w:sz="0" w:space="0" w:color="auto"/>
                            <w:left w:val="none" w:sz="0" w:space="0" w:color="auto"/>
                            <w:bottom w:val="none" w:sz="0" w:space="0" w:color="auto"/>
                            <w:right w:val="none" w:sz="0" w:space="0" w:color="auto"/>
                          </w:divBdr>
                          <w:divsChild>
                            <w:div w:id="4882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807882">
      <w:bodyDiv w:val="1"/>
      <w:marLeft w:val="0"/>
      <w:marRight w:val="0"/>
      <w:marTop w:val="0"/>
      <w:marBottom w:val="0"/>
      <w:divBdr>
        <w:top w:val="none" w:sz="0" w:space="0" w:color="auto"/>
        <w:left w:val="none" w:sz="0" w:space="0" w:color="auto"/>
        <w:bottom w:val="none" w:sz="0" w:space="0" w:color="auto"/>
        <w:right w:val="none" w:sz="0" w:space="0" w:color="auto"/>
      </w:divBdr>
      <w:divsChild>
        <w:div w:id="531262768">
          <w:marLeft w:val="0"/>
          <w:marRight w:val="0"/>
          <w:marTop w:val="0"/>
          <w:marBottom w:val="0"/>
          <w:divBdr>
            <w:top w:val="none" w:sz="0" w:space="0" w:color="auto"/>
            <w:left w:val="none" w:sz="0" w:space="0" w:color="auto"/>
            <w:bottom w:val="none" w:sz="0" w:space="0" w:color="auto"/>
            <w:right w:val="none" w:sz="0" w:space="0" w:color="auto"/>
          </w:divBdr>
          <w:divsChild>
            <w:div w:id="1165583461">
              <w:marLeft w:val="0"/>
              <w:marRight w:val="0"/>
              <w:marTop w:val="0"/>
              <w:marBottom w:val="0"/>
              <w:divBdr>
                <w:top w:val="none" w:sz="0" w:space="0" w:color="auto"/>
                <w:left w:val="none" w:sz="0" w:space="0" w:color="auto"/>
                <w:bottom w:val="none" w:sz="0" w:space="0" w:color="auto"/>
                <w:right w:val="none" w:sz="0" w:space="0" w:color="auto"/>
              </w:divBdr>
              <w:divsChild>
                <w:div w:id="111216445">
                  <w:marLeft w:val="0"/>
                  <w:marRight w:val="0"/>
                  <w:marTop w:val="0"/>
                  <w:marBottom w:val="450"/>
                  <w:divBdr>
                    <w:top w:val="none" w:sz="0" w:space="0" w:color="auto"/>
                    <w:left w:val="none" w:sz="0" w:space="0" w:color="auto"/>
                    <w:bottom w:val="none" w:sz="0" w:space="0" w:color="auto"/>
                    <w:right w:val="none" w:sz="0" w:space="0" w:color="auto"/>
                  </w:divBdr>
                  <w:divsChild>
                    <w:div w:id="1730181439">
                      <w:marLeft w:val="0"/>
                      <w:marRight w:val="0"/>
                      <w:marTop w:val="0"/>
                      <w:marBottom w:val="0"/>
                      <w:divBdr>
                        <w:top w:val="none" w:sz="0" w:space="0" w:color="auto"/>
                        <w:left w:val="none" w:sz="0" w:space="0" w:color="auto"/>
                        <w:bottom w:val="none" w:sz="0" w:space="0" w:color="auto"/>
                        <w:right w:val="none" w:sz="0" w:space="0" w:color="auto"/>
                      </w:divBdr>
                      <w:divsChild>
                        <w:div w:id="760105361">
                          <w:marLeft w:val="0"/>
                          <w:marRight w:val="0"/>
                          <w:marTop w:val="0"/>
                          <w:marBottom w:val="0"/>
                          <w:divBdr>
                            <w:top w:val="none" w:sz="0" w:space="0" w:color="auto"/>
                            <w:left w:val="none" w:sz="0" w:space="0" w:color="auto"/>
                            <w:bottom w:val="none" w:sz="0" w:space="0" w:color="auto"/>
                            <w:right w:val="none" w:sz="0" w:space="0" w:color="auto"/>
                          </w:divBdr>
                          <w:divsChild>
                            <w:div w:id="11067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02607">
      <w:bodyDiv w:val="1"/>
      <w:marLeft w:val="0"/>
      <w:marRight w:val="0"/>
      <w:marTop w:val="0"/>
      <w:marBottom w:val="0"/>
      <w:divBdr>
        <w:top w:val="none" w:sz="0" w:space="0" w:color="auto"/>
        <w:left w:val="none" w:sz="0" w:space="0" w:color="auto"/>
        <w:bottom w:val="none" w:sz="0" w:space="0" w:color="auto"/>
        <w:right w:val="none" w:sz="0" w:space="0" w:color="auto"/>
      </w:divBdr>
    </w:div>
    <w:div w:id="743987080">
      <w:bodyDiv w:val="1"/>
      <w:marLeft w:val="0"/>
      <w:marRight w:val="0"/>
      <w:marTop w:val="0"/>
      <w:marBottom w:val="0"/>
      <w:divBdr>
        <w:top w:val="none" w:sz="0" w:space="0" w:color="auto"/>
        <w:left w:val="none" w:sz="0" w:space="0" w:color="auto"/>
        <w:bottom w:val="none" w:sz="0" w:space="0" w:color="auto"/>
        <w:right w:val="none" w:sz="0" w:space="0" w:color="auto"/>
      </w:divBdr>
    </w:div>
    <w:div w:id="784349922">
      <w:bodyDiv w:val="1"/>
      <w:marLeft w:val="0"/>
      <w:marRight w:val="0"/>
      <w:marTop w:val="0"/>
      <w:marBottom w:val="0"/>
      <w:divBdr>
        <w:top w:val="none" w:sz="0" w:space="0" w:color="auto"/>
        <w:left w:val="none" w:sz="0" w:space="0" w:color="auto"/>
        <w:bottom w:val="none" w:sz="0" w:space="0" w:color="auto"/>
        <w:right w:val="none" w:sz="0" w:space="0" w:color="auto"/>
      </w:divBdr>
    </w:div>
    <w:div w:id="797186819">
      <w:bodyDiv w:val="1"/>
      <w:marLeft w:val="0"/>
      <w:marRight w:val="0"/>
      <w:marTop w:val="0"/>
      <w:marBottom w:val="0"/>
      <w:divBdr>
        <w:top w:val="none" w:sz="0" w:space="0" w:color="auto"/>
        <w:left w:val="none" w:sz="0" w:space="0" w:color="auto"/>
        <w:bottom w:val="none" w:sz="0" w:space="0" w:color="auto"/>
        <w:right w:val="none" w:sz="0" w:space="0" w:color="auto"/>
      </w:divBdr>
    </w:div>
    <w:div w:id="1189828967">
      <w:bodyDiv w:val="1"/>
      <w:marLeft w:val="0"/>
      <w:marRight w:val="0"/>
      <w:marTop w:val="0"/>
      <w:marBottom w:val="0"/>
      <w:divBdr>
        <w:top w:val="none" w:sz="0" w:space="0" w:color="auto"/>
        <w:left w:val="none" w:sz="0" w:space="0" w:color="auto"/>
        <w:bottom w:val="none" w:sz="0" w:space="0" w:color="auto"/>
        <w:right w:val="none" w:sz="0" w:space="0" w:color="auto"/>
      </w:divBdr>
    </w:div>
    <w:div w:id="1238443396">
      <w:bodyDiv w:val="1"/>
      <w:marLeft w:val="0"/>
      <w:marRight w:val="0"/>
      <w:marTop w:val="0"/>
      <w:marBottom w:val="0"/>
      <w:divBdr>
        <w:top w:val="none" w:sz="0" w:space="0" w:color="auto"/>
        <w:left w:val="none" w:sz="0" w:space="0" w:color="auto"/>
        <w:bottom w:val="none" w:sz="0" w:space="0" w:color="auto"/>
        <w:right w:val="none" w:sz="0" w:space="0" w:color="auto"/>
      </w:divBdr>
    </w:div>
    <w:div w:id="1425107291">
      <w:bodyDiv w:val="1"/>
      <w:marLeft w:val="0"/>
      <w:marRight w:val="0"/>
      <w:marTop w:val="0"/>
      <w:marBottom w:val="0"/>
      <w:divBdr>
        <w:top w:val="none" w:sz="0" w:space="0" w:color="auto"/>
        <w:left w:val="none" w:sz="0" w:space="0" w:color="auto"/>
        <w:bottom w:val="none" w:sz="0" w:space="0" w:color="auto"/>
        <w:right w:val="none" w:sz="0" w:space="0" w:color="auto"/>
      </w:divBdr>
      <w:divsChild>
        <w:div w:id="1058479705">
          <w:marLeft w:val="0"/>
          <w:marRight w:val="0"/>
          <w:marTop w:val="60"/>
          <w:marBottom w:val="60"/>
          <w:divBdr>
            <w:top w:val="none" w:sz="0" w:space="0" w:color="auto"/>
            <w:left w:val="none" w:sz="0" w:space="0" w:color="auto"/>
            <w:bottom w:val="none" w:sz="0" w:space="0" w:color="auto"/>
            <w:right w:val="none" w:sz="0" w:space="0" w:color="auto"/>
          </w:divBdr>
        </w:div>
        <w:div w:id="1685474157">
          <w:marLeft w:val="0"/>
          <w:marRight w:val="0"/>
          <w:marTop w:val="60"/>
          <w:marBottom w:val="60"/>
          <w:divBdr>
            <w:top w:val="none" w:sz="0" w:space="0" w:color="auto"/>
            <w:left w:val="none" w:sz="0" w:space="0" w:color="auto"/>
            <w:bottom w:val="none" w:sz="0" w:space="0" w:color="auto"/>
            <w:right w:val="none" w:sz="0" w:space="0" w:color="auto"/>
          </w:divBdr>
        </w:div>
      </w:divsChild>
    </w:div>
    <w:div w:id="1446193941">
      <w:bodyDiv w:val="1"/>
      <w:marLeft w:val="0"/>
      <w:marRight w:val="0"/>
      <w:marTop w:val="0"/>
      <w:marBottom w:val="0"/>
      <w:divBdr>
        <w:top w:val="none" w:sz="0" w:space="0" w:color="auto"/>
        <w:left w:val="none" w:sz="0" w:space="0" w:color="auto"/>
        <w:bottom w:val="none" w:sz="0" w:space="0" w:color="auto"/>
        <w:right w:val="none" w:sz="0" w:space="0" w:color="auto"/>
      </w:divBdr>
    </w:div>
    <w:div w:id="1635521161">
      <w:bodyDiv w:val="1"/>
      <w:marLeft w:val="0"/>
      <w:marRight w:val="0"/>
      <w:marTop w:val="0"/>
      <w:marBottom w:val="0"/>
      <w:divBdr>
        <w:top w:val="none" w:sz="0" w:space="0" w:color="auto"/>
        <w:left w:val="none" w:sz="0" w:space="0" w:color="auto"/>
        <w:bottom w:val="none" w:sz="0" w:space="0" w:color="auto"/>
        <w:right w:val="none" w:sz="0" w:space="0" w:color="auto"/>
      </w:divBdr>
    </w:div>
    <w:div w:id="1714689721">
      <w:bodyDiv w:val="1"/>
      <w:marLeft w:val="0"/>
      <w:marRight w:val="0"/>
      <w:marTop w:val="0"/>
      <w:marBottom w:val="0"/>
      <w:divBdr>
        <w:top w:val="none" w:sz="0" w:space="0" w:color="auto"/>
        <w:left w:val="none" w:sz="0" w:space="0" w:color="auto"/>
        <w:bottom w:val="none" w:sz="0" w:space="0" w:color="auto"/>
        <w:right w:val="none" w:sz="0" w:space="0" w:color="auto"/>
      </w:divBdr>
    </w:div>
    <w:div w:id="2018313558">
      <w:bodyDiv w:val="1"/>
      <w:marLeft w:val="0"/>
      <w:marRight w:val="0"/>
      <w:marTop w:val="0"/>
      <w:marBottom w:val="0"/>
      <w:divBdr>
        <w:top w:val="none" w:sz="0" w:space="0" w:color="auto"/>
        <w:left w:val="none" w:sz="0" w:space="0" w:color="auto"/>
        <w:bottom w:val="none" w:sz="0" w:space="0" w:color="auto"/>
        <w:right w:val="none" w:sz="0" w:space="0" w:color="auto"/>
      </w:divBdr>
      <w:divsChild>
        <w:div w:id="1469595028">
          <w:marLeft w:val="0"/>
          <w:marRight w:val="0"/>
          <w:marTop w:val="0"/>
          <w:marBottom w:val="0"/>
          <w:divBdr>
            <w:top w:val="none" w:sz="0" w:space="0" w:color="auto"/>
            <w:left w:val="none" w:sz="0" w:space="0" w:color="auto"/>
            <w:bottom w:val="none" w:sz="0" w:space="0" w:color="auto"/>
            <w:right w:val="none" w:sz="0" w:space="0" w:color="auto"/>
          </w:divBdr>
          <w:divsChild>
            <w:div w:id="600915751">
              <w:marLeft w:val="0"/>
              <w:marRight w:val="0"/>
              <w:marTop w:val="0"/>
              <w:marBottom w:val="0"/>
              <w:divBdr>
                <w:top w:val="none" w:sz="0" w:space="0" w:color="auto"/>
                <w:left w:val="none" w:sz="0" w:space="0" w:color="auto"/>
                <w:bottom w:val="none" w:sz="0" w:space="0" w:color="auto"/>
                <w:right w:val="none" w:sz="0" w:space="0" w:color="auto"/>
              </w:divBdr>
              <w:divsChild>
                <w:div w:id="499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package" Target="embeddings/Microsoft_Excel_Worksheet2.xlsx"/><Relationship Id="rId3" Type="http://schemas.openxmlformats.org/officeDocument/2006/relationships/customXml" Target="../customXml/item3.xml"/><Relationship Id="rId21" Type="http://schemas.openxmlformats.org/officeDocument/2006/relationships/hyperlink" Target="https://www.bankpedia.org/termine.php?lingua=it&amp;c_id=23708"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tioncharts.io/options/AAPL/option-profit-loss-chart/strategy/long-call?legs=AAPL250214C00245000,buy,1,2.85" TargetMode="External"/><Relationship Id="rId25" Type="http://schemas.openxmlformats.org/officeDocument/2006/relationships/image" Target="media/image6.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hyperlink" Target="https://datatrading.info/analisi-delle-serie-temporali-cointegrate-per-il-trading-mean-revertin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atatrading.info/test-di-dickey-fuller-aumentato-e-cointegrato-per-la-valutazione-del-pairs-trading/" TargetMode="External"/><Relationship Id="rId28" Type="http://schemas.openxmlformats.org/officeDocument/2006/relationships/hyperlink" Target="https://www.youtube.com/watch?v=7cFQVnNyt5o" TargetMode="External"/><Relationship Id="rId10" Type="http://schemas.openxmlformats.org/officeDocument/2006/relationships/endnotes" Target="endnotes.xml"/><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hyperlink" Target="https://tesi.luiss.it/8654/1/orsini-tesi-2012.pdf" TargetMode="Externa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OPZIONE 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Foglio1!$B$1</c:f>
              <c:strCache>
                <c:ptCount val="1"/>
                <c:pt idx="0">
                  <c:v>VI CALL</c:v>
                </c:pt>
              </c:strCache>
            </c:strRef>
          </c:tx>
          <c:spPr>
            <a:ln w="34925" cap="rnd">
              <a:solidFill>
                <a:schemeClr val="tx2">
                  <a:lumMod val="75000"/>
                  <a:lumOff val="25000"/>
                </a:schemeClr>
              </a:solidFill>
              <a:round/>
            </a:ln>
            <a:effectLst/>
          </c:spPr>
          <c:marker>
            <c:symbol val="circle"/>
            <c:size val="5"/>
            <c:spPr>
              <a:solidFill>
                <a:schemeClr val="accent1"/>
              </a:solidFill>
              <a:ln w="9525">
                <a:solidFill>
                  <a:schemeClr val="accent1"/>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Foglio1!$B$2:$B$13</c:f>
              <c:numCache>
                <c:formatCode>General</c:formatCode>
                <c:ptCount val="12"/>
                <c:pt idx="0">
                  <c:v>-1</c:v>
                </c:pt>
                <c:pt idx="1">
                  <c:v>-1</c:v>
                </c:pt>
                <c:pt idx="2">
                  <c:v>-1</c:v>
                </c:pt>
                <c:pt idx="3">
                  <c:v>-1</c:v>
                </c:pt>
                <c:pt idx="4">
                  <c:v>-1</c:v>
                </c:pt>
                <c:pt idx="5">
                  <c:v>0</c:v>
                </c:pt>
                <c:pt idx="6">
                  <c:v>1</c:v>
                </c:pt>
                <c:pt idx="7">
                  <c:v>2</c:v>
                </c:pt>
                <c:pt idx="8">
                  <c:v>3</c:v>
                </c:pt>
                <c:pt idx="9">
                  <c:v>4</c:v>
                </c:pt>
                <c:pt idx="10">
                  <c:v>5</c:v>
                </c:pt>
              </c:numCache>
            </c:numRef>
          </c:yVal>
          <c:smooth val="1"/>
          <c:extLst>
            <c:ext xmlns:c16="http://schemas.microsoft.com/office/drawing/2014/chart" uri="{C3380CC4-5D6E-409C-BE32-E72D297353CC}">
              <c16:uniqueId val="{00000000-9765-4121-90F2-4AE83DCB4A04}"/>
            </c:ext>
          </c:extLst>
        </c:ser>
        <c:ser>
          <c:idx val="1"/>
          <c:order val="1"/>
          <c:tx>
            <c:strRef>
              <c:f>Foglio1!$C$1</c:f>
              <c:strCache>
                <c:ptCount val="1"/>
                <c:pt idx="0">
                  <c:v>STRIKE PRICE</c:v>
                </c:pt>
              </c:strCache>
            </c:strRef>
          </c:tx>
          <c:spPr>
            <a:ln w="69850" cap="rnd">
              <a:solidFill>
                <a:schemeClr val="accent3">
                  <a:lumMod val="75000"/>
                </a:schemeClr>
              </a:solidFill>
              <a:round/>
            </a:ln>
            <a:effectLst/>
          </c:spPr>
          <c:marker>
            <c:symbol val="circle"/>
            <c:size val="5"/>
            <c:spPr>
              <a:solidFill>
                <a:schemeClr val="accent2"/>
              </a:solidFill>
              <a:ln w="92075">
                <a:solidFill>
                  <a:schemeClr val="accent2"/>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Foglio1!$C$2:$C$13</c:f>
              <c:numCache>
                <c:formatCode>General</c:formatCode>
                <c:ptCount val="12"/>
                <c:pt idx="3">
                  <c:v>0</c:v>
                </c:pt>
              </c:numCache>
            </c:numRef>
          </c:yVal>
          <c:smooth val="1"/>
          <c:extLst>
            <c:ext xmlns:c16="http://schemas.microsoft.com/office/drawing/2014/chart" uri="{C3380CC4-5D6E-409C-BE32-E72D297353CC}">
              <c16:uniqueId val="{00000001-9765-4121-90F2-4AE83DCB4A04}"/>
            </c:ext>
          </c:extLst>
        </c:ser>
        <c:ser>
          <c:idx val="2"/>
          <c:order val="2"/>
          <c:tx>
            <c:strRef>
              <c:f>Foglio1!$D$1</c:f>
              <c:strCache>
                <c:ptCount val="1"/>
                <c:pt idx="0">
                  <c:v>BREKEVEN</c:v>
                </c:pt>
              </c:strCache>
            </c:strRef>
          </c:tx>
          <c:spPr>
            <a:ln w="76200" cap="rnd">
              <a:noFill/>
              <a:round/>
            </a:ln>
            <a:effectLst/>
          </c:spPr>
          <c:marker>
            <c:symbol val="circle"/>
            <c:size val="5"/>
            <c:spPr>
              <a:solidFill>
                <a:srgbClr val="FFC000"/>
              </a:solidFill>
              <a:ln w="95250">
                <a:solidFill>
                  <a:schemeClr val="accent3">
                    <a:lumMod val="60000"/>
                    <a:lumOff val="40000"/>
                  </a:schemeClr>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Foglio1!$D$2:$D$13</c:f>
              <c:numCache>
                <c:formatCode>General</c:formatCode>
                <c:ptCount val="12"/>
                <c:pt idx="5">
                  <c:v>0</c:v>
                </c:pt>
              </c:numCache>
            </c:numRef>
          </c:yVal>
          <c:smooth val="1"/>
          <c:extLst>
            <c:ext xmlns:c16="http://schemas.microsoft.com/office/drawing/2014/chart" uri="{C3380CC4-5D6E-409C-BE32-E72D297353CC}">
              <c16:uniqueId val="{00000002-9765-4121-90F2-4AE83DCB4A04}"/>
            </c:ext>
          </c:extLst>
        </c:ser>
        <c:dLbls>
          <c:showLegendKey val="0"/>
          <c:showVal val="0"/>
          <c:showCatName val="0"/>
          <c:showSerName val="0"/>
          <c:showPercent val="0"/>
          <c:showBubbleSize val="0"/>
        </c:dLbls>
        <c:axId val="1086191903"/>
        <c:axId val="1086192383"/>
      </c:scatterChart>
      <c:valAx>
        <c:axId val="1086191903"/>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VALORE</a:t>
                </a:r>
                <a:r>
                  <a:rPr lang="it-IT" baseline="0"/>
                  <a:t> SOTTOSTANTE</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6192383"/>
        <c:crosses val="autoZero"/>
        <c:crossBetween val="midCat"/>
      </c:valAx>
      <c:valAx>
        <c:axId val="108619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PAYOFF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61919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OPZIONE PUT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Foglio1!$B$1</c:f>
              <c:strCache>
                <c:ptCount val="1"/>
                <c:pt idx="0">
                  <c:v>VI CALL</c:v>
                </c:pt>
              </c:strCache>
            </c:strRef>
          </c:tx>
          <c:spPr>
            <a:ln w="34925" cap="rnd">
              <a:solidFill>
                <a:schemeClr val="tx2">
                  <a:lumMod val="75000"/>
                  <a:lumOff val="25000"/>
                </a:schemeClr>
              </a:solidFill>
              <a:round/>
            </a:ln>
            <a:effectLst/>
          </c:spPr>
          <c:marker>
            <c:symbol val="circle"/>
            <c:size val="5"/>
            <c:spPr>
              <a:solidFill>
                <a:schemeClr val="accent1"/>
              </a:solidFill>
              <a:ln w="9525">
                <a:solidFill>
                  <a:schemeClr val="accent1"/>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Foglio1!$B$2:$B$13</c:f>
              <c:numCache>
                <c:formatCode>General</c:formatCode>
                <c:ptCount val="12"/>
                <c:pt idx="0">
                  <c:v>6</c:v>
                </c:pt>
                <c:pt idx="1">
                  <c:v>5</c:v>
                </c:pt>
                <c:pt idx="2">
                  <c:v>4</c:v>
                </c:pt>
                <c:pt idx="3">
                  <c:v>3</c:v>
                </c:pt>
                <c:pt idx="4">
                  <c:v>2</c:v>
                </c:pt>
                <c:pt idx="5">
                  <c:v>1</c:v>
                </c:pt>
                <c:pt idx="6">
                  <c:v>0</c:v>
                </c:pt>
                <c:pt idx="7">
                  <c:v>-1</c:v>
                </c:pt>
                <c:pt idx="8">
                  <c:v>-1</c:v>
                </c:pt>
                <c:pt idx="9">
                  <c:v>-1</c:v>
                </c:pt>
                <c:pt idx="10">
                  <c:v>-1</c:v>
                </c:pt>
              </c:numCache>
            </c:numRef>
          </c:yVal>
          <c:smooth val="1"/>
          <c:extLst>
            <c:ext xmlns:c16="http://schemas.microsoft.com/office/drawing/2014/chart" uri="{C3380CC4-5D6E-409C-BE32-E72D297353CC}">
              <c16:uniqueId val="{00000000-AA93-4CC4-B842-59C6A8DC49BD}"/>
            </c:ext>
          </c:extLst>
        </c:ser>
        <c:ser>
          <c:idx val="1"/>
          <c:order val="1"/>
          <c:tx>
            <c:strRef>
              <c:f>Foglio1!$C$1</c:f>
              <c:strCache>
                <c:ptCount val="1"/>
                <c:pt idx="0">
                  <c:v>STRIKE PRICE</c:v>
                </c:pt>
              </c:strCache>
            </c:strRef>
          </c:tx>
          <c:spPr>
            <a:ln w="69850" cap="rnd">
              <a:solidFill>
                <a:schemeClr val="accent3">
                  <a:lumMod val="75000"/>
                </a:schemeClr>
              </a:solidFill>
              <a:round/>
            </a:ln>
            <a:effectLst/>
          </c:spPr>
          <c:marker>
            <c:symbol val="circle"/>
            <c:size val="5"/>
            <c:spPr>
              <a:solidFill>
                <a:schemeClr val="accent2"/>
              </a:solidFill>
              <a:ln w="92075">
                <a:solidFill>
                  <a:schemeClr val="accent2"/>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Foglio1!$C$2:$C$13</c:f>
              <c:numCache>
                <c:formatCode>General</c:formatCode>
                <c:ptCount val="12"/>
                <c:pt idx="7">
                  <c:v>0</c:v>
                </c:pt>
              </c:numCache>
            </c:numRef>
          </c:yVal>
          <c:smooth val="1"/>
          <c:extLst>
            <c:ext xmlns:c16="http://schemas.microsoft.com/office/drawing/2014/chart" uri="{C3380CC4-5D6E-409C-BE32-E72D297353CC}">
              <c16:uniqueId val="{00000001-AA93-4CC4-B842-59C6A8DC49BD}"/>
            </c:ext>
          </c:extLst>
        </c:ser>
        <c:ser>
          <c:idx val="2"/>
          <c:order val="2"/>
          <c:tx>
            <c:strRef>
              <c:f>Foglio1!$D$1</c:f>
              <c:strCache>
                <c:ptCount val="1"/>
                <c:pt idx="0">
                  <c:v>BREKEVEN</c:v>
                </c:pt>
              </c:strCache>
            </c:strRef>
          </c:tx>
          <c:spPr>
            <a:ln w="76200" cap="rnd">
              <a:noFill/>
              <a:round/>
            </a:ln>
            <a:effectLst/>
          </c:spPr>
          <c:marker>
            <c:symbol val="circle"/>
            <c:size val="5"/>
            <c:spPr>
              <a:solidFill>
                <a:srgbClr val="FFC000"/>
              </a:solidFill>
              <a:ln w="95250">
                <a:solidFill>
                  <a:schemeClr val="accent3">
                    <a:lumMod val="60000"/>
                    <a:lumOff val="40000"/>
                  </a:schemeClr>
                </a:solidFill>
              </a:ln>
              <a:effectLst/>
            </c:spPr>
          </c:marker>
          <c:xVal>
            <c:numRef>
              <c:f>Foglio1!$A$2:$A$13</c:f>
              <c:numCache>
                <c:formatCode>General</c:formatCode>
                <c:ptCount val="12"/>
                <c:pt idx="0">
                  <c:v>5</c:v>
                </c:pt>
                <c:pt idx="1">
                  <c:v>6</c:v>
                </c:pt>
                <c:pt idx="2">
                  <c:v>7</c:v>
                </c:pt>
                <c:pt idx="3">
                  <c:v>8</c:v>
                </c:pt>
                <c:pt idx="4">
                  <c:v>9</c:v>
                </c:pt>
                <c:pt idx="5">
                  <c:v>10</c:v>
                </c:pt>
                <c:pt idx="6">
                  <c:v>11</c:v>
                </c:pt>
                <c:pt idx="7">
                  <c:v>12</c:v>
                </c:pt>
                <c:pt idx="8">
                  <c:v>13</c:v>
                </c:pt>
                <c:pt idx="9">
                  <c:v>14</c:v>
                </c:pt>
                <c:pt idx="10">
                  <c:v>15</c:v>
                </c:pt>
              </c:numCache>
            </c:numRef>
          </c:xVal>
          <c:yVal>
            <c:numRef>
              <c:f>Foglio1!$D$2:$D$13</c:f>
              <c:numCache>
                <c:formatCode>General</c:formatCode>
                <c:ptCount val="12"/>
                <c:pt idx="6">
                  <c:v>0</c:v>
                </c:pt>
              </c:numCache>
            </c:numRef>
          </c:yVal>
          <c:smooth val="1"/>
          <c:extLst>
            <c:ext xmlns:c16="http://schemas.microsoft.com/office/drawing/2014/chart" uri="{C3380CC4-5D6E-409C-BE32-E72D297353CC}">
              <c16:uniqueId val="{00000002-AA93-4CC4-B842-59C6A8DC49BD}"/>
            </c:ext>
          </c:extLst>
        </c:ser>
        <c:dLbls>
          <c:showLegendKey val="0"/>
          <c:showVal val="0"/>
          <c:showCatName val="0"/>
          <c:showSerName val="0"/>
          <c:showPercent val="0"/>
          <c:showBubbleSize val="0"/>
        </c:dLbls>
        <c:axId val="1086191903"/>
        <c:axId val="1086192383"/>
      </c:scatterChart>
      <c:valAx>
        <c:axId val="1086191903"/>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VALORE</a:t>
                </a:r>
                <a:r>
                  <a:rPr lang="it-IT" baseline="0"/>
                  <a:t> SOTTOSTANTE</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6192383"/>
        <c:crosses val="autoZero"/>
        <c:crossBetween val="midCat"/>
      </c:valAx>
      <c:valAx>
        <c:axId val="1086192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PAYOFF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61919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9818783E46D473DB06B0FC6E9D50269"/>
        <w:category>
          <w:name w:val="Generale"/>
          <w:gallery w:val="placeholder"/>
        </w:category>
        <w:types>
          <w:type w:val="bbPlcHdr"/>
        </w:types>
        <w:behaviors>
          <w:behavior w:val="content"/>
        </w:behaviors>
        <w:guid w:val="{2ED73EE3-13D7-42CE-A1EF-BFFBAB681293}"/>
      </w:docPartPr>
      <w:docPartBody>
        <w:p w:rsidR="00EA22F3" w:rsidRDefault="00C52AEB" w:rsidP="00C52AEB">
          <w:pPr>
            <w:pStyle w:val="39818783E46D473DB06B0FC6E9D50269"/>
          </w:pPr>
          <w:r>
            <w:rPr>
              <w:rFonts w:asciiTheme="majorHAnsi" w:eastAsiaTheme="majorEastAsia" w:hAnsiTheme="majorHAnsi" w:cstheme="majorBidi"/>
              <w:caps/>
              <w:color w:val="4472C4" w:themeColor="accent1"/>
              <w:sz w:val="80"/>
              <w:szCs w:val="80"/>
            </w:rPr>
            <w:t>[Titolo del documento]</w:t>
          </w:r>
        </w:p>
      </w:docPartBody>
    </w:docPart>
    <w:docPart>
      <w:docPartPr>
        <w:name w:val="792224E22A744606B9E4178D27404A07"/>
        <w:category>
          <w:name w:val="Generale"/>
          <w:gallery w:val="placeholder"/>
        </w:category>
        <w:types>
          <w:type w:val="bbPlcHdr"/>
        </w:types>
        <w:behaviors>
          <w:behavior w:val="content"/>
        </w:behaviors>
        <w:guid w:val="{21485920-5B6C-49CA-8144-FD616325D468}"/>
      </w:docPartPr>
      <w:docPartBody>
        <w:p w:rsidR="00EA22F3" w:rsidRDefault="00C52AEB" w:rsidP="00C52AEB">
          <w:pPr>
            <w:pStyle w:val="792224E22A744606B9E4178D27404A07"/>
          </w:pPr>
          <w:r>
            <w:rPr>
              <w:color w:val="4472C4"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EB"/>
    <w:rsid w:val="000178DB"/>
    <w:rsid w:val="00BE1E21"/>
    <w:rsid w:val="00C52AEB"/>
    <w:rsid w:val="00EA22F3"/>
    <w:rsid w:val="00EB2D1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9818783E46D473DB06B0FC6E9D50269">
    <w:name w:val="39818783E46D473DB06B0FC6E9D50269"/>
    <w:rsid w:val="00C52AEB"/>
  </w:style>
  <w:style w:type="paragraph" w:customStyle="1" w:styleId="792224E22A744606B9E4178D27404A07">
    <w:name w:val="792224E22A744606B9E4178D27404A07"/>
    <w:rsid w:val="00C52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3T18:47:14.24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13T18:47:13.538"/>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3857DC39F3FA44BBFAE0CEC1BFC476" ma:contentTypeVersion="0" ma:contentTypeDescription="Creare un nuovo documento." ma:contentTypeScope="" ma:versionID="1cf5122bfbf8061d62d9a83713144d4e">
  <xsd:schema xmlns:xsd="http://www.w3.org/2001/XMLSchema" xmlns:xs="http://www.w3.org/2001/XMLSchema" xmlns:p="http://schemas.microsoft.com/office/2006/metadata/properties" targetNamespace="http://schemas.microsoft.com/office/2006/metadata/properties" ma:root="true" ma:fieldsID="9ffffc5dcf38f19034127fbd87e535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91908-1081-4173-B435-91E5B3D60B7F}">
  <ds:schemaRefs>
    <ds:schemaRef ds:uri="http://schemas.microsoft.com/sharepoint/v3/contenttype/forms"/>
  </ds:schemaRefs>
</ds:datastoreItem>
</file>

<file path=customXml/itemProps2.xml><?xml version="1.0" encoding="utf-8"?>
<ds:datastoreItem xmlns:ds="http://schemas.openxmlformats.org/officeDocument/2006/customXml" ds:itemID="{8A20730A-2014-485D-A6F5-E935851A3625}">
  <ds:schemaRefs>
    <ds:schemaRef ds:uri="http://purl.org/dc/dcmitype/"/>
    <ds:schemaRef ds:uri="http://purl.org/dc/term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4F1F825-B6B0-476C-9B54-CA1FF3A2E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E20931-F8DB-424C-98DA-F2E384FD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6400</Words>
  <Characters>36484</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DELLE OPZIONI</dc:title>
  <dc:subject>relatore</dc:subject>
  <dc:creator>Gabriele Gatto</dc:creator>
  <cp:keywords/>
  <dc:description/>
  <cp:lastModifiedBy>Gabriele Gatto</cp:lastModifiedBy>
  <cp:revision>2</cp:revision>
  <dcterms:created xsi:type="dcterms:W3CDTF">2025-01-16T00:00:00Z</dcterms:created>
  <dcterms:modified xsi:type="dcterms:W3CDTF">2025-01-16T00:00:00Z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0x010100883857DC39F3FA44BBFAE0CEC1BFC476</vt:lpwstr>
  </property>
</Properties>
</file>