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AAD6" w14:textId="77777777" w:rsidR="008A52F8" w:rsidRPr="00FA7ECC" w:rsidRDefault="008A52F8" w:rsidP="00334CB3">
      <w:pPr>
        <w:pStyle w:val="Heading1"/>
      </w:pPr>
      <w:r w:rsidRPr="008B21F5">
        <w:t>Classificazione delle caratteristiche glomerulari</w:t>
      </w:r>
    </w:p>
    <w:p w14:paraId="33BB2125" w14:textId="14D00D0F" w:rsidR="00586C58" w:rsidRPr="00F747BD" w:rsidRDefault="00F747BD" w:rsidP="00F747BD">
      <w:pPr>
        <w:jc w:val="both"/>
      </w:pPr>
      <w:r w:rsidRPr="00F747BD">
        <w:t xml:space="preserve">Il progetto riguarda la classificazione di caratteristiche glomerulari </w:t>
      </w:r>
      <w:r w:rsidR="00D33931">
        <w:t>partendo</w:t>
      </w:r>
      <w:r w:rsidRPr="00F747BD">
        <w:t xml:space="preserve"> da immagini di biopsie renali, le Whole Slide Images. L’obiettivo è quello di riconoscere alcune proprietà legate a localizzazione, aspetto e distribuzione</w:t>
      </w:r>
      <w:r w:rsidR="0092273F">
        <w:t xml:space="preserve">. </w:t>
      </w:r>
      <w:r w:rsidRPr="00F747BD">
        <w:t xml:space="preserve">Per farlo, è stato sviluppato un sistema </w:t>
      </w:r>
      <w:r w:rsidR="0092273F">
        <w:t>di</w:t>
      </w:r>
      <w:r w:rsidRPr="00F747BD">
        <w:t xml:space="preserve"> deep learning che combina due fasi: la localizzazione dei glomeruli tramite </w:t>
      </w:r>
      <w:r w:rsidR="00A62F96">
        <w:t>un modello</w:t>
      </w:r>
      <w:r w:rsidR="00C54CCA">
        <w:t xml:space="preserve"> di detection (YOLO)</w:t>
      </w:r>
      <w:r w:rsidRPr="00F747BD">
        <w:t xml:space="preserve"> e la classificazione delle loro </w:t>
      </w:r>
      <w:r w:rsidR="0092273F">
        <w:t xml:space="preserve">proprietà </w:t>
      </w:r>
      <w:r w:rsidR="00D33931">
        <w:t xml:space="preserve">con </w:t>
      </w:r>
      <w:r w:rsidRPr="00F747BD">
        <w:t xml:space="preserve">una </w:t>
      </w:r>
      <w:r w:rsidR="0030388C">
        <w:t>rete neu</w:t>
      </w:r>
      <w:r w:rsidR="001E4EBE">
        <w:t>r</w:t>
      </w:r>
      <w:r w:rsidR="0030388C">
        <w:t>ale convoluzionale</w:t>
      </w:r>
      <w:r w:rsidR="00716227">
        <w:t>,</w:t>
      </w:r>
      <w:r w:rsidRPr="00F747BD">
        <w:t xml:space="preserve"> ResNet.</w:t>
      </w:r>
    </w:p>
    <w:p w14:paraId="3533CF61" w14:textId="4A4AC312" w:rsidR="00F747BD" w:rsidRPr="00F747BD" w:rsidRDefault="00F747BD" w:rsidP="00F747BD">
      <w:pPr>
        <w:jc w:val="both"/>
      </w:pPr>
      <w:r w:rsidRPr="00F747BD">
        <w:t>Il processo inizia con l’individuazione automatica dei glomeruli sulle immagini globali</w:t>
      </w:r>
      <w:r w:rsidR="00716227">
        <w:t xml:space="preserve"> usando</w:t>
      </w:r>
      <w:r w:rsidR="00C54CCA">
        <w:t xml:space="preserve"> YOLO</w:t>
      </w:r>
      <w:r w:rsidRPr="00F747BD">
        <w:t xml:space="preserve">. Da questa fase si ottiene un dataset di </w:t>
      </w:r>
      <w:r>
        <w:t>1421</w:t>
      </w:r>
      <w:r w:rsidRPr="00F747BD">
        <w:t xml:space="preserve"> immagini di glomeruli. Successivamente, a</w:t>
      </w:r>
      <w:r>
        <w:t xml:space="preserve">i glomeruli vengono associate </w:t>
      </w:r>
      <w:r w:rsidRPr="00F747BD">
        <w:t>le etichette</w:t>
      </w:r>
      <w:r>
        <w:t xml:space="preserve"> fornite dai medici</w:t>
      </w:r>
      <w:r w:rsidRPr="00F747BD">
        <w:t xml:space="preserve">, </w:t>
      </w:r>
      <w:r>
        <w:t>ereditate</w:t>
      </w:r>
      <w:r w:rsidRPr="00F747BD">
        <w:t xml:space="preserve"> però dall’intera WSI</w:t>
      </w:r>
      <w:r>
        <w:t>.</w:t>
      </w:r>
    </w:p>
    <w:p w14:paraId="78D6CA39" w14:textId="544F7B5B" w:rsidR="00F747BD" w:rsidRDefault="00BA22B2" w:rsidP="00F747BD">
      <w:pPr>
        <w:jc w:val="both"/>
      </w:pPr>
      <w:r>
        <w:t>La metodologia consiste nell’allenare un classificatore binario per ciascuna classe</w:t>
      </w:r>
      <w:r w:rsidR="00F32335">
        <w:t xml:space="preserve"> (‘</w:t>
      </w:r>
      <w:r w:rsidR="00F32335" w:rsidRPr="00F32335">
        <w:t>Coarse</w:t>
      </w:r>
      <w:r w:rsidR="00F32335">
        <w:t>’, ‘</w:t>
      </w:r>
      <w:r w:rsidR="00F32335" w:rsidRPr="00F32335">
        <w:t>Fine</w:t>
      </w:r>
      <w:r w:rsidR="00F32335">
        <w:t>’, ‘</w:t>
      </w:r>
      <w:r w:rsidR="00F32335" w:rsidRPr="00F32335">
        <w:t>Segmental</w:t>
      </w:r>
      <w:r w:rsidR="00F32335">
        <w:t>’, ‘</w:t>
      </w:r>
      <w:r w:rsidR="00F32335" w:rsidRPr="00F32335">
        <w:t>Global</w:t>
      </w:r>
      <w:r w:rsidR="00F32335">
        <w:t>’, ‘</w:t>
      </w:r>
      <w:r w:rsidR="00F32335" w:rsidRPr="00F32335">
        <w:t>Irregular</w:t>
      </w:r>
      <w:r w:rsidR="00F32335">
        <w:t>’, ‘</w:t>
      </w:r>
      <w:r w:rsidR="00F32335" w:rsidRPr="00F32335">
        <w:t>Continuous</w:t>
      </w:r>
      <w:r w:rsidR="00F32335">
        <w:t>’, ‘</w:t>
      </w:r>
      <w:r w:rsidR="00F32335" w:rsidRPr="00F32335">
        <w:t>Mesangial</w:t>
      </w:r>
      <w:r w:rsidR="00F32335">
        <w:t>’)</w:t>
      </w:r>
      <w:r>
        <w:t xml:space="preserve">, e un classificatore multi-classe per predire la </w:t>
      </w:r>
      <w:r w:rsidR="00D9402B">
        <w:t xml:space="preserve">feature </w:t>
      </w:r>
      <w:r w:rsidR="00F32335">
        <w:t>‘</w:t>
      </w:r>
      <w:r>
        <w:t>Intensit</w:t>
      </w:r>
      <w:r w:rsidR="00F32335">
        <w:t>y’</w:t>
      </w:r>
      <w:r>
        <w:t xml:space="preserve">. </w:t>
      </w:r>
      <w:r w:rsidR="00F747BD" w:rsidRPr="00F747BD">
        <w:t xml:space="preserve"> </w:t>
      </w:r>
      <w:r>
        <w:t xml:space="preserve">Per ciascun classificatore sono state </w:t>
      </w:r>
      <w:r w:rsidR="00F747BD" w:rsidRPr="00F747BD">
        <w:t>esplora</w:t>
      </w:r>
      <w:r>
        <w:t>te</w:t>
      </w:r>
      <w:r w:rsidR="00F747BD" w:rsidRPr="00F747BD">
        <w:t xml:space="preserve"> diverse configurazioni di training, tra cui bilanciamento</w:t>
      </w:r>
      <w:r w:rsidR="00716227">
        <w:t xml:space="preserve"> della loss function</w:t>
      </w:r>
      <w:r w:rsidR="00F747BD" w:rsidRPr="00F747BD">
        <w:t xml:space="preserve">, scelta degli ottimizzatori, tuning del learning rate e </w:t>
      </w:r>
      <w:r w:rsidR="00F747BD">
        <w:t>fine tuning del modello su vecchi dati</w:t>
      </w:r>
      <w:r w:rsidR="00F747BD" w:rsidRPr="00F747BD">
        <w:t>.</w:t>
      </w:r>
      <w:r>
        <w:t xml:space="preserve"> Una volta individuati i parametri di training migliori, è stata eseguita una cross validation su 4 folds </w:t>
      </w:r>
      <w:r w:rsidR="00483C94">
        <w:t xml:space="preserve">distinti. </w:t>
      </w:r>
    </w:p>
    <w:p w14:paraId="10E1EBF4" w14:textId="22E4F230" w:rsidR="00483C94" w:rsidRPr="00F747BD" w:rsidRDefault="00483C94" w:rsidP="00F747BD">
      <w:pPr>
        <w:jc w:val="both"/>
      </w:pPr>
      <w:r>
        <w:t>Ottenuti i risultati sui glomeruli</w:t>
      </w:r>
      <w:r w:rsidRPr="00F747BD">
        <w:t xml:space="preserve">, </w:t>
      </w:r>
      <w:r w:rsidR="00591C09">
        <w:t xml:space="preserve">tramite </w:t>
      </w:r>
      <w:r w:rsidRPr="00F747BD">
        <w:t>una strategia di aggregazione</w:t>
      </w:r>
      <w:r w:rsidR="00E81146">
        <w:t xml:space="preserve"> </w:t>
      </w:r>
      <w:r w:rsidRPr="00F747BD">
        <w:t xml:space="preserve">le predizioni </w:t>
      </w:r>
      <w:r w:rsidR="00591C09">
        <w:t xml:space="preserve">sono trasferite </w:t>
      </w:r>
      <w:r w:rsidRPr="00F747BD">
        <w:t>dai</w:t>
      </w:r>
      <w:r w:rsidR="00591C09">
        <w:t xml:space="preserve"> </w:t>
      </w:r>
      <w:r w:rsidRPr="00F747BD">
        <w:t xml:space="preserve">glomeruli all’intera </w:t>
      </w:r>
      <w:r w:rsidR="00591C09">
        <w:t xml:space="preserve">WSI </w:t>
      </w:r>
      <w:r w:rsidR="0092273F">
        <w:t>di provenienza</w:t>
      </w:r>
      <w:r w:rsidRPr="00F747BD">
        <w:t xml:space="preserve">. </w:t>
      </w:r>
      <w:r>
        <w:t>In particolare, u</w:t>
      </w:r>
      <w:r w:rsidRPr="00F747BD">
        <w:t>na</w:t>
      </w:r>
      <w:r>
        <w:t xml:space="preserve"> WSI è considerata Global </w:t>
      </w:r>
      <w:r w:rsidRPr="00F747BD">
        <w:t xml:space="preserve">se più del 70% dei glomeruli positivi </w:t>
      </w:r>
      <w:r w:rsidR="00953C51">
        <w:t>(</w:t>
      </w:r>
      <w:r w:rsidRPr="00F747BD">
        <w:t xml:space="preserve">intensità ≥1) presenta tale </w:t>
      </w:r>
      <w:r w:rsidR="00953C51">
        <w:t>feature</w:t>
      </w:r>
      <w:r w:rsidR="00C54CCA">
        <w:t>, in alternativa,</w:t>
      </w:r>
      <w:r>
        <w:t xml:space="preserve"> </w:t>
      </w:r>
      <w:r w:rsidR="00953C51">
        <w:t>è Segmental</w:t>
      </w:r>
      <w:r>
        <w:t xml:space="preserve"> </w:t>
      </w:r>
      <w:r w:rsidRPr="00F747BD">
        <w:t xml:space="preserve">se più del </w:t>
      </w:r>
      <w:r>
        <w:t>3</w:t>
      </w:r>
      <w:r w:rsidRPr="00F747BD">
        <w:t xml:space="preserve">0% dei glomeruli positivi presenta </w:t>
      </w:r>
      <w:r>
        <w:t xml:space="preserve">caratteristica Segmental. Per tutte le altre classi è stata </w:t>
      </w:r>
      <w:r w:rsidR="00953C51">
        <w:t xml:space="preserve">usata </w:t>
      </w:r>
      <w:r w:rsidR="001E4EBE">
        <w:t>una</w:t>
      </w:r>
      <w:r>
        <w:t xml:space="preserve"> semplice regola di maggioranza, se più del 50% dei glomeruli estratti da una WSI </w:t>
      </w:r>
      <w:r w:rsidR="00953C51">
        <w:t xml:space="preserve">ha </w:t>
      </w:r>
      <w:r>
        <w:t>un</w:t>
      </w:r>
      <w:r w:rsidR="009E1C4A">
        <w:t>a</w:t>
      </w:r>
      <w:r>
        <w:t xml:space="preserve"> data</w:t>
      </w:r>
      <w:r w:rsidR="00591C09">
        <w:t xml:space="preserve"> proprietà</w:t>
      </w:r>
      <w:r>
        <w:t>, allora</w:t>
      </w:r>
      <w:r w:rsidR="00716227">
        <w:t xml:space="preserve"> la</w:t>
      </w:r>
      <w:r>
        <w:t xml:space="preserve"> WSI globale avrà quella </w:t>
      </w:r>
      <w:r w:rsidR="00591C09">
        <w:t>proprietà</w:t>
      </w:r>
      <w:r>
        <w:t>.</w:t>
      </w:r>
    </w:p>
    <w:p w14:paraId="4C48AF5B" w14:textId="5DD8340B" w:rsidR="00F747BD" w:rsidRPr="00F747BD" w:rsidRDefault="00F747BD" w:rsidP="00F747BD">
      <w:pPr>
        <w:jc w:val="both"/>
      </w:pPr>
      <w:r w:rsidRPr="00F747BD">
        <w:t>I risultati finali mostrano una buona accur</w:t>
      </w:r>
      <w:r w:rsidR="00E81146">
        <w:t>a</w:t>
      </w:r>
      <w:r w:rsidR="000333F7">
        <w:t>tezza</w:t>
      </w:r>
      <w:r w:rsidR="00E81146">
        <w:t xml:space="preserve"> (&gt; 70%)</w:t>
      </w:r>
      <w:r w:rsidRPr="00F747BD">
        <w:t xml:space="preserve"> per diverse classi, in particolare per Global e Mesangial, mentre per Segmental la performance resta più bassa a causa della scarsità di esempi e della complessità della classe. </w:t>
      </w:r>
      <w:r w:rsidR="00E40F3A" w:rsidRPr="00E40F3A">
        <w:t>Questo approccio dimostra la possibilità di integrare metodiche di deep learning nell’analisi istopatologica, offrendo un supporto concreto alle valutazioni cliniche.</w:t>
      </w:r>
    </w:p>
    <w:p w14:paraId="6D32A81A" w14:textId="77777777" w:rsidR="00F747BD" w:rsidRDefault="00F747BD"/>
    <w:sectPr w:rsidR="00F747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58"/>
    <w:rsid w:val="000333F7"/>
    <w:rsid w:val="000E3D8B"/>
    <w:rsid w:val="001E4EBE"/>
    <w:rsid w:val="0030388C"/>
    <w:rsid w:val="00334CB3"/>
    <w:rsid w:val="003B0758"/>
    <w:rsid w:val="00483C94"/>
    <w:rsid w:val="00523B2F"/>
    <w:rsid w:val="00586C58"/>
    <w:rsid w:val="00591C09"/>
    <w:rsid w:val="006769C4"/>
    <w:rsid w:val="00716227"/>
    <w:rsid w:val="00763A0A"/>
    <w:rsid w:val="008A52F8"/>
    <w:rsid w:val="008B21F5"/>
    <w:rsid w:val="0092273F"/>
    <w:rsid w:val="00953C51"/>
    <w:rsid w:val="00987E7B"/>
    <w:rsid w:val="009E1C4A"/>
    <w:rsid w:val="00A62F96"/>
    <w:rsid w:val="00A66898"/>
    <w:rsid w:val="00BA22B2"/>
    <w:rsid w:val="00C54CCA"/>
    <w:rsid w:val="00C715BA"/>
    <w:rsid w:val="00D33931"/>
    <w:rsid w:val="00D4677F"/>
    <w:rsid w:val="00D9402B"/>
    <w:rsid w:val="00DA06DE"/>
    <w:rsid w:val="00E40C87"/>
    <w:rsid w:val="00E40F3A"/>
    <w:rsid w:val="00E81146"/>
    <w:rsid w:val="00EE6E98"/>
    <w:rsid w:val="00F32335"/>
    <w:rsid w:val="00F62EAE"/>
    <w:rsid w:val="00F747BD"/>
    <w:rsid w:val="00FA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8A00B"/>
  <w15:chartTrackingRefBased/>
  <w15:docId w15:val="{7CA1A732-45EF-423C-9FB2-6D51A1F3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ROSATI</dc:creator>
  <cp:keywords/>
  <dc:description/>
  <cp:lastModifiedBy>GABRIELE ROSATI</cp:lastModifiedBy>
  <cp:revision>31</cp:revision>
  <dcterms:created xsi:type="dcterms:W3CDTF">2025-09-10T08:44:00Z</dcterms:created>
  <dcterms:modified xsi:type="dcterms:W3CDTF">2025-09-10T09:47:00Z</dcterms:modified>
</cp:coreProperties>
</file>