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proofErr w:type="gramStart"/>
      <w:r w:rsidRPr="00255A43">
        <w:rPr>
          <w:rFonts w:ascii="Consolas" w:hAnsi="Consolas" w:cs="Consolas"/>
          <w:color w:val="0000FF"/>
          <w:sz w:val="19"/>
          <w:szCs w:val="19"/>
          <w:lang w:val="en-IE"/>
        </w:rPr>
        <w:t>private</w:t>
      </w:r>
      <w:proofErr w:type="gramEnd"/>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w:t>
      </w:r>
      <w:proofErr w:type="gramStart"/>
      <w:r w:rsidRPr="00255A43">
        <w:rPr>
          <w:rFonts w:ascii="Consolas" w:hAnsi="Consolas" w:cs="Consolas"/>
          <w:color w:val="000000"/>
          <w:sz w:val="19"/>
          <w:szCs w:val="19"/>
          <w:lang w:val="en-IE"/>
        </w:rPr>
        <w:t>System.Windows.Application.Current.Shutdown(</w:t>
      </w:r>
      <w:proofErr w:type="gramEnd"/>
      <w:r w:rsidRPr="00255A43">
        <w:rPr>
          <w:rFonts w:ascii="Consolas" w:hAnsi="Consolas" w:cs="Consolas"/>
          <w:color w:val="000000"/>
          <w:sz w:val="19"/>
          <w:szCs w:val="19"/>
          <w:lang w:val="en-IE"/>
        </w:rPr>
        <w:t>);</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bookmarkStart w:id="99" w:name="_GoBack"/>
      <w:bookmarkEnd w:id="99"/>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proofErr w:type="gramStart"/>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proofErr w:type="gramEnd"/>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100" w:name="_Toc27054266"/>
      <w:r>
        <w:rPr>
          <w:lang w:val="it-IT"/>
        </w:rPr>
        <w:lastRenderedPageBreak/>
        <w:t>BenvenutoView</w:t>
      </w:r>
      <w:bookmarkEnd w:id="100"/>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1" w:name="_Toc27054267"/>
      <w:r>
        <w:rPr>
          <w:lang w:val="it-IT"/>
        </w:rPr>
        <w:t>AboutView</w:t>
      </w:r>
      <w:bookmarkEnd w:id="101"/>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2" w:name="_Toc27054268"/>
      <w:r>
        <w:rPr>
          <w:lang w:val="it-IT"/>
        </w:rPr>
        <w:t>GuidaView</w:t>
      </w:r>
      <w:bookmarkEnd w:id="102"/>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lastRenderedPageBreak/>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3" w:name="_Toc27054269"/>
      <w:r>
        <w:rPr>
          <w:lang w:val="it-IT"/>
        </w:rPr>
        <w:t>EsercizioListView</w:t>
      </w:r>
      <w:bookmarkEnd w:id="103"/>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4" w:name="_Toc27054270"/>
      <w:r>
        <w:rPr>
          <w:lang w:val="it-IT"/>
        </w:rPr>
        <w:t>ProvaListView</w:t>
      </w:r>
      <w:bookmarkEnd w:id="104"/>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lastRenderedPageBreak/>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5" w:name="_Toc27054271"/>
      <w:r>
        <w:rPr>
          <w:lang w:val="it-IT"/>
        </w:rPr>
        <w:t>ImpostazioniBaseView</w:t>
      </w:r>
      <w:bookmarkEnd w:id="105"/>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r>
        <w:rPr>
          <w:lang w:val="en-IE"/>
        </w:rPr>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FF01A4"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FF01A4"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FF01A4"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FF01A4"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FF01A4"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FF01A4"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FF01A4"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FF01A4"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FF01A4"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FF01A4"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FF01A4"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FF01A4"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FF01A4"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FF01A4"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FF01A4"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FF01A4"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1A4" w:rsidRDefault="00FF01A4">
      <w:r>
        <w:separator/>
      </w:r>
    </w:p>
  </w:endnote>
  <w:endnote w:type="continuationSeparator" w:id="0">
    <w:p w:rsidR="00FF01A4" w:rsidRDefault="00FF0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FF01A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1A4" w:rsidRDefault="00FF01A4">
      <w:r>
        <w:separator/>
      </w:r>
    </w:p>
  </w:footnote>
  <w:footnote w:type="continuationSeparator" w:id="0">
    <w:p w:rsidR="00FF01A4" w:rsidRDefault="00FF0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B239C">
            <w:rPr>
              <w:rFonts w:cs="Arial"/>
              <w:noProof/>
              <w:snapToGrid w:val="0"/>
            </w:rPr>
            <w:t>33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B239C">
            <w:rPr>
              <w:rFonts w:cs="Arial"/>
              <w:noProof/>
              <w:snapToGrid w:val="0"/>
            </w:rPr>
            <w:t>46</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6CB7"/>
    <w:rsid w:val="00143143"/>
    <w:rsid w:val="0014391A"/>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6B88"/>
    <w:rsid w:val="002C0646"/>
    <w:rsid w:val="002C084C"/>
    <w:rsid w:val="002C1335"/>
    <w:rsid w:val="002C32DA"/>
    <w:rsid w:val="002C3B08"/>
    <w:rsid w:val="002C797B"/>
    <w:rsid w:val="002D0C94"/>
    <w:rsid w:val="002D14B7"/>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62E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D5D"/>
    <w:rsid w:val="009F031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5ECA"/>
    <w:rsid w:val="00B36E57"/>
    <w:rsid w:val="00B41E0C"/>
    <w:rsid w:val="00B42931"/>
    <w:rsid w:val="00B45ED0"/>
    <w:rsid w:val="00B462F1"/>
    <w:rsid w:val="00B4642C"/>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5B0E"/>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1A4"/>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C54E8"/>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7A1F3-62B3-4850-A375-7D06D2F10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5468</TotalTime>
  <Pages>46</Pages>
  <Words>8946</Words>
  <Characters>50994</Characters>
  <Application>Microsoft Office Word</Application>
  <DocSecurity>0</DocSecurity>
  <Lines>424</Lines>
  <Paragraphs>119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842</cp:revision>
  <cp:lastPrinted>2012-10-05T07:12:00Z</cp:lastPrinted>
  <dcterms:created xsi:type="dcterms:W3CDTF">2019-09-03T14:22:00Z</dcterms:created>
  <dcterms:modified xsi:type="dcterms:W3CDTF">2019-12-17T14:21:00Z</dcterms:modified>
  <cp:category/>
</cp:coreProperties>
</file>