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Dr. Henry Bory Prevez</w:t>
      </w:r>
    </w:p>
    <w:p>
      <w:pPr>
        <w:jc w:val="center"/>
      </w:pPr>
      <w:r>
        <w:rPr>
          <w:sz w:val="20"/>
        </w:rPr>
        <w:t>Profesor Titular · Doctor en Ciencias en Automática · Universidad de Oriente, Santiago de Cuba</w:t>
      </w:r>
    </w:p>
    <w:p>
      <w:pPr>
        <w:jc w:val="center"/>
      </w:pPr>
      <w:r>
        <w:rPr>
          <w:sz w:val="18"/>
        </w:rPr>
        <w:t>Automática · Control avanzado · Electrónica de potencia · Energías renovables · Software científico</w:t>
      </w:r>
    </w:p>
    <w:p>
      <w:pPr>
        <w:pStyle w:val="Heading2"/>
      </w:pPr>
      <w:r>
        <w:t>Perfil profesional</w:t>
      </w:r>
    </w:p>
    <w:p>
      <w:r>
        <w:t>Profesor Titular y Doctor en Ciencias en Automática, con trayectoria universitaria desde 2002. Su trabajo integra docencia, investigación aplicada y desarrollo tecnológico en control avanzado, electrónica de potencia, micro-hidroeléctricas, sistemas OTEC, energía undimotriz, software científico, simulación y modelado matemático aplicado.</w:t>
      </w:r>
    </w:p>
    <w:p>
      <w:pPr>
        <w:pStyle w:val="Heading2"/>
      </w:pPr>
      <w:r>
        <w:t>Áreas principales</w:t>
      </w:r>
    </w:p>
    <w:p>
      <w:pPr>
        <w:pStyle w:val="ListBullet"/>
        <w:spacing w:after="40"/>
      </w:pPr>
      <w:r>
        <w:t>Automática, control analógico/digital, control avanzado, control difuso y MPC.</w:t>
      </w:r>
    </w:p>
    <w:p>
      <w:pPr>
        <w:pStyle w:val="ListBullet"/>
        <w:spacing w:after="40"/>
      </w:pPr>
      <w:r>
        <w:t>Electrónica de potencia, convertidores, sistemas eléctricos y regulación de frecuencia.</w:t>
      </w:r>
    </w:p>
    <w:p>
      <w:pPr>
        <w:pStyle w:val="ListBullet"/>
        <w:spacing w:after="40"/>
      </w:pPr>
      <w:r>
        <w:t>Energías renovables: micro-hidroeléctricas con turbina Pelton, OTEC y energía oceánica.</w:t>
      </w:r>
    </w:p>
    <w:p>
      <w:pPr>
        <w:pStyle w:val="ListBullet"/>
        <w:spacing w:after="40"/>
      </w:pPr>
      <w:r>
        <w:t>Modelado, simulación, identificación de sistemas y procesamiento digital de señales.</w:t>
      </w:r>
    </w:p>
    <w:p>
      <w:pPr>
        <w:pStyle w:val="ListBullet"/>
        <w:spacing w:after="40"/>
      </w:pPr>
      <w:r>
        <w:t>Software académico y herramientas computacionales para docencia e investigación.</w:t>
      </w:r>
    </w:p>
    <w:p>
      <w:pPr>
        <w:pStyle w:val="Heading2"/>
      </w:pPr>
      <w:r>
        <w:t>Proyectos y resultados destacados</w:t>
      </w:r>
    </w:p>
    <w:p>
      <w:pPr>
        <w:pStyle w:val="ListBullet"/>
        <w:spacing w:after="40"/>
      </w:pPr>
      <w:r>
        <w:t>Participación en proyectos internacionales como CRECE e IRIS.</w:t>
      </w:r>
    </w:p>
    <w:p>
      <w:pPr>
        <w:pStyle w:val="ListBullet"/>
        <w:spacing w:after="40"/>
      </w:pPr>
      <w:r>
        <w:t>Publicaciones sobre micro-hidroeléctricas, electrónica de potencia, OTEC, COVID-19, software educativo y biofísica computacional.</w:t>
      </w:r>
    </w:p>
    <w:p>
      <w:pPr>
        <w:pStyle w:val="ListBullet"/>
        <w:spacing w:after="40"/>
      </w:pPr>
      <w:r>
        <w:t>Software y registros asociados a Niord, AnaRed, TabPer, Cal_Arr_Fre y Calc_Covid19.</w:t>
      </w:r>
    </w:p>
    <w:p>
      <w:pPr>
        <w:pStyle w:val="Heading2"/>
      </w:pPr>
      <w:r>
        <w:t>Uso recomendado</w:t>
      </w:r>
    </w:p>
    <w:p>
      <w:r>
        <w:t>Versión breve para presentaciones, eventos, networking académico, enlaces QR y primera aproximación institucional. Para evaluación detallada se recomienda el CV académico completo.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