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088"/>
      </w:tblGrid>
      <w:tr>
        <w:tc>
          <w:tcPr>
            <w:tcW w:type="dxa" w:w="525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F2937"/>
                <w:sz w:val="42"/>
              </w:rPr>
              <w:t>Dr. Henry Bory Prevez</w:t>
            </w:r>
          </w:p>
          <w:p>
            <w:pPr>
              <w:spacing w:after="40"/>
            </w:pPr>
            <w:r>
              <w:rPr>
                <w:color w:val="4B5563"/>
                <w:sz w:val="19"/>
              </w:rPr>
              <w:t>Full Professor · PhD in Automatic Control · Universidad de Oriente, Santiago de Cuba</w:t>
            </w:r>
          </w:p>
          <w:p>
            <w:pPr>
              <w:spacing w:after="0"/>
            </w:pPr>
            <w:r>
              <w:rPr>
                <w:b/>
                <w:color w:val="1A61A5"/>
                <w:sz w:val="18"/>
              </w:rPr>
              <w:t>Automatic Control · Power Electronics · Renewable Energy · Scientific Software · Applied Modelling</w:t>
            </w:r>
          </w:p>
        </w:tc>
        <w:tc>
          <w:tcPr>
            <w:tcW w:type="dxa" w:w="525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15568" cy="13944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bp-cv-photo-official-v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5568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spacing w:before="120" w:after="60"/>
      </w:pPr>
      <w:r>
        <w:rPr>
          <w:b/>
          <w:color w:val="1A61A5"/>
          <w:sz w:val="24"/>
        </w:rPr>
        <w:t>Executive profile</w:t>
      </w:r>
    </w:p>
    <w:p>
      <w:pPr>
        <w:spacing w:after="80"/>
      </w:pPr>
      <w:r>
        <w:rPr>
          <w:b w:val="0"/>
          <w:sz w:val="19"/>
        </w:rPr>
        <w:t>Full Professor and PhD in Automatic Control with university teaching experience since 2002. His academic and technological work connects advanced control, power electronics, isolated micro-hydropower systems, OTEC and ocean energy, scientific software, virtual laboratories and applied mathematical modelling.</w:t>
      </w:r>
    </w:p>
    <w:p>
      <w:pPr>
        <w:spacing w:before="120" w:after="60"/>
      </w:pPr>
      <w:r>
        <w:rPr>
          <w:b/>
          <w:color w:val="1A61A5"/>
          <w:sz w:val="24"/>
        </w:rPr>
        <w:t>Core areas</w:t>
      </w:r>
    </w:p>
    <w:p>
      <w:pPr>
        <w:pStyle w:val="ListBullet"/>
        <w:spacing w:after="30"/>
        <w:ind w:left="288" w:hanging="216"/>
      </w:pPr>
      <w:r>
        <w:rPr>
          <w:sz w:val="18"/>
        </w:rPr>
        <w:t>Automatic control, advanced control, fuzzy control and model predictive control.</w:t>
      </w:r>
    </w:p>
    <w:p>
      <w:pPr>
        <w:pStyle w:val="ListBullet"/>
        <w:spacing w:after="30"/>
        <w:ind w:left="288" w:hanging="216"/>
      </w:pPr>
      <w:r>
        <w:rPr>
          <w:sz w:val="18"/>
        </w:rPr>
        <w:t>Power electronics, converters, electrical systems and frequency regulation.</w:t>
      </w:r>
    </w:p>
    <w:p>
      <w:pPr>
        <w:pStyle w:val="ListBullet"/>
        <w:spacing w:after="30"/>
        <w:ind w:left="288" w:hanging="216"/>
      </w:pPr>
      <w:r>
        <w:rPr>
          <w:sz w:val="18"/>
        </w:rPr>
        <w:t>Renewable energy systems: Pelton micro-hydropower, OTEC and ocean energy.</w:t>
      </w:r>
    </w:p>
    <w:p>
      <w:pPr>
        <w:pStyle w:val="ListBullet"/>
        <w:spacing w:after="30"/>
        <w:ind w:left="288" w:hanging="216"/>
      </w:pPr>
      <w:r>
        <w:rPr>
          <w:sz w:val="18"/>
        </w:rPr>
        <w:t>Modelling, simulation, system identification and digital signal processing.</w:t>
      </w:r>
    </w:p>
    <w:p>
      <w:pPr>
        <w:pStyle w:val="ListBullet"/>
        <w:spacing w:after="30"/>
        <w:ind w:left="288" w:hanging="216"/>
      </w:pPr>
      <w:r>
        <w:rPr>
          <w:sz w:val="18"/>
        </w:rPr>
        <w:t>Scientific and academic software for teaching and applied research.</w:t>
      </w:r>
    </w:p>
    <w:p>
      <w:pPr>
        <w:spacing w:before="120" w:after="60"/>
      </w:pPr>
      <w:r>
        <w:rPr>
          <w:b/>
          <w:color w:val="1A61A5"/>
          <w:sz w:val="24"/>
        </w:rPr>
        <w:t>Selected academic and technological results</w:t>
      </w:r>
    </w:p>
    <w:p>
      <w:pPr>
        <w:pStyle w:val="ListBullet"/>
        <w:spacing w:after="30"/>
        <w:ind w:left="288" w:hanging="216"/>
      </w:pPr>
      <w:r>
        <w:rPr>
          <w:sz w:val="18"/>
        </w:rPr>
        <w:t>Participation in international projects such as CRECE and IRIS.</w:t>
      </w:r>
    </w:p>
    <w:p>
      <w:pPr>
        <w:pStyle w:val="ListBullet"/>
        <w:spacing w:after="30"/>
        <w:ind w:left="288" w:hanging="216"/>
      </w:pPr>
      <w:r>
        <w:rPr>
          <w:sz w:val="18"/>
        </w:rPr>
        <w:t>Scientific publications on micro-hydropower, power electronics, OTEC, COVID-19, educational software and computational biophysics.</w:t>
      </w:r>
    </w:p>
    <w:p>
      <w:pPr>
        <w:pStyle w:val="ListBullet"/>
        <w:spacing w:after="30"/>
        <w:ind w:left="288" w:hanging="216"/>
      </w:pPr>
      <w:r>
        <w:rPr>
          <w:sz w:val="18"/>
        </w:rPr>
        <w:t>Software and records associated with Niord, AnaRed, TabPer, Cal_Arr_Fre and Calc_Covid19.</w:t>
      </w:r>
    </w:p>
    <w:p>
      <w:pPr>
        <w:spacing w:before="120" w:after="60"/>
      </w:pPr>
      <w:r>
        <w:rPr>
          <w:b/>
          <w:color w:val="1A61A5"/>
          <w:sz w:val="24"/>
        </w:rPr>
        <w:t>Recommended use</w:t>
      </w:r>
    </w:p>
    <w:p>
      <w:pPr>
        <w:spacing w:after="0"/>
      </w:pPr>
      <w:r>
        <w:rPr>
          <w:b w:val="0"/>
          <w:sz w:val="18"/>
        </w:rPr>
        <w:t>Executive version for international cooperation, academic networking, project presentation and institutional first contact. For full academic evaluation, use the extended academic CV.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cv-executive-henry-bory-prevez-en</dc:title>
  <dc:subject/>
  <dc:creator>ETE PRO CV PROFESIONAL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