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83"/>
        <w:gridCol w:w="2154"/>
      </w:tblGrid>
      <w:tr>
        <w:tc>
          <w:tcPr>
            <w:tcW w:type="dxa" w:w="5100"/>
            <w:vAlign w:val="center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pPr>
              <w:spacing w:after="40"/>
              <w:jc w:val="left"/>
            </w:pPr>
            <w:r/>
            <w:r>
              <w:rPr>
                <w:rFonts w:ascii="Arial" w:hAnsi="Arial" w:eastAsia="Arial"/>
                <w:b/>
                <w:color w:val="1F4E79"/>
                <w:sz w:val="36"/>
              </w:rPr>
              <w:t>Henry Bory Prevez</w:t>
            </w:r>
          </w:p>
          <w:p>
            <w:pPr>
              <w:spacing w:after="40"/>
              <w:jc w:val="left"/>
            </w:pPr>
            <w:r>
              <w:rPr>
                <w:rFonts w:ascii="Arial" w:hAnsi="Arial" w:eastAsia="Arial"/>
                <w:b/>
                <w:sz w:val="24"/>
              </w:rPr>
              <w:t>Doctor en Ciencias | Profesor Titular | Universidad de Oriente</w:t>
            </w:r>
          </w:p>
          <w:p>
            <w:pPr>
              <w:spacing w:after="40"/>
              <w:jc w:val="left"/>
            </w:pPr>
            <w:r>
              <w:rPr>
                <w:rFonts w:ascii="Arial" w:hAnsi="Arial" w:eastAsia="Arial"/>
                <w:b w:val="0"/>
                <w:sz w:val="22"/>
              </w:rPr>
              <w:t>Automática, Control Avanzado, Electrónica de Potencia, Modelado Matemático y Energías Renovables</w:t>
            </w:r>
          </w:p>
          <w:p>
            <w:pPr>
              <w:spacing w:after="20"/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Santiago de Cuba, Cuba | Portafolio profesional y QR: en preparación | Contacto público: pendiente de validación</w:t>
            </w:r>
          </w:p>
        </w:tc>
        <w:tc>
          <w:tcPr>
            <w:tcW w:type="dxa" w:w="5100"/>
            <w:vAlign w:val="center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pPr>
              <w:jc w:val="righ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96000" cy="169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-06-04_foto_perfil_cv_recorte_henry_bory_prevez_v0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40" w:after="60"/>
        <w:jc w:val="left"/>
        <w:pBdr>
          <w:bottom w:val="single" w:sz="6" w:space="1" w:color="1F4E79"/>
        </w:pBdr>
      </w:pPr>
      <w:r>
        <w:rPr>
          <w:rFonts w:ascii="Arial" w:hAnsi="Arial" w:eastAsia="Arial"/>
          <w:b/>
          <w:color w:val="1F4E79"/>
          <w:sz w:val="26"/>
        </w:rPr>
        <w:t>PERFIL EJECUTIVO</w:t>
      </w:r>
    </w:p>
    <w:p>
      <w:pPr>
        <w:spacing w:after="60" w:line="252" w:lineRule="auto"/>
        <w:jc w:val="both"/>
      </w:pPr>
      <w:r>
        <w:rPr>
          <w:rFonts w:ascii="Arial" w:hAnsi="Arial" w:eastAsia="Arial"/>
          <w:b w:val="0"/>
          <w:sz w:val="24"/>
        </w:rPr>
        <w:t>Profesor Titular y Doctor en Ciencias de la Universidad de Oriente, con trayectoria académica e investigativa en automática, electrónica de potencia, control avanzado, modelado matemático y simulación de sistemas dinámicos. Su trabajo integra investigación aplicada en energías renovables, micro-hidroeléctricas aisladas, microrredes, sistemas OTEC, energía undimotriz y aplicaciones interdisciplinarias hacia biofísica computacional y oncología matemática.</w:t>
      </w:r>
    </w:p>
    <w:p>
      <w:pPr>
        <w:spacing w:after="60" w:line="252" w:lineRule="auto"/>
        <w:jc w:val="both"/>
      </w:pPr>
      <w:r>
        <w:rPr>
          <w:rFonts w:ascii="Arial" w:hAnsi="Arial" w:eastAsia="Arial"/>
          <w:b w:val="0"/>
          <w:sz w:val="24"/>
        </w:rPr>
        <w:t>El perfil combina experiencia universitaria, desarrollo científico, modelado computacional y soluciones tecnológicas orientadas a sistemas energéticos y problemas complejos de ingeniería. La información se presenta con criterio de trazabilidad: los resultados publicados se diferencian de las líneas actuales en validación y de los elementos que requieren respaldo documental adicional.</w:t>
      </w:r>
    </w:p>
    <w:p>
      <w:pPr>
        <w:spacing w:before="140" w:after="60"/>
        <w:jc w:val="left"/>
        <w:pBdr>
          <w:bottom w:val="single" w:sz="6" w:space="1" w:color="1F4E79"/>
        </w:pBdr>
      </w:pPr>
      <w:r>
        <w:rPr>
          <w:rFonts w:ascii="Arial" w:hAnsi="Arial" w:eastAsia="Arial"/>
          <w:b/>
          <w:color w:val="1F4E79"/>
          <w:sz w:val="26"/>
        </w:rPr>
        <w:t>ESPECIALIZACIÓN Y PROPUESTA DE VALOR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/>
              <w:jc w:val="left"/>
            </w:pPr>
            <w:r/>
            <w:r>
              <w:rPr>
                <w:rFonts w:ascii="Arial" w:hAnsi="Arial" w:eastAsia="Arial"/>
                <w:b/>
                <w:color w:val="1F4E79"/>
                <w:sz w:val="22"/>
              </w:rPr>
              <w:t>Automática y control</w:t>
            </w:r>
          </w:p>
        </w:tc>
        <w:tc>
          <w:tcPr>
            <w:tcW w:type="dxa" w:w="5100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/>
              <w:jc w:val="both"/>
            </w:pPr>
            <w:r/>
            <w:r>
              <w:rPr>
                <w:rFonts w:ascii="Arial" w:hAnsi="Arial" w:eastAsia="Arial"/>
                <w:b w:val="0"/>
                <w:sz w:val="22"/>
              </w:rPr>
              <w:t>Control avanzado, regulación, modelado de sistemas dinámicos, control PID/PI y simulación.</w:t>
            </w:r>
          </w:p>
        </w:tc>
      </w:tr>
      <w:tr>
        <w:tc>
          <w:tcPr>
            <w:tcW w:type="dxa" w:w="5100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/>
              <w:jc w:val="left"/>
            </w:pPr>
            <w:r/>
            <w:r>
              <w:rPr>
                <w:rFonts w:ascii="Arial" w:hAnsi="Arial" w:eastAsia="Arial"/>
                <w:b/>
                <w:color w:val="1F4E79"/>
                <w:sz w:val="22"/>
              </w:rPr>
              <w:t>Energía y electrónica de potencia</w:t>
            </w:r>
          </w:p>
        </w:tc>
        <w:tc>
          <w:tcPr>
            <w:tcW w:type="dxa" w:w="5100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/>
              <w:jc w:val="both"/>
            </w:pPr>
            <w:r/>
            <w:r>
              <w:rPr>
                <w:rFonts w:ascii="Arial" w:hAnsi="Arial" w:eastAsia="Arial"/>
                <w:b w:val="0"/>
                <w:sz w:val="22"/>
              </w:rPr>
              <w:t>Rectificadores conmutados simétricamente, regulación de frecuencia y micro-hidroeléctricas aisladas.</w:t>
            </w:r>
          </w:p>
        </w:tc>
      </w:tr>
      <w:tr>
        <w:tc>
          <w:tcPr>
            <w:tcW w:type="dxa" w:w="5100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/>
              <w:jc w:val="left"/>
            </w:pPr>
            <w:r/>
            <w:r>
              <w:rPr>
                <w:rFonts w:ascii="Arial" w:hAnsi="Arial" w:eastAsia="Arial"/>
                <w:b/>
                <w:color w:val="1F4E79"/>
                <w:sz w:val="22"/>
              </w:rPr>
              <w:t>Energías oceánicas</w:t>
            </w:r>
          </w:p>
        </w:tc>
        <w:tc>
          <w:tcPr>
            <w:tcW w:type="dxa" w:w="5100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/>
              <w:jc w:val="both"/>
            </w:pPr>
            <w:r/>
            <w:r>
              <w:rPr>
                <w:rFonts w:ascii="Arial" w:hAnsi="Arial" w:eastAsia="Arial"/>
                <w:b w:val="0"/>
                <w:sz w:val="22"/>
              </w:rPr>
              <w:t>Modelación de sistemas OTEC, energía undimotriz y simulación de parámetros del oleaje.</w:t>
            </w:r>
          </w:p>
        </w:tc>
      </w:tr>
      <w:tr>
        <w:tc>
          <w:tcPr>
            <w:tcW w:type="dxa" w:w="5100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/>
              <w:jc w:val="left"/>
            </w:pPr>
            <w:r/>
            <w:r>
              <w:rPr>
                <w:rFonts w:ascii="Arial" w:hAnsi="Arial" w:eastAsia="Arial"/>
                <w:b/>
                <w:color w:val="1F4E79"/>
                <w:sz w:val="22"/>
              </w:rPr>
              <w:t>Modelado biomédico</w:t>
            </w:r>
          </w:p>
        </w:tc>
        <w:tc>
          <w:tcPr>
            <w:tcW w:type="dxa" w:w="5100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/>
              <w:jc w:val="both"/>
            </w:pPr>
            <w:r/>
            <w:r>
              <w:rPr>
                <w:rFonts w:ascii="Arial" w:hAnsi="Arial" w:eastAsia="Arial"/>
                <w:b w:val="0"/>
                <w:sz w:val="22"/>
              </w:rPr>
              <w:t>Aplicaciones matemáticas y computacionales al estudio de crecimiento tumoral y fenómenos bioeléctricos.</w:t>
            </w:r>
          </w:p>
        </w:tc>
      </w:tr>
    </w:tbl>
    <w:p>
      <w:pPr>
        <w:spacing w:before="140" w:after="60"/>
        <w:jc w:val="left"/>
        <w:pBdr>
          <w:bottom w:val="single" w:sz="6" w:space="1" w:color="1F4E79"/>
        </w:pBdr>
      </w:pPr>
      <w:r>
        <w:rPr>
          <w:rFonts w:ascii="Arial" w:hAnsi="Arial" w:eastAsia="Arial"/>
          <w:b/>
          <w:color w:val="1F4E79"/>
          <w:sz w:val="26"/>
        </w:rPr>
        <w:t>LÍNEAS DE INVESTIGACIÓN Y APLICACIÓN</w:t>
      </w:r>
    </w:p>
    <w:p>
      <w:pPr>
        <w:spacing w:after="30" w:line="240" w:lineRule="auto"/>
        <w:ind w:left="255" w:hanging="142"/>
        <w:jc w:val="both"/>
      </w:pPr>
      <w:r>
        <w:rPr>
          <w:rFonts w:ascii="Arial" w:hAnsi="Arial" w:eastAsia="Arial"/>
          <w:b w:val="0"/>
          <w:sz w:val="24"/>
        </w:rPr>
        <w:t>- Electrónica de potencia aplicada a micro-hidroeléctricas, con énfasis en rectificadores monofásicos y trifásicos con conmutación simétrica.</w:t>
      </w:r>
    </w:p>
    <w:p>
      <w:pPr>
        <w:spacing w:after="30" w:line="240" w:lineRule="auto"/>
        <w:ind w:left="255" w:hanging="142"/>
        <w:jc w:val="both"/>
      </w:pPr>
      <w:r>
        <w:rPr>
          <w:rFonts w:ascii="Arial" w:hAnsi="Arial" w:eastAsia="Arial"/>
          <w:b w:val="0"/>
          <w:sz w:val="24"/>
        </w:rPr>
        <w:t>- Regulación de frecuencia en plantas micro-hidroeléctricas aisladas y evaluación de estructuras convertidoras para mejorar desempeño energético.</w:t>
      </w:r>
    </w:p>
    <w:p>
      <w:pPr>
        <w:spacing w:after="30" w:line="240" w:lineRule="auto"/>
        <w:ind w:left="255" w:hanging="142"/>
        <w:jc w:val="both"/>
      </w:pPr>
      <w:r>
        <w:rPr>
          <w:rFonts w:ascii="Arial" w:hAnsi="Arial" w:eastAsia="Arial"/>
          <w:b w:val="0"/>
          <w:sz w:val="24"/>
        </w:rPr>
        <w:t>- Modelado y simulación de centrales maremotérmicas OTEC, incluyendo aproximaciones asociadas al ciclo de Anderson.</w:t>
      </w:r>
    </w:p>
    <w:p>
      <w:pPr>
        <w:spacing w:after="30" w:line="240" w:lineRule="auto"/>
        <w:ind w:left="255" w:hanging="142"/>
        <w:jc w:val="both"/>
      </w:pPr>
      <w:r>
        <w:rPr>
          <w:rFonts w:ascii="Arial" w:hAnsi="Arial" w:eastAsia="Arial"/>
          <w:b w:val="0"/>
          <w:sz w:val="24"/>
        </w:rPr>
        <w:t>- Energía undimotriz y software para caracterización de parámetros del oleaje marino, incluyendo el registro Niord0150-01-2022.</w:t>
      </w:r>
    </w:p>
    <w:p>
      <w:pPr>
        <w:spacing w:after="30" w:line="240" w:lineRule="auto"/>
        <w:ind w:left="255" w:hanging="142"/>
        <w:jc w:val="both"/>
      </w:pPr>
      <w:r>
        <w:rPr>
          <w:rFonts w:ascii="Arial" w:hAnsi="Arial" w:eastAsia="Arial"/>
          <w:b w:val="0"/>
          <w:sz w:val="24"/>
        </w:rPr>
        <w:t>- Modelado matemático y biofísica computacional aplicados al crecimiento tumoral sólido y a cambios de densidad de carga superficial.</w:t>
      </w:r>
    </w:p>
    <w:p>
      <w:pPr>
        <w:spacing w:after="30" w:line="240" w:lineRule="auto"/>
        <w:ind w:left="255" w:hanging="142"/>
        <w:jc w:val="both"/>
      </w:pPr>
      <w:r>
        <w:rPr>
          <w:rFonts w:ascii="Arial" w:hAnsi="Arial" w:eastAsia="Arial"/>
          <w:b w:val="0"/>
          <w:sz w:val="24"/>
        </w:rPr>
        <w:t>- Línea actual no publicada: prototipo experimental de control en tiempo real con planta de primer orden, Arduino y Octave, clasificado como trabajo en validación.</w:t>
      </w:r>
    </w:p>
    <w:p>
      <w:pPr>
        <w:spacing w:before="140" w:after="60"/>
        <w:jc w:val="left"/>
        <w:pBdr>
          <w:bottom w:val="single" w:sz="6" w:space="1" w:color="1F4E79"/>
        </w:pBdr>
      </w:pPr>
      <w:r>
        <w:rPr>
          <w:rFonts w:ascii="Arial" w:hAnsi="Arial" w:eastAsia="Arial"/>
          <w:b/>
          <w:color w:val="1F4E79"/>
          <w:sz w:val="26"/>
        </w:rPr>
        <w:t>PUBLICACIONES Y RESULTADOS SELECCIONADOS</w:t>
      </w:r>
    </w:p>
    <w:p>
      <w:pPr>
        <w:spacing w:after="30" w:line="240" w:lineRule="auto"/>
        <w:ind w:left="255" w:hanging="142"/>
        <w:jc w:val="both"/>
      </w:pPr>
      <w:r>
        <w:rPr>
          <w:rFonts w:ascii="Arial" w:hAnsi="Arial" w:eastAsia="Arial"/>
          <w:b w:val="0"/>
          <w:sz w:val="22"/>
        </w:rPr>
        <w:t>- Bory, H., Martin, J. L., Martinez de Alegria, I., &amp; Vazquez, L. (2021). Effect of Symmetrically Switched Rectifier Topologies on the Frequency Regulation of Standalone Micro-Hydro Power Plants. Energies, 14(11), 3201. DOI: 10.3390/en14113201.</w:t>
      </w:r>
    </w:p>
    <w:p>
      <w:pPr>
        <w:spacing w:after="30" w:line="240" w:lineRule="auto"/>
        <w:ind w:left="255" w:hanging="142"/>
        <w:jc w:val="both"/>
      </w:pPr>
      <w:r>
        <w:rPr>
          <w:rFonts w:ascii="Arial" w:hAnsi="Arial" w:eastAsia="Arial"/>
          <w:b w:val="0"/>
          <w:sz w:val="22"/>
        </w:rPr>
        <w:t>- Bory, H., Vazquez, L., Martinez, H., &amp; Majanne, Y. (2022). Evaluation of the Symmetrically Switched Converter Structures on the Frequency Regulation of Standalone Micro Hydro Power Plants. IFAC-PapersOnLine, 55(9), 70-75. DOI: 10.1016/j.ifacol.2022.07.013.</w:t>
      </w:r>
    </w:p>
    <w:p>
      <w:pPr>
        <w:spacing w:after="30" w:line="240" w:lineRule="auto"/>
        <w:ind w:left="255" w:hanging="142"/>
        <w:jc w:val="both"/>
      </w:pPr>
      <w:r>
        <w:rPr>
          <w:rFonts w:ascii="Arial" w:hAnsi="Arial" w:eastAsia="Arial"/>
          <w:b w:val="0"/>
          <w:sz w:val="22"/>
        </w:rPr>
        <w:t>- Bory, H., Vazquez, L., Martinez, H., &amp; Majanne, Y. (2019). Symmetrical Angle Switched Single-Phase and Three-Phase Rectifiers: Application to Micro Hydro Power Plants. IFAC-PapersOnLine, 52(4), 216-221. DOI: 10.1016/j.ifacol.2019.08.182.</w:t>
      </w:r>
    </w:p>
    <w:p>
      <w:pPr>
        <w:spacing w:after="30" w:line="240" w:lineRule="auto"/>
        <w:ind w:left="255" w:hanging="142"/>
        <w:jc w:val="both"/>
      </w:pPr>
      <w:r>
        <w:rPr>
          <w:rFonts w:ascii="Arial" w:hAnsi="Arial" w:eastAsia="Arial"/>
          <w:b w:val="0"/>
          <w:sz w:val="22"/>
        </w:rPr>
        <w:t>- Bory Prevez, H., et al. (2022). Simulations of surface charge density changes during the untreated solid tumour growth. Royal Society Open Science, 9(11), 220552. DOI: 10.1098/rsos.220552.</w:t>
      </w:r>
    </w:p>
    <w:p>
      <w:pPr>
        <w:spacing w:after="30" w:line="240" w:lineRule="auto"/>
        <w:ind w:left="255" w:hanging="142"/>
        <w:jc w:val="both"/>
      </w:pPr>
      <w:r>
        <w:rPr>
          <w:rFonts w:ascii="Arial" w:hAnsi="Arial" w:eastAsia="Arial"/>
          <w:b w:val="0"/>
          <w:sz w:val="22"/>
        </w:rPr>
        <w:t>- Bory Prevez, H., &amp; Castellano Sanchez, A. O. (2024). Modelo en MatLab de centrales maremotermicas de ciclo de Anderson. Primera aproximacion. Ingenieria Hidraulica y Ambiental, 45(1), 77-90.</w:t>
      </w:r>
    </w:p>
    <w:p>
      <w:pPr>
        <w:spacing w:after="30" w:line="240" w:lineRule="auto"/>
        <w:ind w:left="255" w:hanging="142"/>
        <w:jc w:val="both"/>
      </w:pPr>
      <w:r>
        <w:rPr>
          <w:rFonts w:ascii="Arial" w:hAnsi="Arial" w:eastAsia="Arial"/>
          <w:b w:val="0"/>
          <w:sz w:val="22"/>
        </w:rPr>
        <w:t>- Niord v.1.0 / Niord0150-01-2022. Registro de software asociado a modelacion y simulacion de parametros de energia undimotriz. Confirmado por el usuario; pendiente de anexar certificado para trazabilidad documental completa.</w:t>
      </w:r>
    </w:p>
    <w:p>
      <w:pPr>
        <w:spacing w:before="140" w:after="60"/>
        <w:jc w:val="left"/>
        <w:pBdr>
          <w:bottom w:val="single" w:sz="6" w:space="1" w:color="1F4E79"/>
        </w:pBdr>
      </w:pPr>
      <w:r>
        <w:rPr>
          <w:rFonts w:ascii="Arial" w:hAnsi="Arial" w:eastAsia="Arial"/>
          <w:b/>
          <w:color w:val="1F4E79"/>
          <w:sz w:val="26"/>
        </w:rPr>
        <w:t>EXPERIENCIA ACADEMICA, DOCENCIA E INNOVACION</w:t>
      </w:r>
    </w:p>
    <w:p>
      <w:pPr>
        <w:spacing w:after="60" w:line="252" w:lineRule="auto"/>
        <w:jc w:val="both"/>
      </w:pPr>
      <w:r>
        <w:rPr>
          <w:rFonts w:ascii="Arial" w:hAnsi="Arial" w:eastAsia="Arial"/>
          <w:b w:val="0"/>
          <w:sz w:val="24"/>
        </w:rPr>
        <w:t>Como Profesor Titular de la Universidad de Oriente, su perfil se orienta a la formación universitaria, la investigación aplicada y el desarrollo de soluciones científico-tecnológicas en ingeniería eléctrica, automática, simulación y energías renovables. Su producción muestra capacidad para conectar investigación académica, simulación computacional y problemas aplicados de sistemas energéticos y modelos interdisciplinarios.</w:t>
      </w:r>
    </w:p>
    <w:p>
      <w:pPr>
        <w:spacing w:after="60" w:line="252" w:lineRule="auto"/>
        <w:jc w:val="both"/>
      </w:pPr>
      <w:r>
        <w:rPr>
          <w:rFonts w:ascii="Arial" w:hAnsi="Arial" w:eastAsia="Arial"/>
          <w:b w:val="0"/>
          <w:sz w:val="24"/>
        </w:rPr>
        <w:t>Su trayectoria resulta especialmente pertinente para cooperación académica internacional, asesoría tecnológica en energías renovables, proyectos de investigación aplicada, transferencia de conocimiento, formación de especialistas y construcción de evidencia técnica para innovación.</w:t>
      </w:r>
    </w:p>
    <w:p>
      <w:pPr>
        <w:spacing w:before="140" w:after="60"/>
        <w:jc w:val="left"/>
        <w:pBdr>
          <w:bottom w:val="single" w:sz="6" w:space="1" w:color="1F4E79"/>
        </w:pBdr>
      </w:pPr>
      <w:r>
        <w:rPr>
          <w:rFonts w:ascii="Arial" w:hAnsi="Arial" w:eastAsia="Arial"/>
          <w:b/>
          <w:color w:val="1F4E79"/>
          <w:sz w:val="26"/>
        </w:rPr>
        <w:t>COMPETENCIAS TECNICAS</w:t>
      </w:r>
    </w:p>
    <w:p>
      <w:pPr>
        <w:spacing w:after="60" w:line="252" w:lineRule="auto"/>
        <w:jc w:val="both"/>
      </w:pPr>
      <w:r>
        <w:rPr>
          <w:rFonts w:ascii="Arial" w:hAnsi="Arial" w:eastAsia="Arial"/>
          <w:b w:val="0"/>
          <w:sz w:val="24"/>
        </w:rPr>
        <w:t>MATLAB/Simulink, Octave, Arduino, modelado matemático, simulación computacional, electrónica de potencia, rectificadores controlados, control PID/PI, sistemas dinámicos, regulación de frecuencia, micro-hidroeléctricas, microrredes aisladas, OTEC, energía undimotriz, análisis de sistemas no lineales y modelado biomédico computacional.</w:t>
      </w:r>
    </w:p>
    <w:p>
      <w:pPr>
        <w:spacing w:before="140" w:after="60"/>
        <w:jc w:val="left"/>
        <w:pBdr>
          <w:bottom w:val="single" w:sz="6" w:space="1" w:color="1F4E79"/>
        </w:pBdr>
      </w:pPr>
      <w:r>
        <w:rPr>
          <w:rFonts w:ascii="Arial" w:hAnsi="Arial" w:eastAsia="Arial"/>
          <w:b/>
          <w:color w:val="1F4E79"/>
          <w:sz w:val="26"/>
        </w:rPr>
        <w:t>SECTORES DE COLABORACION</w:t>
      </w:r>
    </w:p>
    <w:p>
      <w:pPr>
        <w:spacing w:after="30" w:line="240" w:lineRule="auto"/>
        <w:ind w:left="255" w:hanging="142"/>
        <w:jc w:val="both"/>
      </w:pPr>
      <w:r>
        <w:rPr>
          <w:rFonts w:ascii="Arial" w:hAnsi="Arial" w:eastAsia="Arial"/>
          <w:b w:val="0"/>
          <w:sz w:val="24"/>
        </w:rPr>
        <w:t>- Universidades y centros de investigación en automática, energía, electrónica de potencia y modelado matemático.</w:t>
      </w:r>
    </w:p>
    <w:p>
      <w:pPr>
        <w:spacing w:after="30" w:line="240" w:lineRule="auto"/>
        <w:ind w:left="255" w:hanging="142"/>
        <w:jc w:val="both"/>
      </w:pPr>
      <w:r>
        <w:rPr>
          <w:rFonts w:ascii="Arial" w:hAnsi="Arial" w:eastAsia="Arial"/>
          <w:b w:val="0"/>
          <w:sz w:val="24"/>
        </w:rPr>
        <w:t>- Programas de cooperación internacional vinculados a energías renovables, electrificación aislada y sostenibilidad tecnológica.</w:t>
      </w:r>
    </w:p>
    <w:p>
      <w:pPr>
        <w:spacing w:after="30" w:line="240" w:lineRule="auto"/>
        <w:ind w:left="255" w:hanging="142"/>
        <w:jc w:val="both"/>
      </w:pPr>
      <w:r>
        <w:rPr>
          <w:rFonts w:ascii="Arial" w:hAnsi="Arial" w:eastAsia="Arial"/>
          <w:b w:val="0"/>
          <w:sz w:val="24"/>
        </w:rPr>
        <w:t>- Instituciones y empresas interesadas en micro-hidroeléctricas, microrredes, simulación energética y soluciones hidroenergéticas asociadas a turbina Pelton.</w:t>
      </w:r>
    </w:p>
    <w:p>
      <w:pPr>
        <w:spacing w:after="30" w:line="240" w:lineRule="auto"/>
        <w:ind w:left="255" w:hanging="142"/>
        <w:jc w:val="both"/>
      </w:pPr>
      <w:r>
        <w:rPr>
          <w:rFonts w:ascii="Arial" w:hAnsi="Arial" w:eastAsia="Arial"/>
          <w:b w:val="0"/>
          <w:sz w:val="24"/>
        </w:rPr>
        <w:t>- Equipos interdisciplinarios que requieran modelado computacional aplicado a biofísica, dinámica tumoral o sistemas complejos.</w:t>
      </w:r>
    </w:p>
    <w:sectPr w:rsidR="00FC693F" w:rsidRPr="0006063C" w:rsidSect="00034616">
      <w:footerReference w:type="default" r:id="rId10"/>
      <w:pgSz w:w="12240" w:h="15840"/>
      <w:pgMar w:top="850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color w:val="666666"/>
        <w:sz w:val="16"/>
      </w:rPr>
      <w:t>CV ejecutivo internacional - Henry Bory Prevez - v03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