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0"/>
          <w:szCs w:val="20"/>
          <w:shd w:fill="6aa84f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6aa84f" w:val="clear"/>
          <w:rtl w:val="0"/>
        </w:rPr>
        <w:t xml:space="preserve">- Módulo CCP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(Livro-Cap. 12, pag. 244) -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(DataSheet-pag.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 143) -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(10maio)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0"/>
          <w:szCs w:val="20"/>
          <w:shd w:fill="6aa84f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6aa84f" w:val="clear"/>
          <w:rtl w:val="0"/>
        </w:rPr>
        <w:t xml:space="preserve">- Conversor A/D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(Livro-Cap. 13, pag. 267)  -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(DataSheet-pag.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 259) -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(19abr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20abr)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hd w:fill="6aa84f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6aa84f" w:val="clear"/>
          <w:rtl w:val="0"/>
        </w:rPr>
        <w:t xml:space="preserve">- USART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(Livro-Cap. 10, pag. 210) -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(DataSheet-pag.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 237) -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6aa84f" w:val="clear"/>
          <w:rtl w:val="0"/>
        </w:rPr>
        <w:t xml:space="preserve">(24maio)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