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  <w:spacing w:after="200" w:before="240" w:lineRule="auto"/>
        <w:rPr/>
      </w:pPr>
      <w:bookmarkStart w:colFirst="0" w:colLast="0" w:name="_heading=h.plxsu1nmqu48" w:id="0"/>
      <w:bookmarkEnd w:id="0"/>
      <w:r>
        <w:rPr>
          <w:rtl w:val="0"/>
        </w:rPr>
      </w:r>
    </w:p>
    <w:p w14:paraId="00000002">
      <w:pPr>
        <w:rPr/>
      </w:pPr>
      <w:r>
        <w:rPr>
          <w:rtl w:val="0"/>
        </w:rPr>
      </w:r>
    </w:p>
    <w:p w14:paraId="00000003">
      <w:pPr>
        <w:rPr/>
      </w:pPr>
      <w:r>
        <w:rPr>
          <w:rtl w:val="0"/>
        </w:rPr>
      </w:r>
    </w:p>
    <w:p w14:paraId="00000004">
      <w:pPr>
        <w:pStyle w:val="Title"/>
        <w:spacing w:after="200" w:before="240" w:lineRule="auto"/>
        <w:rPr/>
      </w:pPr>
      <w:bookmarkStart w:colFirst="0" w:colLast="0" w:name="_heading=h.iygpj3gzq5ll" w:id="1"/>
      <w:bookmarkEnd w:id="1"/>
      <w:r>
        <w:rPr/>
        <mc:AlternateContent>
          <mc:Choice Requires="wpg"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51650" y="3666150"/>
                          <a:ext cx="4388700" cy="227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" name="image6.png"/>
                <a:graphic>
                  <a:graphicData uri="http://schemas.openxmlformats.org/drawingml/2006/picture">
                    <pic:pic>
                      <pic:nvPicPr>
                        <pic:cNvPr descr="Decorative black rule used in the memo template."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924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14:paraId="00000005">
      <w:pPr>
        <w:pStyle w:val="Title"/>
        <w:spacing w:after="200" w:before="240" w:line="240" w:lineRule="auto"/>
        <w:rPr>
          <w:b w:val="1"/>
          <w:bCs w:val="1"/>
          <w:sz w:val="80"/>
          <w:szCs w:val="80"/>
        </w:rPr>
      </w:pPr>
      <w:bookmarkStart w:colFirst="0" w:colLast="0" w:name="_heading=h.cbw67w94hv1c" w:id="2"/>
      <w:bookmarkEnd w:id="2"/>
      <w:r>
        <w:rPr>
          <w:b w:val="1"/>
          <w:bCs w:val="1"/>
          <w:sz w:val="80"/>
          <w:szCs w:val="80"/>
          <w:rtl w:val="0"/>
        </w:rPr>
        <w:t xml:space="preserve">Alfabetização no Brasil</w:t>
      </w:r>
    </w:p>
    <w:p w14:paraId="00000006">
      <w:pPr>
        <w:rPr/>
      </w:pPr>
      <w:r>
        <w:rPr>
          <w:rtl w:val="0"/>
        </w:rPr>
      </w:r>
    </w:p>
    <w:p w14:paraId="00000007">
      <w:pPr>
        <w:rPr/>
      </w:pPr>
      <w:r>
        <w:rPr>
          <w:rtl w:val="0"/>
        </w:rPr>
      </w:r>
    </w:p>
    <w:p w14:paraId="00000008">
      <w:pPr>
        <w:spacing w:after="200" w:lineRule="auto"/>
        <w:rPr>
          <w:color w:val="666666"/>
        </w:rPr>
      </w:pPr>
      <w:r>
        <w:rPr>
          <w:color w:val="666666"/>
          <w:rtl w:val="0"/>
        </w:rPr>
        <w:t xml:space="preserve">Tech Challenge Fase 3   Modelagem e inteligência territorial</w:t>
      </w:r>
    </w:p>
    <w:p w14:paraId="00000009">
      <w:pPr>
        <w:spacing w:after="200" w:lineRule="auto"/>
        <w:rPr/>
      </w:pPr>
      <w:r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330"/>
        <w:gridCol w:w="1485"/>
        <w:gridCol w:w="3150"/>
        <w:tblGridChange w:id="0">
          <w:tblGrid>
            <w:gridCol w:w="1335"/>
            <w:gridCol w:w="3330"/>
            <w:gridCol w:w="1485"/>
            <w:gridCol w:w="315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A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Para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B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FIAP AI Scientist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C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Data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D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14 setembro 2026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E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Autor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0F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Gabriel Duarte Carneiro Martins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0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RM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1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372453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2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Objetivo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3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Classificação de alfabetização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4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Coorte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5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2024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6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Modelo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7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Regressão logística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8">
            <w:pPr>
              <w:spacing w:after="200" w:lineRule="auto"/>
              <w:rPr>
                <w:b w:val="1"/>
                <w:bCs w:val="1"/>
                <w:sz w:val="17"/>
                <w:szCs w:val="17"/>
              </w:rPr>
            </w:pPr>
            <w:r>
              <w:rPr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Avaliação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 w14:paraId="00000019">
            <w:pPr>
              <w:spacing w:after="200" w:lineRule="auto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  <w:rtl w:val="0"/>
              </w:rPr>
              <w:t xml:space="preserve">Municípios disjuntos</w:t>
            </w:r>
            <w:r>
              <w:rPr>
                <w:rtl w:val="0"/>
              </w:rPr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 modelo identifica sinal contextual de não alfabetização e oferece evidências para investigação territorial. A discriminação é limitada e não comprova desempenho em anos futuros. Este relatório apresenta a base, as decisões de modelagem, os resultados e suas implicações para o apoio pedagógico.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1 Problema e população analisada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 Tech Challenge pede classificar se um aluno será considerado alfabetizado. A população analisada é a dos alunos presentes com rótulo válido na avaliação de 2024. O alvo 1 representa alfabetizado; nas métricas de priorização, a classe de interesse é o risco de não alfabetização.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 propósito é apoiar investigação territorial e organização de apoio pedagógico.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 fonte contém 3.867.999 registros: 1.747.439 em 2023 e 2.120.560 em 2024. Após selecionar presentes com rótulo 0/1, a Gold tem 1,852,788 observações de 2024 em 5,517 municípios. A auditoria não encontrou chaves duplicadas ou identificadores nulos na população original consultada de 2024.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 Gold não publica IDs de aluno ou escola. As 12,989 linhas locais são perfis de atributos e rótulo, cada um com uma contagem. Não houve amostragem de alunos: todas as observações elegíveis estão representadas.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715000" cy="3210149"/>
            <wp:effectExtent b="0" l="0" r="0" t="0"/>
            <wp:docPr descr="Figura 1 Distribuição ponderada do alvo no treino" id="201" name="01_alvo_treino.png"/>
            <a:graphic>
              <a:graphicData uri="http://schemas.openxmlformats.org/drawingml/2006/picture">
                <pic:pic>
                  <pic:nvPicPr>
                    <pic:cNvPr descr="Figura 1 Distribuição ponderada do alvo no treino" id="201" name="01_alvo_treino.png"/>
                    <pic:cNvPicPr preferRelativeResize="0"/>
                  </pic:nvPicPr>
                  <pic:blipFill>
                    <a:blip r:embed="rIdChart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0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1 Distribuição ponderada do alvo no treino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2 Linhagem e qualidade da Gold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 Gold municipal construída na Fase 2 fornece alfabetização, média de português, presença e quantidade de alunos de 2023. PIB e composição do valor adicionado de 2021 e população de 2022 fornecem contexto econômico e demográfico. PIB per capita usa PIB e população do mesmo ano, 2021.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 participação da administração pública inclui administração, defesa, educação e saúde públicas e seguridade social: não é gasto isolado em educação. Os nomes territoriais atuais são apenas rótulos de relatório. Os valores históricos foram consultados na versão atual da fonte; não recuperamos as versões publicadas originalmente.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Também não há data individual da avaliação ou data exata de disponibilização do resultado municipal de 2023. Por isso a análise é retrospectiva, não uma certificação de previsão disponível no início de 2024.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Os joins preservaram a contagem de alunos. Indicadores econômicos e populacionais tiveram cobertura de 100%. A taxa municipal anterior e a média de português estão ausentes para 1,92% dos alunos; presença e quantidade anteriores, para 23,17%.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 análise descreve avaliados presentes com rótulo válido, excluindo ausentes e rótulos inválidos: não representa automaticamente todas as crianças brasileiras. A rede privada tem somente 24 observações na Gold e não sustenta conclusões específicas. A coluna peso é multiplicidade de registros, não o peso amostral do Inep.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715000" cy="2799772"/>
            <wp:effectExtent b="0" l="0" r="0" t="0"/>
            <wp:docPr descr="Figura 2 Ausência dos atributos no treino" id="202" name="02_faltantes_treino.png"/>
            <a:graphic>
              <a:graphicData uri="http://schemas.openxmlformats.org/drawingml/2006/picture">
                <pic:pic>
                  <pic:nvPicPr>
                    <pic:cNvPr descr="Figura 2 Ausência dos atributos no treino" id="202" name="02_faltantes_treino.png"/>
                    <pic:cNvPicPr preferRelativeResize="0"/>
                  </pic:nvPicPr>
                  <pic:blipFill>
                    <a:blip r:embed="rIdChart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99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2 Ausência dos atributos no treino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3 Exploração e hipóteses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H1: desempenho municipal anterior oferece sinal de risco em 2024. H2: PIB por habitante e composição econômica estão associados a oportunidades educacionais, sem provar causalidade. H3: porte populacional e presença anterior ajudam a contextualizar diferenças de infraestrutura e cobertura.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H4: redes e UFs têm padrões distintos. As distribuições, faltantes e correlações do treino fundamentaram log1p de população, PIB per capita e quantidade de alunos, indicadores de ausência e comparação de uma regressão regularizada com boosting. Correlação entre atributos históricos impede interpretar importância baixa como irrelevância do fenômeno.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715000" cy="1707293"/>
            <wp:effectExtent b="0" l="0" r="0" t="0"/>
            <wp:docPr descr="Figura 3 Distribuições ponderadas com escalas logarítmicas para PIB e população" id="203" name="03_distribuicoes_treino.png"/>
            <a:graphic>
              <a:graphicData uri="http://schemas.openxmlformats.org/drawingml/2006/picture">
                <pic:pic>
                  <pic:nvPicPr>
                    <pic:cNvPr descr="Figura 3 Distribuições ponderadas com escalas logarítmicas para PIB e população" id="203" name="03_distribuicoes_treino.png"/>
                    <pic:cNvPicPr preferRelativeResize="0"/>
                  </pic:nvPicPr>
                  <pic:blipFill>
                    <a:blip r:embed="rIdChart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07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3 Distribuições ponderadas com escalas logarítmicas para PIB e população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4572000" cy="4003280"/>
            <wp:effectExtent b="0" l="0" r="0" t="0"/>
            <wp:docPr descr="Figura 4 Correlações dos atributos numéricos" id="204" name="04_correlacoes_treino.png"/>
            <a:graphic>
              <a:graphicData uri="http://schemas.openxmlformats.org/drawingml/2006/picture">
                <pic:pic>
                  <pic:nvPicPr>
                    <pic:cNvPr descr="Figura 4 Correlações dos atributos numéricos" id="204" name="04_correlacoes_treino.png"/>
                    <pic:cNvPicPr preferRelativeResize="0"/>
                  </pic:nvPicPr>
                  <pic:blipFill>
                    <a:blip r:embed="rIdChart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0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4 Correlações dos atributos numéricos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4 Preparação e prevenção de vazamento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 pré-processamento está integrado ao Pipeline: mediana ponderada para numéricos, padronização ponderada, log1p para variáveis assimétricas, indicadores de valores ausentes e one-hot com tratamento de categorias inéditas. Cada etapa é ajustada só na partição de treino, inclusive em cada dobra de validação. Proficiência do próprio aluno em 2024, preenchimento do caderno, resultados municipais de 2024, taxas contemporâneas e campos derivados do alvo são proibidos.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IDs geográficos são usados como grupos; id_municipio não entra como atributo. Presença em 2024 define elegibilidade, não é preditor. O resultado é risco contextual: alunos com o mesmo conjunto de atributos recebem a mesma probabilidade.</w:t>
      </w:r>
    </w:p>
    <w:tbl>
      <w:tblPr>
        <w:tblStyle w:val="Table3"/>
        <w:tblW w:w="9345.0" w:type="dxa"/>
        <w:jc w:val="left"/>
        <w:tblLayout w:type="fixed"/>
        <w:tblLook w:val="0400"/>
      </w:tblPr>
      <w:tblGrid>
        <w:gridCol w:w="2200"/>
        <w:gridCol w:w="1150"/>
        <w:gridCol w:w="3600"/>
        <w:gridCol w:w="2395"/>
        <w:tblGridChange w:id="0">
          <w:tblGrid>
            <w:gridCol w:w="2200"/>
            <w:gridCol w:w="1150"/>
            <w:gridCol w:w="3600"/>
            <w:gridCol w:w="2395"/>
          </w:tblGrid>
        </w:tblGridChange>
      </w:tblGrid>
      <w:tr>
        <w:trPr>
          <w:cantSplit w:val="0"/>
          <w:trHeight w:val="480" w:hRule="atLeast"/>
          <w:tblHeader w:val="1"/>
          <w:tblHeader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B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Etapa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C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Entrada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D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Ajuste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E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Proteção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Imputação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Numéricos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Mediana ponderada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Somente treino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Transformação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PIB e porte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log1p e escala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Parâmetros do treino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Codificação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UF e rede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One hot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Categoria inédita aceita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Exclusão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Alvo 2024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Lista permitida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Proficiência proibida</w:t>
            </w:r>
            <w:r>
              <w:rPr>
                <w:rtl w:val="0"/>
              </w:rPr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 Fase 2 já havia agregado os alunos antes da Bronze. A evolução preserva os marts municipais e recupera o grão individual na origem. A Silver lógica tipa e filtra registros; a auditoria bloqueia chaves duplicadas. A Gold individual recebe contexto anterior e a Gold de perfis comprime repetições por atributos e rótulo, mantendo a contagem de alunos.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5 Desenho de validação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Municípios inteiros são divididos em treino, validação e teste com sementes fixas; não há município em dois conjuntos. Três dobras de GroupKFold no treino escolhem hiperparâmetros por Brier score. A validação separada escolhe a família e um limiar de risco que maximiza a acurácia balanceada.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 modelo permanece ajustado apenas no treino, preservando o significado desse limiar. O teste é avaliado após essas escolhas. Como a versão inicial do projeto já consultou esse mesmo teste, os novos resultados são uma revisão exploratória; uma avaliação confirmatória futura requer dados inéditos.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Os intervalos reamostram municípios, e não alunos como se fossem independentes. Ambiente, parâmetros, partições e hashes estão salvos.</w:t>
      </w:r>
    </w:p>
    <w:tbl>
      <w:tblPr>
        <w:tblStyle w:val="Table3"/>
        <w:tblW w:w="9345.0" w:type="dxa"/>
        <w:jc w:val="left"/>
        <w:tblLayout w:type="fixed"/>
        <w:tblLook w:val="0400"/>
      </w:tblPr>
      <w:tblGrid>
        <w:gridCol w:w="2200"/>
        <w:gridCol w:w="1150"/>
        <w:gridCol w:w="3600"/>
        <w:gridCol w:w="2395"/>
        <w:tblGridChange w:id="0">
          <w:tblGrid>
            <w:gridCol w:w="2200"/>
            <w:gridCol w:w="1150"/>
            <w:gridCol w:w="3600"/>
            <w:gridCol w:w="2395"/>
          </w:tblGrid>
        </w:tblGridChange>
      </w:tblGrid>
      <w:tr>
        <w:trPr>
          <w:cantSplit w:val="0"/>
          <w:trHeight w:val="480" w:hRule="atLeast"/>
          <w:tblHeader w:val="1"/>
          <w:tblHeader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B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Partição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C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Municípios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D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Alunos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E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Papel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Treino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3.309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1.131.103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Ajuste e busca interna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Validação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1.104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390.717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Família e limiar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Teste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1.104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330.968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Avaliação exploratória</w:t>
            </w:r>
            <w:r>
              <w:rPr>
                <w:rtl w:val="0"/>
              </w:rPr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Foram usadas três dobras internas por município. A busca comparou quatro valores de C na regressão logística e quatro combinações de complexidade e regularização no boosting. O bootstrap utilizou 250 reamostragens de municípios. A incerteza expressa variação entre esses municípios e não substitui validação em outro período.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6 Modelos e resultados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Foram comparados baseline de prevalência, regressão logística e HistGradientBoosting, com regularização e complexidade limitada. O vencedor da validação foi logistica. No teste: ROC-AUC 0.649 (IC 95% por município 0.612–0.682), Brier 0.220 contra 0.237 do baseline, AP de risco 0.521 contra prevalência de risco 0.381.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No limiar exploratório 0.38, recall de risco 69.6%, precisão 46.9%, acurácia balanceada 60.5% e 56.6% das observações sinalizadas. Esse limiar ilustra um compromisso estatístico; capacidade de atendimento e custo dos erros precisam orientar o limiar operacional.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715000" cy="3210149"/>
            <wp:effectExtent b="0" l="0" r="0" t="0"/>
            <wp:docPr descr="Figura 5 Comparação de famílias na validação" id="205" name="05_comparacao_modelos.png"/>
            <a:graphic>
              <a:graphicData uri="http://schemas.openxmlformats.org/drawingml/2006/picture">
                <pic:pic>
                  <pic:nvPicPr>
                    <pic:cNvPr descr="Figura 5 Comparação de famílias na validação" id="205" name="05_comparacao_modelos.png"/>
                    <pic:cNvPicPr preferRelativeResize="0"/>
                  </pic:nvPicPr>
                  <pic:blipFill>
                    <a:blip r:embed="rIdChart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0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5 Comparação de famílias na validação</w:t>
      </w:r>
    </w:p>
    <w:tbl>
      <w:tblPr>
        <w:tblStyle w:val="Table3"/>
        <w:tblW w:w="9345.0" w:type="dxa"/>
        <w:jc w:val="left"/>
        <w:tblLayout w:type="fixed"/>
        <w:tblLook w:val="0400"/>
      </w:tblPr>
      <w:tblGrid>
        <w:gridCol w:w="2200"/>
        <w:gridCol w:w="1150"/>
        <w:gridCol w:w="3600"/>
        <w:gridCol w:w="2395"/>
        <w:tblGridChange w:id="0">
          <w:tblGrid>
            <w:gridCol w:w="2200"/>
            <w:gridCol w:w="1150"/>
            <w:gridCol w:w="3600"/>
            <w:gridCol w:w="2395"/>
          </w:tblGrid>
        </w:tblGridChange>
      </w:tblGrid>
      <w:tr>
        <w:trPr>
          <w:cantSplit w:val="0"/>
          <w:trHeight w:val="480" w:hRule="atLeast"/>
          <w:tblHeader w:val="1"/>
          <w:tblHeader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B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Métrica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C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Baseline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D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Limiar 0,50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 w14:paraId="0000002E">
            <w:pPr>
              <w:keepNext w:val="0"/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Limiar 0,38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Acurácia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61,9%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65,1%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58,3%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Recall de risco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0,0%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28,6%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69,6%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Precisão de risco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0,0%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58,7%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46,9%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2F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Fração sinalizada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0">
            <w:pPr>
              <w:keepNext w:val="0"/>
              <w:spacing w:after="0" w:before="0" w:line="24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0,0%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1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18,6%</w:t>
            </w:r>
            <w:r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 w14:paraId="00000032">
            <w:pPr>
              <w:keepNext w:val="0"/>
              <w:spacing w:after="0" w:before="0" w:line="24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56,6%</w:t>
            </w:r>
            <w:r>
              <w:rPr>
                <w:rtl w:val="0"/>
              </w:rPr>
            </w:r>
          </w:p>
        </w:tc>
      </w:tr>
    </w:tbl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7 Discriminação calibração e erros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 área ROC de 0,649 indica separação limitada. A precisão média de risco supera a prevalência de não alfabetização do teste, mas ainda há muitos falsos positivos. O limiar 0,38 identifica 87.897 observações não alfabetizadas e sinaliza incorretamente 99.512 alfabetizadas. Permanecem 38.363 não alfabetizadas sem sinalização.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715000" cy="2022079"/>
            <wp:effectExtent b="0" l="0" r="0" t="0"/>
            <wp:docPr descr="Figura 6 Curvas ROC e precisão recall no teste" id="206" name="06_roc_pr_teste.png"/>
            <a:graphic>
              <a:graphicData uri="http://schemas.openxmlformats.org/drawingml/2006/picture">
                <pic:pic>
                  <pic:nvPicPr>
                    <pic:cNvPr descr="Figura 6 Curvas ROC e precisão recall no teste" id="206" name="06_roc_pr_teste.png"/>
                    <pic:cNvPicPr preferRelativeResize="0"/>
                  </pic:nvPicPr>
                  <pic:blipFill>
                    <a:blip r:embed="rIdChart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22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6 Curvas ROC e precisão recall no teste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715000" cy="2164613"/>
            <wp:effectExtent b="0" l="0" r="0" t="0"/>
            <wp:docPr descr="Figura 7 Calibração e matriz de confusão no limiar selecionado" id="207" name="07_calibracao_confusao.png"/>
            <a:graphic>
              <a:graphicData uri="http://schemas.openxmlformats.org/drawingml/2006/picture">
                <pic:pic>
                  <pic:nvPicPr>
                    <pic:cNvPr descr="Figura 7 Calibração e matriz de confusão no limiar selecionado" id="207" name="07_calibracao_confusao.png"/>
                    <pic:cNvPicPr preferRelativeResize="0"/>
                  </pic:nvPicPr>
                  <pic:blipFill>
                    <a:blip r:embed="rIdChart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6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7 Calibração e matriz de confusão no limiar selecionado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8 Interpretação das variáveis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Os atributos com maior aumento no Brier após permutação foram: Média de português (2023), Unidade da Federação, População (2022). A permutação mantém juntas as duas classes de cada perfil contextual. Os valores representam importância preditiva, não efeito causal.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 correlação entre variáveis e combinações artificiais geradas pela permutação limitam a interpretação. O enunciado recomenda Feature Importance e SHAP; usamos importância por permutação como técnica de explicabilidade, com importância global das variáveis originais.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715000" cy="3384261"/>
            <wp:effectExtent b="0" l="0" r="0" t="0"/>
            <wp:docPr descr="Figura 8 Variação do Brier por permutação contextual" id="208" name="08_importancia.png"/>
            <a:graphic>
              <a:graphicData uri="http://schemas.openxmlformats.org/drawingml/2006/picture">
                <pic:pic>
                  <pic:nvPicPr>
                    <pic:cNvPr descr="Figura 8 Variação do Brier por permutação contextual" id="208" name="08_importancia.png"/>
                    <pic:cNvPicPr preferRelativeResize="0"/>
                  </pic:nvPicPr>
                  <pic:blipFill>
                    <a:blip r:embed="rIdChart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4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8 Variação do Brier por permutação contextual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 quantidade de alunos em 2023 apresentou importância negativa no teste. Isso pode refletir ruído, redundância ou instabilidade; não autoriza retirar o atributo e reutilizar o mesmo teste como confirmação. Uma nova hipótese exige nova validação independente.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9 Diferenças entre territórios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715000" cy="2815929"/>
            <wp:effectExtent b="0" l="0" r="0" t="0"/>
            <wp:docPr descr="Figura 9 Recall de não alfabetização por UF" id="209" name="09_recortes_uf.png"/>
            <a:graphic>
              <a:graphicData uri="http://schemas.openxmlformats.org/drawingml/2006/picture">
                <pic:pic>
                  <pic:nvPicPr>
                    <pic:cNvPr descr="Figura 9 Recall de não alfabetização por UF" id="209" name="09_recortes_uf.png"/>
                    <pic:cNvPicPr preferRelativeResize="0"/>
                  </pic:nvPicPr>
                  <pic:blipFill>
                    <a:blip r:embed="rIdChart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5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9 Recall de não alfabetização por UF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 recall varia fortemente entre UFs, em alguns recortes ficando próximo de zero e em outros de um. A média nacional esconde essa heterogeneidade. Os recortes com menos de 30 municípios ou 1.000 observações recebem indicação de baixa base. A rede privada tem apenas 24 observações na Gold e não permite conclusão específica.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Antes de qualquer aplicação, é necessário avaliar os erros com as equipes locais e considerar capacidade de atendimento, cobertura da avaliação e disponibilidade de recursos. As pontuações não devem rotular a capacidade de uma criança nem determinar restrições de acesso a apoio.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10 Respostas estratégicas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Quais fatores impactam? O estudo identifica associações preditivas nos atributos históricos, econômicos e territoriais; não estima impacto causal.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Quais municípios têm maior risco? O CSV risco_municipios_teste.csv apresenta o ranking em municípios não vistos, com população avaliada e risco contextual de 2024.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Quais regiões têm padrões semelhantes? K-means agrupa municípios por população, PIB por habitante e composição econômica; clusters_por_regiao.csv mostra a composição regional. Os grupos são descritivos e não classificam crianças.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Como antecipar metas futuras? Os cenários comparam a taxa observada de 2024 às metas publicadas de 2025, supondo estabilidade ou crescimento de 5/10 pontos percentuais; não são probabilidades previstas nem evidência de resultado de 2025.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Quais variáveis influenciam o modelo? O relatório de permutação e o gráfico de importância respondem diretamente.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No teste, Coronel João Sá na Bahia tem risco médio estimado de 75,8% em 111 observações e Senhor do Bonfim de 73,8% em 487. Os valores descrevem os avaliados elegíveis de 2024, não todas as crianças desses municípios.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029200" cy="3093357"/>
            <wp:effectExtent b="0" l="0" r="0" t="0"/>
            <wp:docPr descr="Figura 10 Grupos descritivos de porte e estrutura econômica" id="210" name="10_perfis_territoriais.png"/>
            <a:graphic>
              <a:graphicData uri="http://schemas.openxmlformats.org/drawingml/2006/picture">
                <pic:pic>
                  <pic:nvPicPr>
                    <pic:cNvPr descr="Figura 10 Grupos descritivos de porte e estrutura econômica" id="210" name="10_perfis_territoriais.png"/>
                    <pic:cNvPicPr preferRelativeResize="0"/>
                  </pic:nvPicPr>
                  <pic:blipFill>
                    <a:blip r:embed="rIdChart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3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10 Grupos descritivos de porte e estrutura econômica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11 Metas e próximas evoluções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Em 5,352 pares município/rede com resultado e meta disponíveis, 3,030 ficariam abaixo da meta de 2025 caso a taxa de 2024 permanecesse constante. Esses números são cenários condicionais, sem afirmação de desempenho futuro. Gestores podem cruzar risco, número de alunos, disponibilidade de apoio e conhecimento local para organizar visitas, formação docente e investigação de barreiras.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Ações devem ser acompanhadas por indicadores e, quando possível, avaliadas com desenho causal apropriado.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/>
        <w:drawing>
          <wp:inline distB="0" distT="0" distL="114300" distR="114300">
            <wp:extent cx="5715000" cy="2807686"/>
            <wp:effectExtent b="0" l="0" r="0" t="0"/>
            <wp:docPr descr="Figura 11 Cenários condicionais de metas de 2025" id="211" name="11_cenarios_metas.png"/>
            <a:graphic>
              <a:graphicData uri="http://schemas.openxmlformats.org/drawingml/2006/picture">
                <pic:pic>
                  <pic:nvPicPr>
                    <pic:cNvPr descr="Figura 11 Cenários condicionais de metas de 2025" id="211" name="11_cenarios_metas.png"/>
                    <pic:cNvPicPr preferRelativeResize="0"/>
                  </pic:nvPicPr>
                  <pic:blipFill>
                    <a:blip r:embed="rIdChart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7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200" w:lineRule="auto"/>
        <w:rPr>
          <w:color w:val="666666"/>
        </w:rPr>
      </w:pPr>
      <w:r>
        <w:rPr>
          <w:color w:val="666666"/>
          <w:rtl w:val="0"/>
        </w:rPr>
        <w:t>Figura 11 Cenários condicionais de metas de 2025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Faltam atributos prévios próprios da criança, como trajetória de aprendizagem em momentos anteriores, com vínculo confiável e governança adequada. Não há teste temporal, pois a combinação utilizada tem uma única coorte 2023→2024. Agregação comprime perfis sem perder contagens para o objetivo ponderado, mas não cria independência entre alunos do mesmo contexto.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 boosting determina cortes também a partir da distribuição de perfis; não se afirma identidade numérica com uma execução expandida aluno a aluno. Mudanças de população, revisão de séries e novas metas podem alterar o desempenho. São necessárias novas coortes, validação externa, avaliação das diferenças de erro e monitoramento de calibração antes de uso operacional.</w:t>
      </w:r>
    </w:p>
    <w:p>
      <w:pPr>
        <w:pStyle w:val="Heading1"/>
        <w:keepNext w:val="1"/>
        <w:pageBreakBefore w:val="0"/>
        <w:spacing w:after="200" w:before="320" w:line="240" w:lineRule="auto"/>
        <w:rPr/>
        <w:pageBreakBefore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>12 Evidências e reprodução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Abra a pasta do projeto no VS Code, selecione o ambiente Python, confira config.json e execute run_project.py pelo botão Run Python File. O cache local permite repetir a análise; a primeira coleta em outro computador requer dependências e credenciais BigQuery. Execute verify_project.py para os testes do contrato de modelagem.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metricas_teste.json: métricas e intervalos.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busca_hiperparametros.csv: todas as configurações.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comparacao_validacao.csv: seleção da família.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metricas_por_grupo.csv: recortes de UF e rede.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linhagem_dados.json e execucao.json: origem, hash e versões.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particoes_municipios.csv: partição de cada município.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O repositório contém SQL, preparação, modelagem, avaliação, visualização, configuração e versões fixadas. O dicionário documenta atributos e unidades; o checklist relaciona cada exigência às evidências. O vídeo executivo apresenta problema, resultados, limitações e aplicação pública em menos de cinco minutos.</w:t>
      </w:r>
    </w:p>
    <w:p>
      <w:pPr>
        <w:pStyle w:val="Heading2"/>
        <w:keepNext w:val="1"/>
        <w:pageBreakBefore w:val="0"/>
        <w:spacing w:after="80" w:before="140"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11111"/>
          <w:sz w:val="18"/>
          <w:szCs w:val="18"/>
          <w:rtl w:val="0"/>
        </w:rPr>
        <w:t>Fontes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Fonte educacional — Base dos Dados — https://basedosdados.org/dataset/073a39d4-89cf-4068-b1e8-34ed0d9c0b72.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IBGE: PIB municipal 2021, disponibilizado em dezembro de 2023 — https://ftp.ibge.gov.br/Pib_Municipios/2021/.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IBGE: população do Censo 2022, primeiros resultados em junho de 2023 — https://censo2022.ibge.gov.br/panorama/downloads.html?localidade=3302601&amp;tema=1.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Código da Fase 2 — https://github.com/gabriel-duarte-martins/FIAP-AISCIENTIST-TECH-CHALLENGE-2</w:t>
      </w:r>
    </w:p>
    <w:p>
      <w:pPr>
        <w:keepNext w:val="0"/>
        <w:keepLines w:val="1"/>
        <w:pageBreakBefore w:val="0"/>
        <w:spacing w:after="180" w:before="0" w:line="24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111111"/>
          <w:sz w:val="18"/>
          <w:szCs w:val="18"/>
          <w:rtl w:val="0"/>
        </w:rPr>
        <w:t>Código da Fase 3 — https://github.com/gabriel-duarte-martins/FIAP-AISCIENTIST-TECH-CHALLENGE-3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rPr>
        <w:color w:val="999999"/>
        <w:sz w:val="18"/>
        <w:szCs w:val="18"/>
      </w:rPr>
    </w:pPr>
    <w:r>
      <w:rPr>
        <w:color w:val="999999"/>
        <w:sz w:val="18"/>
        <w:szCs w:val="18"/>
        <w:rtl w:val="0"/>
      </w:rPr>
      <w:t xml:space="preserve">FIAP AI Scientist   Alfabetização no Brasil</w:t>
      <w:tab/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</w:rPr>
    </w:pPr>
    <w:r>
      <w:rPr>
        <w:color w:val="999999"/>
        <w:sz w:val="18"/>
        <w:szCs w:val="18"/>
        <w:rtl w:val="0"/>
      </w:rPr>
      <w:t xml:space="preserve">Tech Challenge Fase 3   Setembro 2026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Chart01" Type="http://schemas.openxmlformats.org/officeDocument/2006/relationships/image" Target="media/chart_01_alvo_treino.png"/><Relationship Id="rIdChart02" Type="http://schemas.openxmlformats.org/officeDocument/2006/relationships/image" Target="media/chart_02_faltantes_treino.png"/><Relationship Id="rIdChart03" Type="http://schemas.openxmlformats.org/officeDocument/2006/relationships/image" Target="media/chart_03_distribuicoes_treino.png"/><Relationship Id="rIdChart04" Type="http://schemas.openxmlformats.org/officeDocument/2006/relationships/image" Target="media/chart_04_correlacoes_treino.png"/><Relationship Id="rIdChart05" Type="http://schemas.openxmlformats.org/officeDocument/2006/relationships/image" Target="media/chart_05_comparacao_modelos.png"/><Relationship Id="rIdChart06" Type="http://schemas.openxmlformats.org/officeDocument/2006/relationships/image" Target="media/chart_06_roc_pr_teste.png"/><Relationship Id="rIdChart07" Type="http://schemas.openxmlformats.org/officeDocument/2006/relationships/image" Target="media/chart_07_calibracao_confusao.png"/><Relationship Id="rIdChart08" Type="http://schemas.openxmlformats.org/officeDocument/2006/relationships/image" Target="media/chart_08_importancia.png"/><Relationship Id="rIdChart09" Type="http://schemas.openxmlformats.org/officeDocument/2006/relationships/image" Target="media/chart_09_recortes_uf.png"/><Relationship Id="rIdChart10" Type="http://schemas.openxmlformats.org/officeDocument/2006/relationships/image" Target="media/chart_10_perfis_territoriais.png"/><Relationship Id="rIdChart11" Type="http://schemas.openxmlformats.org/officeDocument/2006/relationships/image" Target="media/chart_11_cenarios_meta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