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4114800" cy="4826732"/>
            <wp:docPr id="3" name="Picture 3"/>
            <wp:cNvGraphicFramePr>
              <a:graphicFrameLocks noChangeAspect="1"/>
            </wp:cNvGraphicFramePr>
            <a:graphic>
              <a:graphicData uri="http://schemas.openxmlformats.org/drawingml/2006/picture">
                <pic:pic>
                  <pic:nvPicPr>
                    <pic:cNvPr id="0" name="c4-container-monolith.png"/>
                    <pic:cNvPicPr/>
                  </pic:nvPicPr>
                  <pic:blipFill>
                    <a:blip r:embed="rId20"/>
                    <a:stretch>
                      <a:fillRect/>
                    </a:stretch>
                  </pic:blipFill>
                  <pic:spPr>
                    <a:xfrm>
                      <a:off x="0" y="0"/>
                      <a:ext cx="4114800" cy="4826732"/>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572000" cy="13247206"/>
            <wp:docPr id="2" name="Picture 2"/>
            <wp:cNvGraphicFramePr>
              <a:graphicFrameLocks noChangeAspect="1"/>
            </wp:cNvGraphicFramePr>
            <a:graphic>
              <a:graphicData uri="http://schemas.openxmlformats.org/drawingml/2006/picture">
                <pic:pic>
                  <pic:nvPicPr>
                    <pic:cNvPr id="0" name="c4-container-microservices.png"/>
                    <pic:cNvPicPr/>
                  </pic:nvPicPr>
                  <pic:blipFill>
                    <a:blip r:embed="rId16"/>
                    <a:stretch>
                      <a:fillRect/>
                    </a:stretch>
                  </pic:blipFill>
                  <pic:spPr>
                    <a:xfrm>
                      <a:off x="0" y="0"/>
                      <a:ext cx="4572000" cy="13247206"/>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r>
        <w:t xml:space="preserve">Tabela 2. Complexidade ciclomatica e indice de manutenibilidade por base de codigo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codigo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r>
        <w:t xml:space="preserve">Tabela 3. Acoplamento entre pacotes e coesao de classes por base de codigo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codigo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Modulos</w:t>
            </w:r>
          </w:p>
        </w:tc>
        <w:tc>
          <w:tcPr>
            <w:tcW w:type="dxa" w:w="1296"/>
          </w:tcPr>
          <w:p>
            <w:pPr>
              <w:spacing w:before="0" w:after="0"/>
              <w:jc w:val="center"/>
            </w:pPr>
            <w:r/>
            <w:r>
              <w:rPr>
                <w:rFonts w:ascii="Arial" w:hAnsi="Arial"/>
                <w:b w:val="0"/>
                <w:sz w:val="22"/>
              </w:rPr>
              <w:t>Instabilidade media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media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r>
        <w:t xml:space="preserve">Tabela 4. Latencia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Media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r>
        <w:t xml:space="preserve">Tabela 5. Tempos de implementacao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Iteracoes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r>
        <w:t xml:space="preserve">Tabela 6. Comparacao sintetica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Metrica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Observacao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media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nao mensuravel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media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Microsservico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Migracao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rapido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(Catalogo)</w:t>
            </w:r>
          </w:p>
        </w:tc>
      </w:tr>
    </w:tbl>
    <w:p>
      <w:pPr/>
      <w:r>
        <w:t xml:space="preserve">Fonte: Resultados originais da pesquisa</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