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0A58" w14:textId="0BCE534D"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Business Problem</w:t>
      </w:r>
    </w:p>
    <w:p w14:paraId="5590BA44" w14:textId="66BB6FCC"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We will be exploring the relationship between elections in the stock market. We will examine the S&amp;P 500’s future performance relative to various election cycles to determine if there is any correlation between the voter sentiment and the stock market.</w:t>
      </w:r>
    </w:p>
    <w:p w14:paraId="4D29779C"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47CDD840" w14:textId="43BF48C1"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Background/History</w:t>
      </w:r>
    </w:p>
    <w:p w14:paraId="2D72C9F4" w14:textId="5915120D"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The S&amp;P is considered the benchmark of American investment. </w:t>
      </w:r>
      <w:r w:rsidR="00F23C31">
        <w:rPr>
          <w:rFonts w:ascii="Open Sans" w:hAnsi="Open Sans" w:cs="Open Sans"/>
          <w:color w:val="262626"/>
          <w:sz w:val="21"/>
          <w:szCs w:val="21"/>
        </w:rPr>
        <w:t>Its</w:t>
      </w:r>
      <w:r>
        <w:rPr>
          <w:rFonts w:ascii="Open Sans" w:hAnsi="Open Sans" w:cs="Open Sans"/>
          <w:color w:val="262626"/>
          <w:sz w:val="21"/>
          <w:szCs w:val="21"/>
        </w:rPr>
        <w:t xml:space="preserve"> performance reflects several things, such as public </w:t>
      </w:r>
      <w:r w:rsidR="00F23C31">
        <w:rPr>
          <w:rFonts w:ascii="Open Sans" w:hAnsi="Open Sans" w:cs="Open Sans"/>
          <w:color w:val="262626"/>
          <w:sz w:val="21"/>
          <w:szCs w:val="21"/>
        </w:rPr>
        <w:t>sentiment</w:t>
      </w:r>
      <w:r>
        <w:rPr>
          <w:rFonts w:ascii="Open Sans" w:hAnsi="Open Sans" w:cs="Open Sans"/>
          <w:color w:val="262626"/>
          <w:sz w:val="21"/>
          <w:szCs w:val="21"/>
        </w:rPr>
        <w:t xml:space="preserve">, employment, inflation, crisis, and wealth creation. No one knows the future price of the S&amp;P, but quants, </w:t>
      </w:r>
      <w:r w:rsidR="00F23C31">
        <w:rPr>
          <w:rFonts w:ascii="Open Sans" w:hAnsi="Open Sans" w:cs="Open Sans"/>
          <w:color w:val="262626"/>
          <w:sz w:val="21"/>
          <w:szCs w:val="21"/>
        </w:rPr>
        <w:t>economists</w:t>
      </w:r>
      <w:r>
        <w:rPr>
          <w:rFonts w:ascii="Open Sans" w:hAnsi="Open Sans" w:cs="Open Sans"/>
          <w:color w:val="262626"/>
          <w:sz w:val="21"/>
          <w:szCs w:val="21"/>
        </w:rPr>
        <w:t>, and hedge funds explore correlations to future performance to better understand influences.</w:t>
      </w:r>
    </w:p>
    <w:p w14:paraId="32411ACE"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63461968" w14:textId="3196125E"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Elections take place every 2 years in this country and power shifts between two major parties: Democrat and Republicans.</w:t>
      </w:r>
      <w:r w:rsidR="00601EA8">
        <w:rPr>
          <w:rFonts w:ascii="Open Sans" w:hAnsi="Open Sans" w:cs="Open Sans"/>
          <w:color w:val="262626"/>
          <w:sz w:val="21"/>
          <w:szCs w:val="21"/>
        </w:rPr>
        <w:t xml:space="preserve"> While some turbulence occurs (impeachments, resignations, assassinations, refusal to accept nomination, dropping out of race), elections represent the transfer of power between parties, and the entire nation is impacted by the results.</w:t>
      </w:r>
    </w:p>
    <w:p w14:paraId="47AF4D8E"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2BF0F2FF" w14:textId="77777777"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Data Explanation (Data Prep/Data Dictionary/etc.)</w:t>
      </w:r>
    </w:p>
    <w:p w14:paraId="08C07BB5"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21B7B8A2" w14:textId="654B7F01"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To find</w:t>
      </w:r>
      <w:r w:rsidR="00833B33">
        <w:rPr>
          <w:rFonts w:ascii="Open Sans" w:hAnsi="Open Sans" w:cs="Open Sans"/>
          <w:color w:val="262626"/>
          <w:sz w:val="21"/>
          <w:szCs w:val="21"/>
        </w:rPr>
        <w:t xml:space="preserve"> early performance of</w:t>
      </w:r>
      <w:r>
        <w:rPr>
          <w:rFonts w:ascii="Open Sans" w:hAnsi="Open Sans" w:cs="Open Sans"/>
          <w:color w:val="262626"/>
          <w:sz w:val="21"/>
          <w:szCs w:val="21"/>
        </w:rPr>
        <w:t xml:space="preserve"> </w:t>
      </w:r>
      <w:r w:rsidR="00833B33">
        <w:rPr>
          <w:rFonts w:ascii="Open Sans" w:hAnsi="Open Sans" w:cs="Open Sans"/>
          <w:color w:val="262626"/>
          <w:sz w:val="21"/>
          <w:szCs w:val="21"/>
        </w:rPr>
        <w:t>the S&amp;P, we can download the symbol GSPC from yfinance</w:t>
      </w:r>
      <w:r w:rsidR="008055CA">
        <w:rPr>
          <w:rFonts w:ascii="Open Sans" w:hAnsi="Open Sans" w:cs="Open Sans"/>
          <w:color w:val="262626"/>
          <w:sz w:val="21"/>
          <w:szCs w:val="21"/>
        </w:rPr>
        <w:t>, a popular python library for downloading stock data.</w:t>
      </w:r>
      <w:r w:rsidR="00833B33">
        <w:rPr>
          <w:rFonts w:ascii="Open Sans" w:hAnsi="Open Sans" w:cs="Open Sans"/>
          <w:color w:val="262626"/>
          <w:sz w:val="21"/>
          <w:szCs w:val="21"/>
        </w:rPr>
        <w:t xml:space="preserve"> We then compare January to January to find yearly performance. U.S. elections are manually extracted from </w:t>
      </w:r>
      <w:r w:rsidR="00C07196">
        <w:rPr>
          <w:rFonts w:ascii="Open Sans" w:hAnsi="Open Sans" w:cs="Open Sans"/>
          <w:color w:val="262626"/>
          <w:sz w:val="21"/>
          <w:szCs w:val="21"/>
        </w:rPr>
        <w:lastRenderedPageBreak/>
        <w:t xml:space="preserve">270towin’s election maps. </w:t>
      </w:r>
      <w:r w:rsidR="008055CA">
        <w:rPr>
          <w:rFonts w:ascii="Open Sans" w:hAnsi="Open Sans" w:cs="Open Sans"/>
          <w:color w:val="262626"/>
          <w:sz w:val="21"/>
          <w:szCs w:val="21"/>
        </w:rPr>
        <w:t>Utilizing the year as the primary key, we can then layer the year over year performance with the elections of presidents over time.</w:t>
      </w:r>
    </w:p>
    <w:p w14:paraId="5A623F2D" w14:textId="77777777" w:rsidR="00AF4024"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05FDD75" w14:textId="38FFFFC3"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Methods</w:t>
      </w:r>
      <w:r w:rsidR="008055CA" w:rsidRPr="003D6159">
        <w:rPr>
          <w:rFonts w:ascii="Open Sans" w:hAnsi="Open Sans" w:cs="Open Sans"/>
          <w:color w:val="262626"/>
          <w:sz w:val="21"/>
          <w:szCs w:val="21"/>
          <w:u w:val="single"/>
        </w:rPr>
        <w:t xml:space="preserve"> &amp; </w:t>
      </w:r>
      <w:r w:rsidRPr="003D6159">
        <w:rPr>
          <w:rFonts w:ascii="Open Sans" w:hAnsi="Open Sans" w:cs="Open Sans"/>
          <w:color w:val="262626"/>
          <w:sz w:val="21"/>
          <w:szCs w:val="21"/>
          <w:u w:val="single"/>
        </w:rPr>
        <w:t>Analysis</w:t>
      </w:r>
    </w:p>
    <w:p w14:paraId="0DF6409B"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3EA5A969" w14:textId="4FB10125"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We first group years according to their election mapping. Of the years since 1950, 38 were nonelection years, 19 were midterms, and 19 were presidential. Boxplots excel in showing the distribution of stock market performance. We can clearly see the difference between the non-election year means vs </w:t>
      </w:r>
      <w:r w:rsidR="003D6159">
        <w:rPr>
          <w:rFonts w:ascii="Open Sans" w:hAnsi="Open Sans" w:cs="Open Sans"/>
          <w:color w:val="262626"/>
          <w:sz w:val="21"/>
          <w:szCs w:val="21"/>
        </w:rPr>
        <w:t>midterm</w:t>
      </w:r>
      <w:r>
        <w:rPr>
          <w:rFonts w:ascii="Open Sans" w:hAnsi="Open Sans" w:cs="Open Sans"/>
          <w:color w:val="262626"/>
          <w:sz w:val="21"/>
          <w:szCs w:val="21"/>
        </w:rPr>
        <w:t xml:space="preserve"> and </w:t>
      </w:r>
      <w:r w:rsidR="003D6159">
        <w:rPr>
          <w:rFonts w:ascii="Open Sans" w:hAnsi="Open Sans" w:cs="Open Sans"/>
          <w:color w:val="262626"/>
          <w:sz w:val="21"/>
          <w:szCs w:val="21"/>
        </w:rPr>
        <w:t>presidential</w:t>
      </w:r>
      <w:r>
        <w:rPr>
          <w:rFonts w:ascii="Open Sans" w:hAnsi="Open Sans" w:cs="Open Sans"/>
          <w:color w:val="262626"/>
          <w:sz w:val="21"/>
          <w:szCs w:val="21"/>
        </w:rPr>
        <w:t>.</w:t>
      </w:r>
    </w:p>
    <w:p w14:paraId="6773E573"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84E513D" w14:textId="61AAB073"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601EA8">
        <w:rPr>
          <w:rFonts w:ascii="Open Sans" w:hAnsi="Open Sans" w:cs="Open Sans"/>
          <w:noProof/>
          <w:color w:val="262626"/>
          <w:sz w:val="21"/>
          <w:szCs w:val="21"/>
        </w:rPr>
        <w:drawing>
          <wp:inline distT="0" distB="0" distL="0" distR="0" wp14:anchorId="6C400F34" wp14:editId="26D8D0F3">
            <wp:extent cx="5943600" cy="1938655"/>
            <wp:effectExtent l="0" t="0" r="0" b="4445"/>
            <wp:docPr id="592189656"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656" name="Picture 1" descr="A comparison of a graph&#10;&#10;AI-generated content may be incorrect."/>
                    <pic:cNvPicPr/>
                  </pic:nvPicPr>
                  <pic:blipFill>
                    <a:blip r:embed="rId7"/>
                    <a:stretch>
                      <a:fillRect/>
                    </a:stretch>
                  </pic:blipFill>
                  <pic:spPr>
                    <a:xfrm>
                      <a:off x="0" y="0"/>
                      <a:ext cx="5943600" cy="1938655"/>
                    </a:xfrm>
                    <a:prstGeom prst="rect">
                      <a:avLst/>
                    </a:prstGeom>
                  </pic:spPr>
                </pic:pic>
              </a:graphicData>
            </a:graphic>
          </wp:inline>
        </w:drawing>
      </w:r>
    </w:p>
    <w:p w14:paraId="5273CD5E"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CE69D4B"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6C5FB6D1" w14:textId="53234ECE"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To examine S&amp;P performance over time, we can utilize a line chart over time with returns plotted with Democrat and Republicans. This chart is a big noisier, but that’s because there were no consistent edges for market return based on political party. This is some correlation between massive drops in the market and the “throw the bums out” </w:t>
      </w:r>
      <w:r>
        <w:rPr>
          <w:rFonts w:ascii="Open Sans" w:hAnsi="Open Sans" w:cs="Open Sans"/>
          <w:color w:val="262626"/>
          <w:sz w:val="21"/>
          <w:szCs w:val="21"/>
        </w:rPr>
        <w:lastRenderedPageBreak/>
        <w:t>theory. It’s possible that the 2000 (Democrat), 2008 (Republican), and 2022 (Democrat) returns created market anxiety, which triggered a backlash against the incumbent’s party.</w:t>
      </w:r>
    </w:p>
    <w:p w14:paraId="7D082520"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AEF0BA1" w14:textId="1260686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601EA8">
        <w:rPr>
          <w:rFonts w:ascii="Open Sans" w:hAnsi="Open Sans" w:cs="Open Sans"/>
          <w:noProof/>
          <w:color w:val="262626"/>
          <w:sz w:val="21"/>
          <w:szCs w:val="21"/>
        </w:rPr>
        <w:drawing>
          <wp:inline distT="0" distB="0" distL="0" distR="0" wp14:anchorId="1791F29D" wp14:editId="123F5885">
            <wp:extent cx="5943600" cy="2424430"/>
            <wp:effectExtent l="0" t="0" r="0" b="1270"/>
            <wp:docPr id="202415036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0362" name="Picture 1" descr="A graph with lines and dots&#10;&#10;AI-generated content may be incorrect."/>
                    <pic:cNvPicPr/>
                  </pic:nvPicPr>
                  <pic:blipFill>
                    <a:blip r:embed="rId8"/>
                    <a:stretch>
                      <a:fillRect/>
                    </a:stretch>
                  </pic:blipFill>
                  <pic:spPr>
                    <a:xfrm>
                      <a:off x="0" y="0"/>
                      <a:ext cx="5943600" cy="2424430"/>
                    </a:xfrm>
                    <a:prstGeom prst="rect">
                      <a:avLst/>
                    </a:prstGeom>
                  </pic:spPr>
                </pic:pic>
              </a:graphicData>
            </a:graphic>
          </wp:inline>
        </w:drawing>
      </w:r>
    </w:p>
    <w:p w14:paraId="0463ADED" w14:textId="77777777"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367695B8" w14:textId="1C5447EB"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We can also examine the return distribution by party, which on average favors democrats (+12%) over republicans (8%). However, we conducted a t-test, and with a value of 0.19, we reject the null hypothesis that political parties influence future stock market returns. It’s important to note that the Great Depression was omitted due to data starting in the 1950s, but interestingly, that would coincide with more favorable returns from Democrats and negative returns for Republicans.</w:t>
      </w:r>
    </w:p>
    <w:p w14:paraId="2C8EDDE8" w14:textId="2426B4DD"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sidRPr="003D6159">
        <w:rPr>
          <w:rFonts w:ascii="Open Sans" w:hAnsi="Open Sans" w:cs="Open Sans"/>
          <w:noProof/>
          <w:color w:val="262626"/>
          <w:sz w:val="21"/>
          <w:szCs w:val="21"/>
        </w:rPr>
        <w:lastRenderedPageBreak/>
        <w:drawing>
          <wp:inline distT="0" distB="0" distL="0" distR="0" wp14:anchorId="7BF547BE" wp14:editId="3836DD5C">
            <wp:extent cx="5943600" cy="2081530"/>
            <wp:effectExtent l="0" t="0" r="0" b="1270"/>
            <wp:docPr id="2082535065" name="Picture 1" descr="A graph and diagram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35065" name="Picture 1" descr="A graph and diagram of a political party&#10;&#10;AI-generated content may be incorrect."/>
                    <pic:cNvPicPr/>
                  </pic:nvPicPr>
                  <pic:blipFill>
                    <a:blip r:embed="rId9"/>
                    <a:stretch>
                      <a:fillRect/>
                    </a:stretch>
                  </pic:blipFill>
                  <pic:spPr>
                    <a:xfrm>
                      <a:off x="0" y="0"/>
                      <a:ext cx="5943600" cy="2081530"/>
                    </a:xfrm>
                    <a:prstGeom prst="rect">
                      <a:avLst/>
                    </a:prstGeom>
                  </pic:spPr>
                </pic:pic>
              </a:graphicData>
            </a:graphic>
          </wp:inline>
        </w:drawing>
      </w:r>
    </w:p>
    <w:p w14:paraId="17828342" w14:textId="77777777" w:rsidR="00601EA8" w:rsidRDefault="00601EA8"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78BF716C" w14:textId="77777777" w:rsidR="00AF4024" w:rsidRPr="003D6159" w:rsidRDefault="00AF4024"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u w:val="single"/>
        </w:rPr>
      </w:pPr>
      <w:r w:rsidRPr="003D6159">
        <w:rPr>
          <w:rFonts w:ascii="Open Sans" w:hAnsi="Open Sans" w:cs="Open Sans"/>
          <w:color w:val="262626"/>
          <w:sz w:val="21"/>
          <w:szCs w:val="21"/>
          <w:u w:val="single"/>
        </w:rPr>
        <w:t>Conclusion</w:t>
      </w:r>
    </w:p>
    <w:p w14:paraId="066C6045"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0DBCB39C" w14:textId="48309E1F"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There are several conclusions we can draw from our findings. First, there is large variance for elections cycles. For example, midterms range from -10 to almost +18. </w:t>
      </w:r>
      <w:r w:rsidR="003D6159">
        <w:rPr>
          <w:rFonts w:ascii="Open Sans" w:hAnsi="Open Sans" w:cs="Open Sans"/>
          <w:color w:val="262626"/>
          <w:sz w:val="21"/>
          <w:szCs w:val="21"/>
        </w:rPr>
        <w:t>Non-</w:t>
      </w:r>
      <w:r>
        <w:rPr>
          <w:rFonts w:ascii="Open Sans" w:hAnsi="Open Sans" w:cs="Open Sans"/>
          <w:color w:val="262626"/>
          <w:sz w:val="21"/>
          <w:szCs w:val="21"/>
        </w:rPr>
        <w:t>election years on average have a return of +12%, election years average +7.8% and midterms average +4.8%.</w:t>
      </w:r>
    </w:p>
    <w:p w14:paraId="0B0175B2"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52233F63" w14:textId="7269EC5B"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Because the current year (2026) is a midterm year, we should expect lower returns for 2026. For reference, 2023 (</w:t>
      </w:r>
      <w:r w:rsidR="00601EA8">
        <w:rPr>
          <w:rFonts w:ascii="Open Sans" w:hAnsi="Open Sans" w:cs="Open Sans"/>
          <w:color w:val="262626"/>
          <w:sz w:val="21"/>
          <w:szCs w:val="21"/>
        </w:rPr>
        <w:t xml:space="preserve">election </w:t>
      </w:r>
      <w:r>
        <w:rPr>
          <w:rFonts w:ascii="Open Sans" w:hAnsi="Open Sans" w:cs="Open Sans"/>
          <w:color w:val="262626"/>
          <w:sz w:val="21"/>
          <w:szCs w:val="21"/>
        </w:rPr>
        <w:t>had +24% return</w:t>
      </w:r>
      <w:r w:rsidR="00601EA8">
        <w:rPr>
          <w:rFonts w:ascii="Open Sans" w:hAnsi="Open Sans" w:cs="Open Sans"/>
          <w:color w:val="262626"/>
          <w:sz w:val="21"/>
          <w:szCs w:val="21"/>
        </w:rPr>
        <w:t>, 2024 (presidential year) had a 25% return and 2025 (</w:t>
      </w:r>
      <w:r w:rsidR="00F23C31">
        <w:rPr>
          <w:rFonts w:ascii="Open Sans" w:hAnsi="Open Sans" w:cs="Open Sans"/>
          <w:color w:val="262626"/>
          <w:sz w:val="21"/>
          <w:szCs w:val="21"/>
        </w:rPr>
        <w:t>non-election</w:t>
      </w:r>
      <w:r w:rsidR="00601EA8">
        <w:rPr>
          <w:rFonts w:ascii="Open Sans" w:hAnsi="Open Sans" w:cs="Open Sans"/>
          <w:color w:val="262626"/>
          <w:sz w:val="21"/>
          <w:szCs w:val="21"/>
        </w:rPr>
        <w:t>) had a +17.9% return.</w:t>
      </w:r>
    </w:p>
    <w:p w14:paraId="3A8B784E" w14:textId="77777777" w:rsidR="008055CA" w:rsidRDefault="008055CA"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p>
    <w:p w14:paraId="7FC434D8" w14:textId="2C9A408C"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Because the data was very cut-and-dry, we do not need to </w:t>
      </w:r>
      <w:r w:rsidR="00F23C31">
        <w:rPr>
          <w:rFonts w:ascii="Open Sans" w:hAnsi="Open Sans" w:cs="Open Sans"/>
          <w:color w:val="262626"/>
          <w:sz w:val="21"/>
          <w:szCs w:val="21"/>
        </w:rPr>
        <w:t>assume</w:t>
      </w:r>
      <w:r>
        <w:rPr>
          <w:rFonts w:ascii="Open Sans" w:hAnsi="Open Sans" w:cs="Open Sans"/>
          <w:color w:val="262626"/>
          <w:sz w:val="21"/>
          <w:szCs w:val="21"/>
        </w:rPr>
        <w:t xml:space="preserve"> about the data as they are recorded history. </w:t>
      </w:r>
    </w:p>
    <w:p w14:paraId="6134016A" w14:textId="641A6006" w:rsidR="003D6159" w:rsidRDefault="003D6159" w:rsidP="003D6159">
      <w:pPr>
        <w:pStyle w:val="ql-indent-1"/>
        <w:shd w:val="clear" w:color="auto" w:fill="FFFFFF"/>
        <w:spacing w:before="0" w:beforeAutospacing="0" w:after="0" w:afterAutospacing="0" w:line="480" w:lineRule="auto"/>
        <w:ind w:left="720"/>
        <w:rPr>
          <w:rFonts w:ascii="Open Sans" w:hAnsi="Open Sans" w:cs="Open Sans"/>
          <w:color w:val="262626"/>
          <w:sz w:val="21"/>
          <w:szCs w:val="21"/>
        </w:rPr>
      </w:pPr>
      <w:r>
        <w:rPr>
          <w:rFonts w:ascii="Open Sans" w:hAnsi="Open Sans" w:cs="Open Sans"/>
          <w:color w:val="262626"/>
          <w:sz w:val="21"/>
          <w:szCs w:val="21"/>
        </w:rPr>
        <w:t xml:space="preserve">There are more political patterns to examine (scandals, crisis, </w:t>
      </w:r>
      <w:r w:rsidR="00F23C31">
        <w:rPr>
          <w:rFonts w:ascii="Open Sans" w:hAnsi="Open Sans" w:cs="Open Sans"/>
          <w:color w:val="262626"/>
          <w:sz w:val="21"/>
          <w:szCs w:val="21"/>
        </w:rPr>
        <w:t>etc.</w:t>
      </w:r>
      <w:r>
        <w:rPr>
          <w:rFonts w:ascii="Open Sans" w:hAnsi="Open Sans" w:cs="Open Sans"/>
          <w:color w:val="262626"/>
          <w:sz w:val="21"/>
          <w:szCs w:val="21"/>
        </w:rPr>
        <w:t>) that could likely weigh on the market.</w:t>
      </w:r>
      <w:r w:rsidR="00F23C31">
        <w:rPr>
          <w:rFonts w:ascii="Open Sans" w:hAnsi="Open Sans" w:cs="Open Sans"/>
          <w:color w:val="262626"/>
          <w:sz w:val="21"/>
          <w:szCs w:val="21"/>
        </w:rPr>
        <w:t xml:space="preserve"> It would be challenging to quantify many of those data points. </w:t>
      </w:r>
      <w:r w:rsidR="00F23C31">
        <w:rPr>
          <w:rFonts w:ascii="Open Sans" w:hAnsi="Open Sans" w:cs="Open Sans"/>
          <w:color w:val="262626"/>
          <w:sz w:val="21"/>
          <w:szCs w:val="21"/>
        </w:rPr>
        <w:lastRenderedPageBreak/>
        <w:t xml:space="preserve">Future uses would include hedging against a possible downturn for historical events. It isn’t recommended to take financial advice from this paper. This paper explores relationships between different concepts (stock market and politics) and not meant as investing advice. Although we highlighted democrats on average have higher performance, this is not an indication that republicans are poor with the economy. In some cases, they just happened to be in office when decade-long problems manifested in a stock crash. </w:t>
      </w:r>
    </w:p>
    <w:p w14:paraId="434A62E8" w14:textId="6857D431" w:rsidR="00413F35" w:rsidRDefault="00413F35" w:rsidP="003D6159">
      <w:pPr>
        <w:spacing w:line="480" w:lineRule="auto"/>
      </w:pPr>
    </w:p>
    <w:p w14:paraId="51110939" w14:textId="3219AE18" w:rsidR="00833B33" w:rsidRDefault="001F0794" w:rsidP="003D6159">
      <w:pPr>
        <w:spacing w:line="480" w:lineRule="auto"/>
      </w:pPr>
      <w:r>
        <w:t>Works Cited:</w:t>
      </w:r>
    </w:p>
    <w:p w14:paraId="7C06A5E1" w14:textId="77777777" w:rsidR="001F0794" w:rsidRDefault="001F0794" w:rsidP="003D6159">
      <w:pPr>
        <w:spacing w:line="480" w:lineRule="auto"/>
      </w:pPr>
    </w:p>
    <w:p w14:paraId="0515658E" w14:textId="32CE8A57" w:rsidR="001F0794" w:rsidRDefault="001F0794" w:rsidP="001F0794">
      <w:pPr>
        <w:pStyle w:val="NormalWeb"/>
        <w:numPr>
          <w:ilvl w:val="0"/>
          <w:numId w:val="4"/>
        </w:numPr>
      </w:pPr>
      <w:r>
        <w:t xml:space="preserve">270toWin. (n.d.). Historical U.S. presidential elections 1789–2024. Retrieved February 8, 2026, from </w:t>
      </w:r>
      <w:hyperlink r:id="rId10" w:tgtFrame="_new" w:history="1">
        <w:r>
          <w:rPr>
            <w:rStyle w:val="Hyperlink"/>
            <w:rFonts w:eastAsiaTheme="majorEastAsia"/>
          </w:rPr>
          <w:t>https://www.270towin.com/historical-presidential-elections</w:t>
        </w:r>
      </w:hyperlink>
    </w:p>
    <w:p w14:paraId="20E5BE7F" w14:textId="03986169" w:rsidR="001F0794" w:rsidRDefault="001F0794" w:rsidP="001F0794">
      <w:pPr>
        <w:pStyle w:val="NormalWeb"/>
        <w:numPr>
          <w:ilvl w:val="0"/>
          <w:numId w:val="4"/>
        </w:numPr>
      </w:pPr>
      <w:r>
        <w:t xml:space="preserve">Capital Group. (2026). How U.S. midterm elections may affect markets: 5 charts. Retrieved February 8, 2026, from </w:t>
      </w:r>
      <w:hyperlink r:id="rId11" w:tgtFrame="_new" w:history="1">
        <w:r>
          <w:rPr>
            <w:rStyle w:val="Hyperlink"/>
            <w:rFonts w:eastAsiaTheme="majorEastAsia"/>
          </w:rPr>
          <w:t>https://www.capitalgroup.com/advisor/insights/articles/midterm-elections-markets-5-charts.html</w:t>
        </w:r>
      </w:hyperlink>
    </w:p>
    <w:p w14:paraId="28C9D3AC" w14:textId="45FAB16F" w:rsidR="001F0794" w:rsidRDefault="001F0794" w:rsidP="001F0794">
      <w:pPr>
        <w:pStyle w:val="NormalWeb"/>
        <w:numPr>
          <w:ilvl w:val="0"/>
          <w:numId w:val="4"/>
        </w:numPr>
      </w:pPr>
      <w:r>
        <w:t xml:space="preserve">Schmid, D. (n.d.). The 4-year election cycle theory and the stock market. PFBT. Retrieved February 8, 2026, from </w:t>
      </w:r>
      <w:hyperlink r:id="rId12" w:tgtFrame="_new" w:history="1">
        <w:r>
          <w:rPr>
            <w:rStyle w:val="Hyperlink"/>
            <w:rFonts w:eastAsiaTheme="majorEastAsia"/>
          </w:rPr>
          <w:t>https://www.pfbt.com/the-4-year-election-cycle-theory-and-the-stock-market</w:t>
        </w:r>
      </w:hyperlink>
    </w:p>
    <w:p w14:paraId="61CA368A" w14:textId="6E034322" w:rsidR="001F0794" w:rsidRDefault="001F0794" w:rsidP="001F0794">
      <w:pPr>
        <w:pStyle w:val="NormalWeb"/>
        <w:numPr>
          <w:ilvl w:val="0"/>
          <w:numId w:val="4"/>
        </w:numPr>
      </w:pPr>
      <w:r>
        <w:t xml:space="preserve">WT Wealth Management. (2024, August). Presidential election cycle theory. Retrieved February 8, 2026, from </w:t>
      </w:r>
      <w:hyperlink r:id="rId13" w:tgtFrame="_new" w:history="1">
        <w:r>
          <w:rPr>
            <w:rStyle w:val="Hyperlink"/>
            <w:rFonts w:eastAsiaTheme="majorEastAsia"/>
          </w:rPr>
          <w:t>https://www.wtwealthmanagement.com/whitepapers/2024-08/</w:t>
        </w:r>
      </w:hyperlink>
    </w:p>
    <w:p w14:paraId="4F13EF05" w14:textId="77777777" w:rsidR="001F0794" w:rsidRPr="006B269A" w:rsidRDefault="001F0794" w:rsidP="003D6159">
      <w:pPr>
        <w:spacing w:line="480" w:lineRule="auto"/>
      </w:pPr>
    </w:p>
    <w:sectPr w:rsidR="001F0794" w:rsidRPr="006B269A">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1601" w14:textId="77777777" w:rsidR="00B92E2D" w:rsidRDefault="00B92E2D" w:rsidP="006B269A">
      <w:r>
        <w:separator/>
      </w:r>
    </w:p>
  </w:endnote>
  <w:endnote w:type="continuationSeparator" w:id="0">
    <w:p w14:paraId="08EADD58" w14:textId="77777777" w:rsidR="00B92E2D" w:rsidRDefault="00B92E2D" w:rsidP="006B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20E0F" w14:textId="77777777" w:rsidR="00B92E2D" w:rsidRDefault="00B92E2D" w:rsidP="006B269A">
      <w:r>
        <w:separator/>
      </w:r>
    </w:p>
  </w:footnote>
  <w:footnote w:type="continuationSeparator" w:id="0">
    <w:p w14:paraId="0CED2711" w14:textId="77777777" w:rsidR="00B92E2D" w:rsidRDefault="00B92E2D" w:rsidP="006B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C84A" w14:textId="77777777" w:rsidR="006B269A" w:rsidRDefault="006B269A" w:rsidP="006B269A">
    <w:pPr>
      <w:pStyle w:val="Header"/>
    </w:pPr>
    <w:r>
      <w:t>Gabriel Vance</w:t>
    </w:r>
  </w:p>
  <w:p w14:paraId="5317C2D5" w14:textId="77777777" w:rsidR="006B269A" w:rsidRDefault="006B269A" w:rsidP="006B269A">
    <w:pPr>
      <w:pStyle w:val="Header"/>
    </w:pPr>
    <w:r w:rsidRPr="003B6640">
      <w:t>DSC</w:t>
    </w:r>
    <w:r>
      <w:t>680</w:t>
    </w:r>
    <w:r w:rsidRPr="003B6640">
      <w:t xml:space="preserve"> </w:t>
    </w:r>
    <w:r>
      <w:t>–</w:t>
    </w:r>
    <w:r w:rsidRPr="003B6640">
      <w:t xml:space="preserve"> </w:t>
    </w:r>
    <w:r>
      <w:t>Applied Data Science</w:t>
    </w:r>
  </w:p>
  <w:p w14:paraId="519A3A46" w14:textId="77777777" w:rsidR="006B269A" w:rsidRDefault="006B269A" w:rsidP="006B269A">
    <w:pPr>
      <w:pStyle w:val="Header"/>
    </w:pPr>
    <w:r>
      <w:t>Professor Amirfarrokh Iranitalab</w:t>
    </w:r>
  </w:p>
  <w:p w14:paraId="556EC55D" w14:textId="3661254D" w:rsidR="006B269A" w:rsidRDefault="00F23C31">
    <w:pPr>
      <w:pStyle w:val="Header"/>
    </w:pPr>
    <w:r>
      <w:t>February 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108C"/>
    <w:multiLevelType w:val="hybridMultilevel"/>
    <w:tmpl w:val="73EA6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D6187B"/>
    <w:multiLevelType w:val="hybridMultilevel"/>
    <w:tmpl w:val="74D46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9C7501"/>
    <w:multiLevelType w:val="hybridMultilevel"/>
    <w:tmpl w:val="ADE24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DC5E22"/>
    <w:multiLevelType w:val="multilevel"/>
    <w:tmpl w:val="06A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727184">
    <w:abstractNumId w:val="0"/>
  </w:num>
  <w:num w:numId="2" w16cid:durableId="1560088771">
    <w:abstractNumId w:val="1"/>
  </w:num>
  <w:num w:numId="3" w16cid:durableId="1249266205">
    <w:abstractNumId w:val="3"/>
  </w:num>
  <w:num w:numId="4" w16cid:durableId="1553225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9A"/>
    <w:rsid w:val="00160B82"/>
    <w:rsid w:val="001F0794"/>
    <w:rsid w:val="002974BC"/>
    <w:rsid w:val="003D6159"/>
    <w:rsid w:val="00413F35"/>
    <w:rsid w:val="00466791"/>
    <w:rsid w:val="004773F5"/>
    <w:rsid w:val="00523C82"/>
    <w:rsid w:val="00601EA8"/>
    <w:rsid w:val="006B269A"/>
    <w:rsid w:val="007549BF"/>
    <w:rsid w:val="007D41A2"/>
    <w:rsid w:val="008055CA"/>
    <w:rsid w:val="00833B33"/>
    <w:rsid w:val="00887A48"/>
    <w:rsid w:val="0092368C"/>
    <w:rsid w:val="0096026C"/>
    <w:rsid w:val="009F4952"/>
    <w:rsid w:val="00A44D75"/>
    <w:rsid w:val="00A9773E"/>
    <w:rsid w:val="00AF4024"/>
    <w:rsid w:val="00B34B02"/>
    <w:rsid w:val="00B92E2D"/>
    <w:rsid w:val="00BF2AEA"/>
    <w:rsid w:val="00C07196"/>
    <w:rsid w:val="00D9581F"/>
    <w:rsid w:val="00DC1051"/>
    <w:rsid w:val="00F23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47069"/>
  <w15:chartTrackingRefBased/>
  <w15:docId w15:val="{A2CF65F6-B612-EC44-9202-2D8D0CED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F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B2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B2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B2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B269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B269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B269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B269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B269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B269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69A"/>
    <w:rPr>
      <w:rFonts w:eastAsiaTheme="majorEastAsia" w:cstheme="majorBidi"/>
      <w:color w:val="272727" w:themeColor="text1" w:themeTint="D8"/>
    </w:rPr>
  </w:style>
  <w:style w:type="paragraph" w:styleId="Title">
    <w:name w:val="Title"/>
    <w:basedOn w:val="Normal"/>
    <w:next w:val="Normal"/>
    <w:link w:val="TitleChar"/>
    <w:uiPriority w:val="10"/>
    <w:qFormat/>
    <w:rsid w:val="006B269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B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B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69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B269A"/>
    <w:rPr>
      <w:i/>
      <w:iCs/>
      <w:color w:val="404040" w:themeColor="text1" w:themeTint="BF"/>
    </w:rPr>
  </w:style>
  <w:style w:type="paragraph" w:styleId="ListParagraph">
    <w:name w:val="List Paragraph"/>
    <w:basedOn w:val="Normal"/>
    <w:uiPriority w:val="34"/>
    <w:qFormat/>
    <w:rsid w:val="006B269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B269A"/>
    <w:rPr>
      <w:i/>
      <w:iCs/>
      <w:color w:val="0F4761" w:themeColor="accent1" w:themeShade="BF"/>
    </w:rPr>
  </w:style>
  <w:style w:type="paragraph" w:styleId="IntenseQuote">
    <w:name w:val="Intense Quote"/>
    <w:basedOn w:val="Normal"/>
    <w:next w:val="Normal"/>
    <w:link w:val="IntenseQuoteChar"/>
    <w:uiPriority w:val="30"/>
    <w:qFormat/>
    <w:rsid w:val="006B2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B269A"/>
    <w:rPr>
      <w:i/>
      <w:iCs/>
      <w:color w:val="0F4761" w:themeColor="accent1" w:themeShade="BF"/>
    </w:rPr>
  </w:style>
  <w:style w:type="character" w:styleId="IntenseReference">
    <w:name w:val="Intense Reference"/>
    <w:basedOn w:val="DefaultParagraphFont"/>
    <w:uiPriority w:val="32"/>
    <w:qFormat/>
    <w:rsid w:val="006B269A"/>
    <w:rPr>
      <w:b/>
      <w:bCs/>
      <w:smallCaps/>
      <w:color w:val="0F4761" w:themeColor="accent1" w:themeShade="BF"/>
      <w:spacing w:val="5"/>
    </w:rPr>
  </w:style>
  <w:style w:type="paragraph" w:styleId="Header">
    <w:name w:val="header"/>
    <w:basedOn w:val="Normal"/>
    <w:link w:val="Head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B269A"/>
  </w:style>
  <w:style w:type="paragraph" w:styleId="Footer">
    <w:name w:val="footer"/>
    <w:basedOn w:val="Normal"/>
    <w:link w:val="FooterChar"/>
    <w:uiPriority w:val="99"/>
    <w:unhideWhenUsed/>
    <w:rsid w:val="006B2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B269A"/>
  </w:style>
  <w:style w:type="paragraph" w:customStyle="1" w:styleId="ql-indent-1">
    <w:name w:val="ql-indent-1"/>
    <w:basedOn w:val="Normal"/>
    <w:rsid w:val="00AF4024"/>
    <w:pPr>
      <w:spacing w:before="100" w:beforeAutospacing="1" w:after="100" w:afterAutospacing="1"/>
    </w:pPr>
  </w:style>
  <w:style w:type="paragraph" w:styleId="NormalWeb">
    <w:name w:val="Normal (Web)"/>
    <w:basedOn w:val="Normal"/>
    <w:uiPriority w:val="99"/>
    <w:semiHidden/>
    <w:unhideWhenUsed/>
    <w:rsid w:val="001F0794"/>
    <w:pPr>
      <w:spacing w:before="100" w:beforeAutospacing="1" w:after="100" w:afterAutospacing="1"/>
    </w:pPr>
  </w:style>
  <w:style w:type="character" w:styleId="Hyperlink">
    <w:name w:val="Hyperlink"/>
    <w:basedOn w:val="DefaultParagraphFont"/>
    <w:uiPriority w:val="99"/>
    <w:semiHidden/>
    <w:unhideWhenUsed/>
    <w:rsid w:val="001F07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twealthmanagement.com/whitepapers/2024-08/?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fbt.com/the-4-year-election-cycle-theory-and-the-stock-market?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pitalgroup.com/advisor/insights/articles/midterm-elections-markets-5-charts.html?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270towin.com/historical-presidential-elections?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5</cp:revision>
  <dcterms:created xsi:type="dcterms:W3CDTF">2026-01-17T17:59:00Z</dcterms:created>
  <dcterms:modified xsi:type="dcterms:W3CDTF">2026-02-09T05:28:00Z</dcterms:modified>
</cp:coreProperties>
</file>