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120" w:before="240"/>
        <w:contextualSpacing w:val="false"/>
      </w:pPr>
      <w:r>
        <w:rPr>
          <w:lang w:bidi="zxx-" w:eastAsia="zxx-" w:val="en-US"/>
        </w:rPr>
        <w:t>Framebuffer Objects</w:t>
      </w:r>
    </w:p>
    <w:p>
      <w:pPr>
        <w:pStyle w:val="style21"/>
        <w:numPr>
          <w:ilvl w:val="0"/>
          <w:numId w:val="1"/>
        </w:numPr>
      </w:pPr>
      <w:r>
        <w:rPr/>
        <w:t>Multiple render targets (MRT)</w:t>
      </w:r>
    </w:p>
    <w:p>
      <w:pPr>
        <w:pStyle w:val="style21"/>
        <w:numPr>
          <w:ilvl w:val="0"/>
          <w:numId w:val="2"/>
        </w:numPr>
        <w:ind w:hanging="360" w:left="1418" w:right="0"/>
      </w:pPr>
      <w:r>
        <w:rPr/>
        <w:t>TODO...</w:t>
      </w:r>
    </w:p>
    <w:p>
      <w:pPr>
        <w:pStyle w:val="style21"/>
        <w:numPr>
          <w:ilvl w:val="0"/>
          <w:numId w:val="1"/>
        </w:numPr>
      </w:pPr>
      <w:r>
        <w:rPr/>
        <w:t>Multisampled Renderbuffers</w:t>
      </w:r>
    </w:p>
    <w:p>
      <w:pPr>
        <w:pStyle w:val="style21"/>
        <w:numPr>
          <w:ilvl w:val="0"/>
          <w:numId w:val="3"/>
        </w:numPr>
        <w:ind w:hanging="360" w:left="1418" w:right="0"/>
      </w:pPr>
      <w:r>
        <w:rPr>
          <w:lang w:bidi="zxx-" w:eastAsia="zxx-" w:val="en-US"/>
        </w:rPr>
        <w:t xml:space="preserve">Activated using </w:t>
      </w:r>
      <w:r>
        <w:rPr>
          <w:b/>
          <w:bCs/>
          <w:i w:val="false"/>
          <w:iCs w:val="false"/>
          <w:lang w:bidi="zxx-" w:eastAsia="zxx-" w:val="en-US"/>
        </w:rPr>
        <w:t>glRenderBufferStorageMultisample</w:t>
      </w:r>
      <w:r>
        <w:rPr>
          <w:b w:val="false"/>
          <w:bCs w:val="false"/>
          <w:i w:val="false"/>
          <w:iCs w:val="false"/>
          <w:lang w:bidi="zxx-" w:eastAsia="zxx-" w:val="en-US"/>
        </w:rPr>
        <w:t xml:space="preserve">. Calling this with 0 samples is equivalent to using </w:t>
      </w:r>
      <w:r>
        <w:rPr>
          <w:b/>
          <w:bCs/>
          <w:i w:val="false"/>
          <w:iCs w:val="false"/>
          <w:lang w:bidi="zxx-" w:eastAsia="zxx-" w:val="en-US"/>
        </w:rPr>
        <w:t>glRenderBufferStorage</w:t>
      </w:r>
      <w:r>
        <w:rPr>
          <w:b w:val="false"/>
          <w:bCs w:val="false"/>
          <w:i w:val="false"/>
          <w:iCs w:val="false"/>
          <w:lang w:bidi="zxx-" w:eastAsia="zxx-" w:val="en-US"/>
        </w:rPr>
        <w:t>.</w:t>
      </w:r>
    </w:p>
    <w:p>
      <w:pPr>
        <w:pStyle w:val="style21"/>
        <w:numPr>
          <w:ilvl w:val="0"/>
          <w:numId w:val="3"/>
        </w:numPr>
        <w:ind w:hanging="360" w:left="1418" w:right="0"/>
      </w:pPr>
      <w:r>
        <w:rPr>
          <w:b w:val="false"/>
          <w:bCs w:val="false"/>
          <w:i w:val="false"/>
          <w:iCs w:val="false"/>
          <w:lang w:bidi="zxx-" w:eastAsia="zxx-" w:val="en-US"/>
        </w:rPr>
        <w:t>Multisampling is not supported with integral typed internal formats.</w:t>
      </w:r>
    </w:p>
    <w:p>
      <w:pPr>
        <w:pStyle w:val="style21"/>
        <w:numPr>
          <w:ilvl w:val="0"/>
          <w:numId w:val="3"/>
        </w:numPr>
        <w:ind w:hanging="360" w:left="1418" w:right="0"/>
      </w:pPr>
      <w:r>
        <w:rPr>
          <w:b w:val="false"/>
          <w:bCs w:val="false"/>
          <w:i w:val="false"/>
          <w:iCs w:val="false"/>
          <w:lang w:bidi="zxx-" w:eastAsia="zxx-" w:val="en-US"/>
        </w:rPr>
        <w:t>If multiple multisampled Renderbuffers are used, the internal format of the data type they hold must be the same accross all of them, as must be the number of samples.</w:t>
      </w:r>
    </w:p>
    <w:p>
      <w:pPr>
        <w:pStyle w:val="style21"/>
        <w:numPr>
          <w:ilvl w:val="0"/>
          <w:numId w:val="3"/>
        </w:numPr>
        <w:ind w:hanging="360" w:left="1418" w:right="0"/>
      </w:pPr>
      <w:r>
        <w:rPr>
          <w:b w:val="false"/>
          <w:bCs w:val="false"/>
          <w:i w:val="false"/>
          <w:iCs w:val="false"/>
          <w:lang w:bidi="zxx-" w:eastAsia="zxx-" w:val="en-US"/>
        </w:rPr>
        <w:t>A consequence of the prior is that, if the usage of a GL_DEPTH_ATTACHMENT is required, it must also have the same internal format size and the same number of samples as the ones using GL_COLOR_ATTACHMENT.</w:t>
      </w:r>
    </w:p>
    <w:p>
      <w:pPr>
        <w:pStyle w:val="style21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Sampling from Renderbuffers</w:t>
      </w:r>
    </w:p>
    <w:p>
      <w:pPr>
        <w:pStyle w:val="style21"/>
        <w:numPr>
          <w:ilvl w:val="0"/>
          <w:numId w:val="4"/>
        </w:numPr>
        <w:ind w:hanging="360" w:left="1418" w:right="0"/>
      </w:pPr>
      <w:r>
        <w:rPr>
          <w:b w:val="false"/>
          <w:bCs w:val="false"/>
          <w:i w:val="false"/>
          <w:iCs w:val="false"/>
          <w:lang w:bidi="zxx-" w:eastAsia="zxx-" w:val="en-US"/>
        </w:rPr>
        <w:t xml:space="preserve">To be able to sample from a Renderbuffer, the data must be copied to another Framebuffer which has texture attachments (done with </w:t>
      </w:r>
      <w:r>
        <w:rPr>
          <w:b/>
          <w:bCs/>
          <w:i w:val="false"/>
          <w:iCs w:val="false"/>
          <w:color w:val="000000"/>
        </w:rPr>
        <w:t>glFramebufferTexture2D</w:t>
      </w:r>
      <w:r>
        <w:rPr>
          <w:b w:val="false"/>
          <w:bCs w:val="false"/>
          <w:i w:val="false"/>
          <w:iCs w:val="false"/>
          <w:color w:val="000000"/>
        </w:rPr>
        <w:t xml:space="preserve">). </w:t>
      </w:r>
    </w:p>
    <w:p>
      <w:pPr>
        <w:pStyle w:val="style21"/>
        <w:numPr>
          <w:ilvl w:val="0"/>
          <w:numId w:val="4"/>
        </w:numPr>
        <w:ind w:hanging="360" w:left="1418" w:right="0"/>
      </w:pPr>
      <w:r>
        <w:rPr>
          <w:b w:val="false"/>
          <w:bCs w:val="false"/>
          <w:i w:val="false"/>
          <w:iCs w:val="false"/>
          <w:color w:val="000000"/>
        </w:rPr>
        <w:t>The source framebuffer must be bound on the GL_READ_FRAMEBUFFER target, while the destination must be bound to the GL_DRAW_FRAMEBUFFER.</w:t>
      </w:r>
    </w:p>
    <w:p>
      <w:pPr>
        <w:pStyle w:val="style21"/>
        <w:numPr>
          <w:ilvl w:val="0"/>
          <w:numId w:val="4"/>
        </w:numPr>
        <w:ind w:hanging="360" w:left="1418" w:right="0"/>
      </w:pPr>
      <w:r>
        <w:rPr>
          <w:b w:val="false"/>
          <w:bCs w:val="false"/>
          <w:i w:val="false"/>
          <w:iCs w:val="false"/>
          <w:color w:val="000000"/>
        </w:rPr>
        <w:t xml:space="preserve">Each GL_COLOR_ATTACHMENTx from the source Framebuffer must be set for reading using </w:t>
      </w:r>
      <w:r>
        <w:rPr>
          <w:b/>
          <w:bCs/>
          <w:i w:val="false"/>
          <w:iCs w:val="false"/>
          <w:color w:val="000000"/>
        </w:rPr>
        <w:t>glReadBuffer</w:t>
      </w:r>
      <w:r>
        <w:rPr>
          <w:b w:val="false"/>
          <w:bCs w:val="false"/>
          <w:i w:val="false"/>
          <w:iCs w:val="false"/>
          <w:color w:val="000000"/>
        </w:rPr>
        <w:t xml:space="preserve">, while the ones from the destination must be set for drawing using </w:t>
      </w:r>
      <w:r>
        <w:rPr>
          <w:b/>
          <w:bCs/>
          <w:i w:val="false"/>
          <w:iCs w:val="false"/>
          <w:color w:val="000000"/>
        </w:rPr>
        <w:t>glDrawBuffers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style21"/>
        <w:numPr>
          <w:ilvl w:val="0"/>
          <w:numId w:val="4"/>
        </w:numPr>
        <w:ind w:hanging="360" w:left="1418" w:right="0"/>
      </w:pPr>
      <w:r>
        <w:rPr>
          <w:b w:val="false"/>
          <w:bCs w:val="false"/>
          <w:i w:val="false"/>
          <w:iCs w:val="false"/>
          <w:color w:val="000000"/>
        </w:rPr>
        <w:t xml:space="preserve">The copying itself is done using </w:t>
      </w:r>
      <w:r>
        <w:rPr>
          <w:b/>
          <w:bCs/>
          <w:i w:val="false"/>
          <w:iCs w:val="false"/>
          <w:color w:val="000000"/>
        </w:rPr>
        <w:t>glBlitFramebuffer</w:t>
      </w:r>
      <w:r>
        <w:rPr>
          <w:b w:val="false"/>
          <w:bCs w:val="false"/>
          <w:i w:val="false"/>
          <w:iCs w:val="false"/>
          <w:color w:val="000000"/>
        </w:rPr>
        <w:t>. It will fail if the data formats from the two Framebuffers don't match.</w:t>
      </w:r>
    </w:p>
    <w:p>
      <w:pPr>
        <w:pStyle w:val="style21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color w:val="000000"/>
        </w:rPr>
        <w:t>TODO...</w:t>
      </w:r>
    </w:p>
    <w:p>
      <w:pPr>
        <w:pStyle w:val="style0"/>
        <w:ind w:hanging="0" w:left="0" w:right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0"/>
    <w:family w:val="swiss"/>
    <w:pitch w:val="default"/>
  </w:font>
  <w:font w:name="OpenSymbol">
    <w:altName w:val="Arial Unicode MS"/>
    <w:charset w:val="80"/>
    <w:family w:val="auto"/>
    <w:pitch w:val="default"/>
  </w:font>
  <w:font w:name="Cambria">
    <w:charset w:val="80"/>
    <w:family w:val="roman"/>
    <w:pitch w:val="default"/>
  </w:font>
  <w:font w:name="Courier New">
    <w:charset w:val="80"/>
    <w:family w:val="swiss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Calibri" w:cs="Tahoma" w:eastAsia="Andale Sans UI" w:hAnsi="Calibri"/>
      <w:color w:val="00000A"/>
      <w:sz w:val="22"/>
      <w:szCs w:val="24"/>
      <w:lang w:bidi="zxx-" w:eastAsia="zxx-" w:val="en-GB"/>
    </w:rPr>
  </w:style>
  <w:style w:styleId="style1" w:type="paragraph">
    <w:name w:val="Heading 1"/>
    <w:basedOn w:val="style20"/>
    <w:next w:val="style1"/>
    <w:pPr/>
    <w:rPr>
      <w:b/>
      <w:bCs/>
      <w:sz w:val="32"/>
      <w:szCs w:val="32"/>
    </w:rPr>
  </w:style>
  <w:style w:styleId="style2" w:type="paragraph">
    <w:name w:val="Heading 2"/>
    <w:basedOn w:val="style20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20"/>
    <w:next w:val="style3"/>
    <w:pPr/>
    <w:rPr>
      <w:b/>
      <w:bCs/>
      <w:sz w:val="28"/>
      <w:szCs w:val="28"/>
    </w:rPr>
  </w:style>
  <w:style w:styleId="style15" w:type="character">
    <w:name w:val="Numbering Symbols"/>
    <w:next w:val="style15"/>
    <w:rPr>
      <w:b w:val="false"/>
      <w:bCs w:val="false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b w:val="false"/>
      <w:bCs w:val="false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Cambria" w:cs="Tahoma" w:eastAsia="Andale Sans UI" w:hAnsi="Cambria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ascii="Calibri" w:cs="Tahoma" w:hAnsi="Calibri"/>
      <w:sz w:val="24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ascii="Calibri" w:cs="Tahoma" w:hAnsi="Calib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ascii="Calibri" w:cs="Tahoma" w:hAnsi="Calibri"/>
      <w:sz w:val="24"/>
    </w:rPr>
  </w:style>
  <w:style w:styleId="style25" w:type="paragraph">
    <w:name w:val="Preformatted Text"/>
    <w:basedOn w:val="style0"/>
    <w:next w:val="style25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1994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2009-04-16T11:32:02.17Z</dcterms:created>
  <dcterms:modified xsi:type="dcterms:W3CDTF">2013-05-13T01:25:03.17Z</dcterms:modified>
  <cp:revision>14</cp:revision>
</cp:coreProperties>
</file>