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Software Requirements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Specification 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Banking System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Glisca Maria Coralia CEN 3.2A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Iofcea Albert Cătălin CEN 3.2A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Mocioaca Marius Gabriel CEN3.2A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Petcu Alexandru Gabriel CEN 3.2B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19.37488000000002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1.4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1.5 Overview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2. 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2.1 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2.2 Product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17.44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2.3 User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2.4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2.5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2.6 Apportioning of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 Specific requirements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3.1 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3.1.1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3.1.2 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3.1.3 Software interfaces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3.1.4 Communications interfaces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3.2 Functional requirements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ind w:left="0" w:firstLine="0"/>
        <w:jc w:val="both"/>
        <w:rPr>
          <w:b w:val="1"/>
          <w:u w:val="single"/>
        </w:rPr>
      </w:pPr>
      <w:bookmarkStart w:colFirst="0" w:colLast="0" w:name="_jwvztlpg9lxj" w:id="0"/>
      <w:bookmarkEnd w:id="0"/>
      <w:r w:rsidDel="00000000" w:rsidR="00000000" w:rsidRPr="00000000">
        <w:rPr>
          <w:b w:val="1"/>
          <w:u w:val="single"/>
          <w:rtl w:val="0"/>
        </w:rPr>
        <w:t xml:space="preserve">3.2.1 User class - The client:</w:t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ind w:left="0" w:firstLine="0"/>
        <w:jc w:val="both"/>
        <w:rPr>
          <w:b w:val="1"/>
          <w:u w:val="single"/>
        </w:rPr>
      </w:pPr>
      <w:bookmarkStart w:colFirst="0" w:colLast="0" w:name="_29gj178ug60r" w:id="1"/>
      <w:bookmarkEnd w:id="1"/>
      <w:r w:rsidDel="00000000" w:rsidR="00000000" w:rsidRPr="00000000">
        <w:rPr>
          <w:b w:val="1"/>
          <w:u w:val="single"/>
          <w:rtl w:val="0"/>
        </w:rPr>
        <w:t xml:space="preserve">3.2.2 Admin class - The Admin:</w:t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ind w:left="0" w:firstLine="0"/>
        <w:jc w:val="both"/>
        <w:rPr>
          <w:b w:val="1"/>
          <w:sz w:val="36"/>
          <w:szCs w:val="36"/>
          <w:highlight w:val="white"/>
        </w:rPr>
      </w:pPr>
      <w:bookmarkStart w:colFirst="0" w:colLast="0" w:name="_s8hrnnv4w2cm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3.3 Performance requirements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3.4 Design constraints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3.5 Software system attributes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4. Prioritization and 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4.1 Choice of prioritization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4.2 Release Plan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