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Times New Roman" w:hAnsi="Times New Roman"/>
          <w:b/>
          <w:i w:val="0"/>
          <w:sz w:val="24"/>
        </w:rPr>
        <w:t>UNIVERSIDADE FEDERAL DA PARAÍBA</w:t>
      </w:r>
    </w:p>
    <w:p>
      <w:pPr>
        <w:spacing w:before="0" w:after="0"/>
        <w:jc w:val="center"/>
      </w:pPr>
      <w:r>
        <w:rPr>
          <w:rFonts w:ascii="Times New Roman" w:hAnsi="Times New Roman"/>
          <w:b w:val="0"/>
          <w:i w:val="0"/>
          <w:sz w:val="24"/>
        </w:rPr>
        <w:t>Centro de Informática</w:t>
      </w:r>
    </w:p>
    <w:p>
      <w:pPr>
        <w:spacing w:before="0" w:after="960"/>
        <w:jc w:val="center"/>
      </w:pPr>
      <w:r>
        <w:rPr>
          <w:rFonts w:ascii="Times New Roman" w:hAnsi="Times New Roman"/>
          <w:b w:val="0"/>
          <w:i w:val="0"/>
          <w:sz w:val="24"/>
        </w:rPr>
        <w:t>Disciplina de Aprendizagem de Máquina</w:t>
      </w:r>
    </w:p>
    <w:p>
      <w:pPr>
        <w:spacing w:before="0" w:after="960"/>
        <w:jc w:val="center"/>
      </w:pPr>
      <w:r>
        <w:rPr>
          <w:rFonts w:ascii="Times New Roman" w:hAnsi="Times New Roman"/>
          <w:b/>
          <w:i w:val="0"/>
          <w:sz w:val="28"/>
        </w:rPr>
        <w:t>PREDIÇÃO DE VIOLÊNCIA MUNICIPAL COM INDICADORES SOCIOECONÔMICOS</w:t>
      </w:r>
    </w:p>
    <w:p>
      <w:pPr>
        <w:spacing w:before="0" w:after="1440"/>
        <w:jc w:val="center"/>
      </w:pPr>
      <w:r>
        <w:rPr>
          <w:rFonts w:ascii="Times New Roman" w:hAnsi="Times New Roman"/>
          <w:b w:val="0"/>
          <w:i/>
          <w:sz w:val="24"/>
        </w:rPr>
        <w:t>Relatório Final — Projeto da Disciplina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4"/>
        </w:rPr>
        <w:t>Autores: (adicionar nomes do grupo)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4"/>
        </w:rPr>
        <w:t>Professores: Bruno Jefferson de Sousa Pessoa e Gilberto Farias de Sousa Filho</w:t>
      </w:r>
    </w:p>
    <w:p>
      <w:pPr>
        <w:spacing w:before="1440" w:after="0"/>
        <w:jc w:val="center"/>
      </w:pPr>
      <w:r>
        <w:rPr>
          <w:rFonts w:ascii="Times New Roman" w:hAnsi="Times New Roman"/>
          <w:b w:val="0"/>
          <w:i w:val="0"/>
          <w:sz w:val="24"/>
        </w:rPr>
        <w:t>João Pessoa — PB</w:t>
      </w:r>
    </w:p>
    <w:p>
      <w:pPr>
        <w:spacing w:before="0" w:after="0"/>
        <w:jc w:val="center"/>
      </w:pPr>
      <w:r>
        <w:rPr>
          <w:rFonts w:ascii="Times New Roman" w:hAnsi="Times New Roman"/>
          <w:b w:val="0"/>
          <w:i w:val="0"/>
          <w:sz w:val="24"/>
        </w:rPr>
        <w:t>Março de 2026</w:t>
      </w:r>
    </w:p>
    <w:p>
      <w:r>
        <w:br w:type="page"/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/>
          <w:sz w:val="24"/>
        </w:rPr>
        <w:t>Disciplina:</w:t>
      </w:r>
      <w:r>
        <w:rPr>
          <w:rFonts w:ascii="Times New Roman" w:hAnsi="Times New Roman"/>
          <w:sz w:val="24"/>
        </w:rPr>
        <w:t xml:space="preserve"> Aprendizagem de Máquina — UFPB, 2025.1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/>
          <w:sz w:val="24"/>
        </w:rPr>
        <w:t>Professores:</w:t>
      </w:r>
      <w:r>
        <w:rPr>
          <w:rFonts w:ascii="Times New Roman" w:hAnsi="Times New Roman"/>
          <w:sz w:val="24"/>
        </w:rPr>
        <w:t xml:space="preserve"> Bruno Jefferson de Sousa Pessoa e Gilberto Farias de Sousa Filho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/>
          <w:sz w:val="24"/>
        </w:rPr>
        <w:t>Autores: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sz w:val="24"/>
        </w:rPr>
        <w:t>(adicionar nomes do grupo)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/>
          <w:sz w:val="24"/>
        </w:rPr>
        <w:t>Data:</w:t>
      </w:r>
      <w:r>
        <w:rPr>
          <w:rFonts w:ascii="Times New Roman" w:hAnsi="Times New Roman"/>
          <w:sz w:val="24"/>
        </w:rPr>
        <w:t xml:space="preserve"> Março de 2026</w:t>
      </w:r>
    </w:p>
    <w:p>
      <w:pPr>
        <w:spacing w:before="360" w:after="120" w:line="240" w:lineRule="auto"/>
        <w:jc w:val="left"/>
      </w:pPr>
      <w:r>
        <w:rPr>
          <w:rFonts w:ascii="Times New Roman" w:hAnsi="Times New Roman"/>
          <w:b/>
          <w:sz w:val="24"/>
        </w:rPr>
        <w:t>RESUMO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4"/>
        </w:rPr>
        <w:t>Este trabalho investiga se é possível prever o nível de violência de um município brasileiro utilizando exclusivamente indicadores socioeconômicos. A partir de dados do Censo Demográfico 2022 (IBGE), Atlas Brasil 2010 (PNUD/Ipea/FJP) e Sinesp/MJ (2022), foi construído um dataset com 5.570 municípios e 15 features socioeconômicas. A variável alvo — classificação binária de alta ou baixa violência — foi derivada da taxa de homicídios dolosos per capita, usando a mediana (12,03/100 mil habitantes) como limiar. Três modelos de aprendizagem de máquina foram treinados e avaliados: Rede Neural (Keras), Árvore de Decisão (scikit-learn) e SVM (scikit-learn). O melhor modelo foi o SVM com kernel RBF (C=100, γ=0,001), atingindo acurácia de 66,6% e F1-score de 68,2% — 16,6 pontos percentuais acima do classificador aleatório. Os resultados confirmam que indicadores socioeconômicos têm poder discriminativo real sobre o nível de violência municipal, ainda que moderado, com a principal limitação sendo a defasagem temporal de 12 anos entre as features do Atlas Brasil (2010) e o alvo (2022).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/>
          <w:sz w:val="24"/>
        </w:rPr>
        <w:t>Palavras-chave:</w:t>
      </w:r>
      <w:r>
        <w:rPr>
          <w:rFonts w:ascii="Times New Roman" w:hAnsi="Times New Roman"/>
          <w:sz w:val="24"/>
        </w:rPr>
        <w:t xml:space="preserve"> aprendizagem de máquina; violência urbana; municípios brasileiros; classificação binária; SVM; rede neural; árvore de decisão.</w:t>
      </w:r>
    </w:p>
    <w:p>
      <w:pPr>
        <w:spacing w:before="360" w:after="120" w:line="240" w:lineRule="auto"/>
        <w:jc w:val="left"/>
      </w:pPr>
      <w:r>
        <w:rPr>
          <w:rFonts w:ascii="Times New Roman" w:hAnsi="Times New Roman"/>
          <w:b/>
          <w:sz w:val="24"/>
        </w:rPr>
        <w:t>1. INTRODUÇÃO</w:t>
      </w:r>
    </w:p>
    <w:p>
      <w:pPr>
        <w:spacing w:before="240" w:after="120" w:line="240" w:lineRule="auto"/>
        <w:jc w:val="left"/>
      </w:pPr>
      <w:r>
        <w:rPr>
          <w:rFonts w:ascii="Times New Roman" w:hAnsi="Times New Roman"/>
          <w:b/>
          <w:sz w:val="24"/>
        </w:rPr>
        <w:t>1.1 Contexto e Motivação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4"/>
        </w:rPr>
        <w:t>O Brasil registrou, em 2022, uma taxa de 22,3 homicídios dolosos por 100 mil habitantes segundo o Anuário Brasileiro de Segurança Pública, posicionando-se entre os países com maiores índices de violência no mundo. A distribuição desse fenômeno, contudo, é profundamente heterogênea: municípios com perfis socioeconômicos distintos apresentam taxas que variam de zero a mais de 100 homicídios por 100 mil habitantes, sugerindo que fatores estruturais desempenham papel relevante na determinação do nível de violência local.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4"/>
        </w:rPr>
        <w:t>A literatura criminológica consolidou, ao longo das últimas décadas, um conjunto de determinantes socioeconômicos associados à violência urbana: desigualdade de renda (medida pelo índice de Gini), pobreza, desemprego, urbanização acelerada, baixa escolaridade e concentração de jovens do sexo masculino entre 15 e 29 anos (BEATO FILHO, 1998; CERQUEIRA; LOBÃO, 2004; MELLO; SCHNEIDER, 2010). No entanto, a relação entre esses fatores e a violência raramente é explorada de forma preditiva sistemática para o conjunto completo dos municípios brasileiros.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4"/>
        </w:rPr>
        <w:t>Este trabalho aplica técnicas de aprendizagem de máquina para formalizar e testar essa relação preditiva, oferecendo uma contribuição metodológica ao campo e uma ferramenta potencialmente útil para o direcionamento de políticas públicas de segurança.</w:t>
      </w:r>
    </w:p>
    <w:p>
      <w:pPr>
        <w:spacing w:before="240" w:after="120" w:line="240" w:lineRule="auto"/>
        <w:jc w:val="left"/>
      </w:pPr>
      <w:r>
        <w:rPr>
          <w:rFonts w:ascii="Times New Roman" w:hAnsi="Times New Roman"/>
          <w:b/>
          <w:sz w:val="24"/>
        </w:rPr>
        <w:t>1.2 Pergunta de Pesquisa</w:t>
      </w:r>
    </w:p>
    <w:p>
      <w:pPr>
        <w:spacing w:line="240" w:lineRule="auto" w:before="120" w:after="120"/>
        <w:ind w:left="2268" w:right="0" w:firstLine="0"/>
        <w:jc w:val="both"/>
      </w:pPr>
      <w:r>
        <w:rPr>
          <w:rFonts w:ascii="Times New Roman" w:hAnsi="Times New Roman"/>
          <w:b/>
          <w:sz w:val="20"/>
        </w:rPr>
        <w:t>"É possível prever o nível de violência de um município brasileiro usando apenas indicadores socioeconômicos?"</w:t>
      </w:r>
    </w:p>
    <w:p>
      <w:pPr>
        <w:spacing w:before="240" w:after="120" w:line="240" w:lineRule="auto"/>
        <w:jc w:val="left"/>
      </w:pPr>
      <w:r>
        <w:rPr>
          <w:rFonts w:ascii="Times New Roman" w:hAnsi="Times New Roman"/>
          <w:b/>
          <w:sz w:val="24"/>
        </w:rPr>
        <w:t>1.3 Abordagem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4"/>
        </w:rPr>
        <w:t xml:space="preserve">O problema foi formulado como uma </w:t>
      </w:r>
      <w:r>
        <w:rPr>
          <w:rFonts w:ascii="Times New Roman" w:hAnsi="Times New Roman"/>
          <w:b/>
          <w:sz w:val="24"/>
        </w:rPr>
        <w:t>classificação binária</w:t>
      </w:r>
      <w:r>
        <w:rPr>
          <w:rFonts w:ascii="Times New Roman" w:hAnsi="Times New Roman"/>
          <w:sz w:val="24"/>
        </w:rPr>
        <w:t xml:space="preserve">: cada município recebe o rótulo </w:t>
      </w:r>
      <w:r>
        <w:rPr>
          <w:rFonts w:ascii="Times New Roman" w:hAnsi="Times New Roman"/>
          <w:i/>
          <w:sz w:val="24"/>
        </w:rPr>
        <w:t>alta violência</w:t>
      </w:r>
      <w:r>
        <w:rPr>
          <w:rFonts w:ascii="Times New Roman" w:hAnsi="Times New Roman"/>
          <w:sz w:val="24"/>
        </w:rPr>
        <w:t xml:space="preserve"> (1) ou </w:t>
      </w:r>
      <w:r>
        <w:rPr>
          <w:rFonts w:ascii="Times New Roman" w:hAnsi="Times New Roman"/>
          <w:i/>
          <w:sz w:val="24"/>
        </w:rPr>
        <w:t>baixa violência</w:t>
      </w:r>
      <w:r>
        <w:rPr>
          <w:rFonts w:ascii="Times New Roman" w:hAnsi="Times New Roman"/>
          <w:sz w:val="24"/>
        </w:rPr>
        <w:t xml:space="preserve"> (0), com base em sua taxa de homicídios dolosos per capita comparada à mediana nacional. As </w:t>
      </w:r>
      <w:r>
        <w:rPr>
          <w:rFonts w:ascii="Times New Roman" w:hAnsi="Times New Roman"/>
          <w:b/>
          <w:sz w:val="24"/>
        </w:rPr>
        <w:t>features (X)</w:t>
      </w:r>
      <w:r>
        <w:rPr>
          <w:rFonts w:ascii="Times New Roman" w:hAnsi="Times New Roman"/>
          <w:sz w:val="24"/>
        </w:rPr>
        <w:t xml:space="preserve"> são exclusivamente socioeconômicas — dados de crime nunca entram como preditores. O modelo aprende a associar o perfil socioeconômico de um município ao seu nível esperado de violência.</w:t>
      </w:r>
    </w:p>
    <w:p>
      <w:pPr>
        <w:spacing w:before="360" w:after="120" w:line="240" w:lineRule="auto"/>
        <w:jc w:val="left"/>
      </w:pPr>
      <w:r>
        <w:rPr>
          <w:rFonts w:ascii="Times New Roman" w:hAnsi="Times New Roman"/>
          <w:b/>
          <w:sz w:val="24"/>
        </w:rPr>
        <w:t>2. DATASET</w:t>
      </w:r>
    </w:p>
    <w:p>
      <w:pPr>
        <w:spacing w:before="240" w:after="120" w:line="240" w:lineRule="auto"/>
        <w:jc w:val="left"/>
      </w:pPr>
      <w:r>
        <w:rPr>
          <w:rFonts w:ascii="Times New Roman" w:hAnsi="Times New Roman"/>
          <w:b/>
          <w:sz w:val="24"/>
        </w:rPr>
        <w:t>2.1 Fontes de Dados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4"/>
        </w:rPr>
        <w:t>O dataset final resulta do cruzamento de cinco fontes públicas, identificadas pelo código IBGE de 7 dígitos de cada município: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20"/>
              </w:rPr>
              <w:t>Fonte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20"/>
              </w:rPr>
              <w:t>Variáveis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20"/>
              </w:rPr>
              <w:t>Ano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20"/>
              </w:rPr>
              <w:t>Granularidade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IBGE SIDRA — Censo 2022 (tabelas 9514, 9923, 9517, 10135, 10295, 6805)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População, urbanização, desemprego, analfabetismo, renda, esgoto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2022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Municipal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IBGE SIDRA — tabela 5938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PIB per capita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2021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Municipal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IBGE — áreas territoriais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Área do município (para densidade)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2024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Municipal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Atlas do Desenvolvimento Humano no Brasil (PNUD/Ipea/FJP)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IDHM (geral e 3 subdimensões), Gini, % pobres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2010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Municipal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Sinesp/MJ — Sistema Nacional de Informações de Segurança Pública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Homicídios dolosos (variável alvo)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2022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Municipal</w:t>
            </w:r>
          </w:p>
        </w:tc>
      </w:tr>
    </w:tbl>
    <w:p>
      <w:pPr>
        <w:spacing w:before="120" w:after="120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4"/>
        </w:rPr>
        <w:t>O download dos dados do SIDRA foi automatizado via API REST (</w:t>
      </w:r>
      <w:r>
        <w:rPr>
          <w:rFonts w:ascii="Courier New" w:hAnsi="Courier New"/>
          <w:sz w:val="20"/>
        </w:rPr>
        <w:t>data/download_sidra.py</w:t>
      </w:r>
      <w:r>
        <w:rPr>
          <w:rFonts w:ascii="Times New Roman" w:hAnsi="Times New Roman"/>
          <w:sz w:val="24"/>
        </w:rPr>
        <w:t>). Os dados do Atlas Brasil foram obtidos por download direto do portal atlasbrasil.org.br. Os dados do Sinesp foram obtidos como planilha XLSX do portal de dados abertos do Ministério da Justiça.</w:t>
      </w:r>
    </w:p>
    <w:p>
      <w:pPr>
        <w:spacing w:before="240" w:after="120" w:line="240" w:lineRule="auto"/>
        <w:jc w:val="left"/>
      </w:pPr>
      <w:r>
        <w:rPr>
          <w:rFonts w:ascii="Times New Roman" w:hAnsi="Times New Roman"/>
          <w:b/>
          <w:sz w:val="24"/>
        </w:rPr>
        <w:t>2.2 Variável Alvo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4"/>
        </w:rPr>
        <w:t xml:space="preserve">A variável alvo </w:t>
      </w:r>
      <w:r>
        <w:rPr>
          <w:rFonts w:ascii="Courier New" w:hAnsi="Courier New"/>
          <w:sz w:val="20"/>
        </w:rPr>
        <w:t>alta_violencia</w:t>
      </w:r>
      <w:r>
        <w:rPr>
          <w:rFonts w:ascii="Times New Roman" w:hAnsi="Times New Roman"/>
          <w:sz w:val="24"/>
        </w:rPr>
        <w:t xml:space="preserve"> foi construída em três etapas:</w:t>
      </w:r>
    </w:p>
    <w:p>
      <w:pPr>
        <w:spacing w:before="0" w:after="0" w:line="360" w:lineRule="auto"/>
        <w:ind w:left="709" w:hanging="283"/>
        <w:jc w:val="both"/>
      </w:pPr>
      <w:r>
        <w:rPr>
          <w:rFonts w:ascii="Times New Roman" w:hAnsi="Times New Roman"/>
          <w:sz w:val="24"/>
        </w:rPr>
        <w:t xml:space="preserve">1. </w:t>
      </w:r>
      <w:r>
        <w:rPr>
          <w:rFonts w:ascii="Times New Roman" w:hAnsi="Times New Roman"/>
          <w:b/>
          <w:sz w:val="24"/>
        </w:rPr>
        <w:t>Taxa de homicídios:</w:t>
      </w:r>
      <w:r>
        <w:rPr>
          <w:rFonts w:ascii="Times New Roman" w:hAnsi="Times New Roman"/>
          <w:sz w:val="24"/>
        </w:rPr>
        <w:t xml:space="preserve"> para cada município, calculou-se a taxa de homicídios dolosos por 100 mil habitantes em 2022, usando a população do Censo 2022 como denominador.</w:t>
      </w:r>
    </w:p>
    <w:p>
      <w:pPr>
        <w:spacing w:before="0" w:after="0" w:line="360" w:lineRule="auto"/>
        <w:ind w:left="709" w:hanging="283"/>
        <w:jc w:val="both"/>
      </w:pPr>
      <w:r>
        <w:rPr>
          <w:rFonts w:ascii="Times New Roman" w:hAnsi="Times New Roman"/>
          <w:sz w:val="24"/>
        </w:rPr>
        <w:t xml:space="preserve">2. </w:t>
      </w:r>
      <w:r>
        <w:rPr>
          <w:rFonts w:ascii="Times New Roman" w:hAnsi="Times New Roman"/>
          <w:b/>
          <w:sz w:val="24"/>
        </w:rPr>
        <w:t>Limiar:</w:t>
      </w:r>
      <w:r>
        <w:rPr>
          <w:rFonts w:ascii="Times New Roman" w:hAnsi="Times New Roman"/>
          <w:sz w:val="24"/>
        </w:rPr>
        <w:t xml:space="preserve"> a mediana da distribuição das taxas entre os 5.570 municípios foi calculada, resultando em </w:t>
      </w:r>
      <w:r>
        <w:rPr>
          <w:rFonts w:ascii="Times New Roman" w:hAnsi="Times New Roman"/>
          <w:b/>
          <w:sz w:val="24"/>
        </w:rPr>
        <w:t>12,03 homicídios por 100 mil habitantes</w:t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360" w:lineRule="auto"/>
        <w:ind w:left="709" w:hanging="283"/>
        <w:jc w:val="both"/>
      </w:pPr>
      <w:r>
        <w:rPr>
          <w:rFonts w:ascii="Times New Roman" w:hAnsi="Times New Roman"/>
          <w:sz w:val="24"/>
        </w:rPr>
        <w:t xml:space="preserve">3. </w:t>
      </w:r>
      <w:r>
        <w:rPr>
          <w:rFonts w:ascii="Times New Roman" w:hAnsi="Times New Roman"/>
          <w:b/>
          <w:sz w:val="24"/>
        </w:rPr>
        <w:t>Binarização:</w:t>
      </w:r>
      <w:r>
        <w:rPr>
          <w:rFonts w:ascii="Times New Roman" w:hAnsi="Times New Roman"/>
          <w:sz w:val="24"/>
        </w:rPr>
        <w:t xml:space="preserve"> municípios com taxa acima da mediana recebem </w:t>
      </w:r>
      <w:r>
        <w:rPr>
          <w:rFonts w:ascii="Courier New" w:hAnsi="Courier New"/>
          <w:sz w:val="20"/>
        </w:rPr>
        <w:t>alta_violencia = 1</w:t>
      </w:r>
      <w:r>
        <w:rPr>
          <w:rFonts w:ascii="Times New Roman" w:hAnsi="Times New Roman"/>
          <w:sz w:val="24"/>
        </w:rPr>
        <w:t xml:space="preserve">; abaixo ou igual, </w:t>
      </w:r>
      <w:r>
        <w:rPr>
          <w:rFonts w:ascii="Courier New" w:hAnsi="Courier New"/>
          <w:sz w:val="20"/>
        </w:rPr>
        <w:t>alta_violencia = 0</w:t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4"/>
        </w:rPr>
        <w:t xml:space="preserve">O uso da mediana como limiar garante, por construção, um </w:t>
      </w:r>
      <w:r>
        <w:rPr>
          <w:rFonts w:ascii="Times New Roman" w:hAnsi="Times New Roman"/>
          <w:b/>
          <w:sz w:val="24"/>
        </w:rPr>
        <w:t>balanceamento perfeito de classes (50%/50%)</w:t>
      </w:r>
      <w:r>
        <w:rPr>
          <w:rFonts w:ascii="Times New Roman" w:hAnsi="Times New Roman"/>
          <w:sz w:val="24"/>
        </w:rPr>
        <w:t>, eliminando a necessidade de técnicas de reamostragem e permitindo o uso de métricas não ponderadas.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/>
          <w:sz w:val="24"/>
        </w:rPr>
        <w:t>Importante:</w:t>
      </w:r>
      <w:r>
        <w:rPr>
          <w:rFonts w:ascii="Times New Roman" w:hAnsi="Times New Roman"/>
          <w:sz w:val="24"/>
        </w:rPr>
        <w:t xml:space="preserve"> a variável </w:t>
      </w:r>
      <w:r>
        <w:rPr>
          <w:rFonts w:ascii="Courier New" w:hAnsi="Courier New"/>
          <w:sz w:val="20"/>
        </w:rPr>
        <w:t>taxa_homicidios</w:t>
      </w:r>
      <w:r>
        <w:rPr>
          <w:rFonts w:ascii="Times New Roman" w:hAnsi="Times New Roman"/>
          <w:sz w:val="24"/>
        </w:rPr>
        <w:t xml:space="preserve"> e qualquer dado do Sinesp foram </w:t>
      </w:r>
      <w:r>
        <w:rPr>
          <w:rFonts w:ascii="Times New Roman" w:hAnsi="Times New Roman"/>
          <w:b/>
          <w:sz w:val="24"/>
        </w:rPr>
        <w:t>estritamente excluídos das features (X)</w:t>
      </w:r>
      <w:r>
        <w:rPr>
          <w:rFonts w:ascii="Times New Roman" w:hAnsi="Times New Roman"/>
          <w:sz w:val="24"/>
        </w:rPr>
        <w:t>. Dados de crime servem apenas para construir o alvo (y).</w:t>
      </w:r>
    </w:p>
    <w:p>
      <w:pPr>
        <w:spacing w:before="240" w:after="120" w:line="240" w:lineRule="auto"/>
        <w:jc w:val="left"/>
      </w:pPr>
      <w:r>
        <w:rPr>
          <w:rFonts w:ascii="Times New Roman" w:hAnsi="Times New Roman"/>
          <w:b/>
          <w:sz w:val="24"/>
        </w:rPr>
        <w:t>2.3 Features Selecionadas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4"/>
        </w:rPr>
        <w:t>As 15 features socioeconômicas foram selecionadas com base na literatura criminológica e na disponibilidade de dados com cobertura para todos os 5.570 municípios brasileiros: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20"/>
              </w:rPr>
              <w:t>Feature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20"/>
              </w:rPr>
              <w:t>Descrição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20"/>
              </w:rPr>
              <w:t>Fonte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20"/>
              </w:rPr>
              <w:t>Ano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Courier New" w:hAnsi="Courier New"/>
                <w:sz w:val="20"/>
              </w:rPr>
              <w:t>pop_total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População residente total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SIDRA 9514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2022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Courier New" w:hAnsi="Courier New"/>
                <w:sz w:val="20"/>
              </w:rPr>
              <w:t>pop_urbana_pct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% da população em área urbana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SIDRA 9923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2022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Courier New" w:hAnsi="Courier New"/>
                <w:sz w:val="20"/>
              </w:rPr>
              <w:t>perc_jovens_15_29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% de jovens de 15 a 29 anos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SIDRA 9514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2022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Courier New" w:hAnsi="Courier New"/>
                <w:sz w:val="20"/>
              </w:rPr>
              <w:t>renda_per_capita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Rendimento domiciliar per capita médio (R$)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SIDRA 10295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2022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Courier New" w:hAnsi="Courier New"/>
                <w:sz w:val="20"/>
              </w:rPr>
              <w:t>taxa_desemprego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Taxa de desemprego (%)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SIDRA 9517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2022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Courier New" w:hAnsi="Courier New"/>
                <w:sz w:val="20"/>
              </w:rPr>
              <w:t>taxa_analfabetismo_15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Taxa de analfabetismo — 15 anos ou mais (%)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SIDRA 10135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2022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Courier New" w:hAnsi="Courier New"/>
                <w:sz w:val="20"/>
              </w:rPr>
              <w:t>perc_esgoto_adequado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% de domicílios com esgoto adequado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SIDRA 6805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2022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Courier New" w:hAnsi="Courier New"/>
                <w:sz w:val="20"/>
              </w:rPr>
              <w:t>gini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Índice de Gini do rendimento domiciliar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Atlas Brasil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2010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Courier New" w:hAnsi="Courier New"/>
                <w:sz w:val="20"/>
              </w:rPr>
              <w:t>idhm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IDHM geral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Atlas Brasil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2010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Courier New" w:hAnsi="Courier New"/>
                <w:sz w:val="20"/>
              </w:rPr>
              <w:t>idhm_renda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IDHM — subdimensão Renda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Atlas Brasil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2010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Courier New" w:hAnsi="Courier New"/>
                <w:sz w:val="20"/>
              </w:rPr>
              <w:t>idhm_longevidade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IDHM — subdimensão Longevidade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Atlas Brasil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2010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Courier New" w:hAnsi="Courier New"/>
                <w:sz w:val="20"/>
              </w:rPr>
              <w:t>idhm_educacao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IDHM — subdimensão Educação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Atlas Brasil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2010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Courier New" w:hAnsi="Courier New"/>
                <w:sz w:val="20"/>
              </w:rPr>
              <w:t>perc_pobres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% de pessoas abaixo da linha de pobreza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Atlas Brasil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2010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Courier New" w:hAnsi="Courier New"/>
                <w:sz w:val="20"/>
              </w:rPr>
              <w:t>pib_per_capita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PIB per capita municipal (R$)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SIDRA 5938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2021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Courier New" w:hAnsi="Courier New"/>
                <w:sz w:val="20"/>
              </w:rPr>
              <w:t>densidade_demografica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Densidade demográfica (hab/km²)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IBGE pop÷área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2022/2024</w:t>
            </w:r>
          </w:p>
        </w:tc>
      </w:tr>
    </w:tbl>
    <w:p>
      <w:pPr>
        <w:spacing w:before="120" w:after="120"/>
      </w:pPr>
    </w:p>
    <w:p>
      <w:pPr>
        <w:spacing w:before="240" w:after="120" w:line="240" w:lineRule="auto"/>
        <w:jc w:val="left"/>
      </w:pPr>
      <w:r>
        <w:rPr>
          <w:rFonts w:ascii="Times New Roman" w:hAnsi="Times New Roman"/>
          <w:b/>
          <w:sz w:val="24"/>
        </w:rPr>
        <w:t>2.4 Processo de Integração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4"/>
        </w:rPr>
        <w:t>O cruzamento dos datasets foi realizado pelo código IBGE de 7 dígitos de cada município. O Atlas Brasil utiliza o código de 6 dígitos em alguns registros, exigindo conversão. Além disso, 26 municípios apresentaram discrepância de grafia entre o Atlas Brasil e o cadastro de referência do IBGE — esses casos foram resolvidos por busca fonética e normalização de caracteres especiais, com imputação pela mediana de sua macrorregião nos casos irresolvíveis.</w:t>
      </w:r>
    </w:p>
    <w:p>
      <w:pPr>
        <w:spacing w:before="240" w:after="120" w:line="240" w:lineRule="auto"/>
        <w:jc w:val="left"/>
      </w:pPr>
      <w:r>
        <w:rPr>
          <w:rFonts w:ascii="Times New Roman" w:hAnsi="Times New Roman"/>
          <w:b/>
          <w:sz w:val="24"/>
        </w:rPr>
        <w:t>2.5 Tratamento de Valores Ausentes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4"/>
        </w:rPr>
        <w:t xml:space="preserve">Após o cruzamento, o dataset apresentou no máximo 0,59% de valores nulos por coluna. Todos os nulos foram imputados pela </w:t>
      </w:r>
      <w:r>
        <w:rPr>
          <w:rFonts w:ascii="Times New Roman" w:hAnsi="Times New Roman"/>
          <w:b/>
          <w:sz w:val="24"/>
        </w:rPr>
        <w:t>mediana da respectiva coluna</w:t>
      </w:r>
      <w:r>
        <w:rPr>
          <w:rFonts w:ascii="Times New Roman" w:hAnsi="Times New Roman"/>
          <w:sz w:val="24"/>
        </w:rPr>
        <w:t xml:space="preserve">, estratégia robusta a outliers e adequada ao perfil assimétrico de diversas features (renda, PIB, população). O dataset final possui </w:t>
      </w:r>
      <w:r>
        <w:rPr>
          <w:rFonts w:ascii="Times New Roman" w:hAnsi="Times New Roman"/>
          <w:b/>
          <w:sz w:val="24"/>
        </w:rPr>
        <w:t>zero valores ausentes</w:t>
      </w:r>
      <w:r>
        <w:rPr>
          <w:rFonts w:ascii="Times New Roman" w:hAnsi="Times New Roman"/>
          <w:sz w:val="24"/>
        </w:rPr>
        <w:t>.</w:t>
      </w:r>
    </w:p>
    <w:p>
      <w:pPr>
        <w:spacing w:before="240" w:after="120" w:line="240" w:lineRule="auto"/>
        <w:jc w:val="left"/>
      </w:pPr>
      <w:r>
        <w:rPr>
          <w:rFonts w:ascii="Times New Roman" w:hAnsi="Times New Roman"/>
          <w:b/>
          <w:sz w:val="24"/>
        </w:rPr>
        <w:t>2.6 Estatísticas Descritivas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4"/>
        </w:rPr>
        <w:t xml:space="preserve">O dataset final contém </w:t>
      </w:r>
      <w:r>
        <w:rPr>
          <w:rFonts w:ascii="Times New Roman" w:hAnsi="Times New Roman"/>
          <w:b/>
          <w:sz w:val="24"/>
        </w:rPr>
        <w:t>5.570 municípios × 18 colunas</w:t>
      </w:r>
      <w:r>
        <w:rPr>
          <w:rFonts w:ascii="Times New Roman" w:hAnsi="Times New Roman"/>
          <w:sz w:val="24"/>
        </w:rPr>
        <w:t xml:space="preserve"> (15 features + </w:t>
      </w:r>
      <w:r>
        <w:rPr>
          <w:rFonts w:ascii="Courier New" w:hAnsi="Courier New"/>
          <w:sz w:val="20"/>
        </w:rPr>
        <w:t>cod_ibge</w:t>
      </w:r>
      <w:r>
        <w:rPr>
          <w:rFonts w:ascii="Times New Roman" w:hAnsi="Times New Roman"/>
          <w:sz w:val="24"/>
        </w:rPr>
        <w:t xml:space="preserve"> + </w:t>
      </w:r>
      <w:r>
        <w:rPr>
          <w:rFonts w:ascii="Courier New" w:hAnsi="Courier New"/>
          <w:sz w:val="20"/>
        </w:rPr>
        <w:t>taxa_homicidios</w:t>
      </w:r>
      <w:r>
        <w:rPr>
          <w:rFonts w:ascii="Times New Roman" w:hAnsi="Times New Roman"/>
          <w:sz w:val="24"/>
        </w:rPr>
        <w:t xml:space="preserve"> + </w:t>
      </w:r>
      <w:r>
        <w:rPr>
          <w:rFonts w:ascii="Courier New" w:hAnsi="Courier New"/>
          <w:sz w:val="20"/>
        </w:rPr>
        <w:t>alta_violencia</w:t>
      </w:r>
      <w:r>
        <w:rPr>
          <w:rFonts w:ascii="Times New Roman" w:hAnsi="Times New Roman"/>
          <w:sz w:val="24"/>
        </w:rPr>
        <w:t>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20"/>
              </w:rPr>
              <w:t>Feature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20"/>
              </w:rPr>
              <w:t>Média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20"/>
              </w:rPr>
              <w:t>Desvio Padrão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20"/>
              </w:rPr>
              <w:t>Mínimo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20"/>
              </w:rPr>
              <w:t>Máximo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pop_total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38.430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219.168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804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11.451.245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pop_urbana_pct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65,5%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23,3%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0%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100%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perc_jovens_15_29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20,1%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3,0%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8,0%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41,1%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renda_per_capita (R$)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1.274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622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234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8.481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taxa_desemprego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7,2%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4,0%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0%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44,7%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taxa_analfabetismo_15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10,4%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9,2%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0%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56,7%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perc_esgoto_adequado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44,1%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35,2%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0%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100%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gini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0,494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0,066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0,230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0,830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idhm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0,665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0,072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0,418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0,862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idhm_renda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0,661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0,075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0,376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0,909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idhm_longevidade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0,818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0,044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0,583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0,934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idhm_educacao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0,554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0,101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0,168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0,888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perc_pobres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23,2%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17,9%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0,1%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84,3%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pib_per_capita (R$)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31.264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42.508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3.282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1.484.935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densidade_demografica (hab/km²)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109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659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0,07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13.024</w:t>
            </w:r>
          </w:p>
        </w:tc>
      </w:tr>
    </w:tbl>
    <w:p>
      <w:pPr>
        <w:spacing w:before="120" w:after="120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4"/>
        </w:rPr>
        <w:t xml:space="preserve">A análise exploratória revelou que a feature com maior correlação linear com a variável alvo é </w:t>
      </w:r>
      <w:r>
        <w:rPr>
          <w:rFonts w:ascii="Courier New" w:hAnsi="Courier New"/>
          <w:sz w:val="20"/>
        </w:rPr>
        <w:t>perc_jovens_15_29</w:t>
      </w:r>
      <w:r>
        <w:rPr>
          <w:rFonts w:ascii="Times New Roman" w:hAnsi="Times New Roman"/>
          <w:sz w:val="24"/>
        </w:rPr>
        <w:t xml:space="preserve"> (ρ = 0,285), seguida de </w:t>
      </w:r>
      <w:r>
        <w:rPr>
          <w:rFonts w:ascii="Courier New" w:hAnsi="Courier New"/>
          <w:sz w:val="20"/>
        </w:rPr>
        <w:t>perc_esgoto_adequado</w:t>
      </w:r>
      <w:r>
        <w:rPr>
          <w:rFonts w:ascii="Times New Roman" w:hAnsi="Times New Roman"/>
          <w:sz w:val="24"/>
        </w:rPr>
        <w:t xml:space="preserve"> (ρ = −0,264) e </w:t>
      </w:r>
      <w:r>
        <w:rPr>
          <w:rFonts w:ascii="Courier New" w:hAnsi="Courier New"/>
          <w:sz w:val="20"/>
        </w:rPr>
        <w:t>idhm_longevidade</w:t>
      </w:r>
      <w:r>
        <w:rPr>
          <w:rFonts w:ascii="Times New Roman" w:hAnsi="Times New Roman"/>
          <w:sz w:val="24"/>
        </w:rPr>
        <w:t xml:space="preserve"> (ρ = −0,251). Notavelmente, </w:t>
      </w:r>
      <w:r>
        <w:rPr>
          <w:rFonts w:ascii="Courier New" w:hAnsi="Courier New"/>
          <w:sz w:val="20"/>
        </w:rPr>
        <w:t>densidade_demografica</w:t>
      </w:r>
      <w:r>
        <w:rPr>
          <w:rFonts w:ascii="Times New Roman" w:hAnsi="Times New Roman"/>
          <w:sz w:val="24"/>
        </w:rPr>
        <w:t xml:space="preserve"> e </w:t>
      </w:r>
      <w:r>
        <w:rPr>
          <w:rFonts w:ascii="Courier New" w:hAnsi="Courier New"/>
          <w:sz w:val="20"/>
        </w:rPr>
        <w:t>pib_per_capita</w:t>
      </w:r>
      <w:r>
        <w:rPr>
          <w:rFonts w:ascii="Times New Roman" w:hAnsi="Times New Roman"/>
          <w:sz w:val="24"/>
        </w:rPr>
        <w:t xml:space="preserve"> apresentaram correlação próxima de zero com o alvo, indicando que o tamanho econômico do município importa menos do que a distribuição interna de renda e a estrutura demográfica.</w:t>
      </w:r>
    </w:p>
    <w:p>
      <w:pPr>
        <w:spacing w:before="360" w:after="120" w:line="240" w:lineRule="auto"/>
        <w:jc w:val="left"/>
      </w:pPr>
      <w:r>
        <w:rPr>
          <w:rFonts w:ascii="Times New Roman" w:hAnsi="Times New Roman"/>
          <w:b/>
          <w:sz w:val="24"/>
        </w:rPr>
        <w:t>3. PRÉ-PROCESSAMENTO</w:t>
      </w:r>
    </w:p>
    <w:p>
      <w:pPr>
        <w:spacing w:before="240" w:after="120" w:line="240" w:lineRule="auto"/>
        <w:jc w:val="left"/>
      </w:pPr>
      <w:r>
        <w:rPr>
          <w:rFonts w:ascii="Times New Roman" w:hAnsi="Times New Roman"/>
          <w:b/>
          <w:sz w:val="24"/>
        </w:rPr>
        <w:t>3.1 Separação Treino/Teste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4"/>
        </w:rPr>
        <w:t xml:space="preserve">O dataset foi dividido em conjuntos de treino (80%) e teste (20%) utilizando </w:t>
      </w:r>
      <w:r>
        <w:rPr>
          <w:rFonts w:ascii="Times New Roman" w:hAnsi="Times New Roman"/>
          <w:b/>
          <w:sz w:val="24"/>
        </w:rPr>
        <w:t>estratificação pela variável alvo</w:t>
      </w:r>
      <w:r>
        <w:rPr>
          <w:rFonts w:ascii="Times New Roman" w:hAnsi="Times New Roman"/>
          <w:sz w:val="24"/>
        </w:rPr>
        <w:t>, garantindo que a proporção de 50%/50% seja preservada em ambos os conjuntos:</w:t>
      </w:r>
    </w:p>
    <w:p>
      <w:pPr>
        <w:spacing w:before="0" w:after="0" w:line="360" w:lineRule="auto"/>
        <w:ind w:left="709" w:hanging="283"/>
        <w:jc w:val="both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Treino:</w:t>
      </w:r>
      <w:r>
        <w:rPr>
          <w:rFonts w:ascii="Times New Roman" w:hAnsi="Times New Roman"/>
          <w:sz w:val="24"/>
        </w:rPr>
        <w:t xml:space="preserve"> 4.456 municípios (2.228 de cada classe)</w:t>
      </w:r>
    </w:p>
    <w:p>
      <w:pPr>
        <w:spacing w:before="0" w:after="0" w:line="360" w:lineRule="auto"/>
        <w:ind w:left="709" w:hanging="283"/>
        <w:jc w:val="both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Teste:</w:t>
      </w:r>
      <w:r>
        <w:rPr>
          <w:rFonts w:ascii="Times New Roman" w:hAnsi="Times New Roman"/>
          <w:sz w:val="24"/>
        </w:rPr>
        <w:t xml:space="preserve"> 1.114 municípios (557 de cada classe)</w:t>
      </w:r>
    </w:p>
    <w:p>
      <w:pPr>
        <w:spacing w:before="0" w:after="0" w:line="360" w:lineRule="auto"/>
        <w:ind w:left="709" w:hanging="283"/>
        <w:jc w:val="both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Semente aleatória:</w:t>
      </w:r>
      <w:r>
        <w:rPr>
          <w:rFonts w:ascii="Times New Roman" w:hAnsi="Times New Roman"/>
          <w:sz w:val="24"/>
        </w:rPr>
        <w:t xml:space="preserve"> 42 (reprodutibilidade)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4"/>
        </w:rPr>
        <w:t xml:space="preserve">A proporção 80/20 é adequada ao tamanho do dataset: o conjunto de teste possui 1.114 amostras, suficiente para estimativas estáveis das métricas de generalização. O conjunto de teste permaneceu </w:t>
      </w:r>
      <w:r>
        <w:rPr>
          <w:rFonts w:ascii="Times New Roman" w:hAnsi="Times New Roman"/>
          <w:b/>
          <w:sz w:val="24"/>
        </w:rPr>
        <w:t>completamente isolado</w:t>
      </w:r>
      <w:r>
        <w:rPr>
          <w:rFonts w:ascii="Times New Roman" w:hAnsi="Times New Roman"/>
          <w:sz w:val="24"/>
        </w:rPr>
        <w:t xml:space="preserve"> até a fase final de avaliação — nenhum hiperparâmetro foi selecionado com base em seu desempenho.</w:t>
      </w:r>
    </w:p>
    <w:p>
      <w:pPr>
        <w:spacing w:before="240" w:after="120" w:line="240" w:lineRule="auto"/>
        <w:jc w:val="left"/>
      </w:pPr>
      <w:r>
        <w:rPr>
          <w:rFonts w:ascii="Times New Roman" w:hAnsi="Times New Roman"/>
          <w:b/>
          <w:sz w:val="24"/>
        </w:rPr>
        <w:t>3.2 Normalização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4"/>
        </w:rPr>
        <w:t xml:space="preserve">Foi aplicada </w:t>
      </w:r>
      <w:r>
        <w:rPr>
          <w:rFonts w:ascii="Times New Roman" w:hAnsi="Times New Roman"/>
          <w:b/>
          <w:sz w:val="24"/>
        </w:rPr>
        <w:t>padronização Z-score</w:t>
      </w:r>
      <w:r>
        <w:rPr>
          <w:rFonts w:ascii="Times New Roman" w:hAnsi="Times New Roman"/>
          <w:sz w:val="24"/>
        </w:rPr>
        <w:t xml:space="preserve"> (StandardScaler) a todas as 15 features:</w:t>
      </w:r>
    </w:p>
    <w:p>
      <w:pPr>
        <w:spacing w:before="0" w:after="0" w:line="240" w:lineRule="auto"/>
        <w:ind w:firstLine="0" w:left="1701" w:right="1701"/>
        <w:jc w:val="both"/>
      </w:pPr>
      <w:r>
        <w:rPr>
          <w:rFonts w:ascii="Courier New" w:hAnsi="Courier New"/>
          <w:sz w:val="20"/>
        </w:rPr>
        <w:t>x' = (x - μ) / σ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4"/>
        </w:rPr>
        <w:t xml:space="preserve">onde μ e σ são calculados </w:t>
      </w:r>
      <w:r>
        <w:rPr>
          <w:rFonts w:ascii="Times New Roman" w:hAnsi="Times New Roman"/>
          <w:b/>
          <w:sz w:val="24"/>
        </w:rPr>
        <w:t>exclusivamente sobre o conjunto de treino</w:t>
      </w:r>
      <w:r>
        <w:rPr>
          <w:rFonts w:ascii="Times New Roman" w:hAnsi="Times New Roman"/>
          <w:sz w:val="24"/>
        </w:rPr>
        <w:t xml:space="preserve"> e aplicados tanto ao treino quanto ao teste, evitando data leakage. Após a transformação, o treino apresentou média ≈ 0 e desvio padrão ≈ 1 em todas as colunas.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4"/>
        </w:rPr>
        <w:t xml:space="preserve">A padronização é </w:t>
      </w:r>
      <w:r>
        <w:rPr>
          <w:rFonts w:ascii="Times New Roman" w:hAnsi="Times New Roman"/>
          <w:b/>
          <w:sz w:val="24"/>
        </w:rPr>
        <w:t>obrigatória</w:t>
      </w:r>
      <w:r>
        <w:rPr>
          <w:rFonts w:ascii="Times New Roman" w:hAnsi="Times New Roman"/>
          <w:sz w:val="24"/>
        </w:rPr>
        <w:t xml:space="preserve"> para SVM e Rede Neural, pois esses modelos são sensíveis à escala das features (o kernel RBF usa distâncias euclidianas; o gradiente descendente converge mais rapidamente com features na mesma escala). Para a Árvore de Decisão, a padronização é irrelevante (splits são invariantes a transformações monotônicas), mas foi aplicada uniformemente para manter o pipeline consistente.</w:t>
      </w:r>
    </w:p>
    <w:p>
      <w:pPr>
        <w:spacing w:before="360" w:after="120" w:line="240" w:lineRule="auto"/>
        <w:jc w:val="left"/>
      </w:pPr>
      <w:r>
        <w:rPr>
          <w:rFonts w:ascii="Times New Roman" w:hAnsi="Times New Roman"/>
          <w:b/>
          <w:sz w:val="24"/>
        </w:rPr>
        <w:t>4. REDE NEURAL</w:t>
      </w:r>
    </w:p>
    <w:p>
      <w:pPr>
        <w:spacing w:before="240" w:after="120" w:line="240" w:lineRule="auto"/>
        <w:jc w:val="left"/>
      </w:pPr>
      <w:r>
        <w:rPr>
          <w:rFonts w:ascii="Times New Roman" w:hAnsi="Times New Roman"/>
          <w:b/>
          <w:sz w:val="24"/>
        </w:rPr>
        <w:t>4.1 Justificativa da Arquitetura via Dimensão VC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4"/>
        </w:rPr>
        <w:t xml:space="preserve">A arquitetura da rede foi dimensionada pela </w:t>
      </w:r>
      <w:r>
        <w:rPr>
          <w:rFonts w:ascii="Times New Roman" w:hAnsi="Times New Roman"/>
          <w:b/>
          <w:sz w:val="24"/>
        </w:rPr>
        <w:t>Regra de Ouro</w:t>
      </w:r>
      <w:r>
        <w:rPr>
          <w:rFonts w:ascii="Times New Roman" w:hAnsi="Times New Roman"/>
          <w:sz w:val="24"/>
        </w:rPr>
        <w:t>: para aprender de forma confiável, o número de amostras de treino N deve satisfazer N ≥ 10 · d_VC, onde d_VC é a dimensão de Vapnik–Chervonenkis do modelo.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4"/>
        </w:rPr>
        <w:t>Para uma rede MLP com camadas de tamanho [n₀, n₁, n₂, n₃], a dimensão VC é aproximada pelo número total de pesos ajustáveis (incluindo bias):</w:t>
      </w:r>
    </w:p>
    <w:p>
      <w:pPr>
        <w:spacing w:before="0" w:after="0" w:line="240" w:lineRule="auto"/>
        <w:ind w:firstLine="0" w:left="1701" w:right="1701"/>
        <w:jc w:val="both"/>
      </w:pPr>
      <w:r>
        <w:rPr>
          <w:rFonts w:ascii="Courier New" w:hAnsi="Courier New"/>
          <w:sz w:val="20"/>
        </w:rPr>
        <w:t>d_VC ≈ Σ (n_l + 1) × n_{l+1}    para l = 0, ..., L-1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4"/>
        </w:rPr>
        <w:t xml:space="preserve">A arquitetura escolhida foi </w:t>
      </w:r>
      <w:r>
        <w:rPr>
          <w:rFonts w:ascii="Times New Roman" w:hAnsi="Times New Roman"/>
          <w:b/>
          <w:sz w:val="24"/>
        </w:rPr>
        <w:t>[15 → 16 → 8 → 1]</w:t>
      </w:r>
      <w:r>
        <w:rPr>
          <w:rFonts w:ascii="Times New Roman" w:hAnsi="Times New Roman"/>
          <w:sz w:val="24"/>
        </w:rPr>
        <w:t>:</w:t>
      </w:r>
    </w:p>
    <w:p>
      <w:pPr>
        <w:spacing w:before="0" w:after="0" w:line="240" w:lineRule="auto"/>
        <w:ind w:firstLine="0" w:left="1701" w:right="1701"/>
        <w:jc w:val="both"/>
      </w:pPr>
      <w:r>
        <w:rPr>
          <w:rFonts w:ascii="Courier New" w:hAnsi="Courier New"/>
          <w:sz w:val="20"/>
        </w:rPr>
        <w:t>d_VC = (15+1)×16 + (16+1)×8 + (8+1)×1 = 256 + 136 + 9 = 401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4"/>
        </w:rPr>
        <w:t>Com N = 4.456 amostras de treino:</w:t>
      </w:r>
    </w:p>
    <w:p>
      <w:pPr>
        <w:spacing w:before="0" w:after="0" w:line="240" w:lineRule="auto"/>
        <w:ind w:firstLine="0" w:left="1701" w:right="1701"/>
        <w:jc w:val="both"/>
      </w:pPr>
      <w:r>
        <w:rPr>
          <w:rFonts w:ascii="Courier New" w:hAnsi="Courier New"/>
          <w:sz w:val="20"/>
        </w:rPr>
        <w:t>N / d_VC = 4456 / 401 = 11,1 ≥ 10  ✓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4"/>
        </w:rPr>
        <w:t xml:space="preserve">A Regra de Ouro é satisfeita. A existência de pelo menos uma camada oculta com ativação ReLU garante o </w:t>
      </w:r>
      <w:r>
        <w:rPr>
          <w:rFonts w:ascii="Times New Roman" w:hAnsi="Times New Roman"/>
          <w:b/>
          <w:sz w:val="24"/>
        </w:rPr>
        <w:t>Teorema da Aproximação Universal</w:t>
      </w:r>
      <w:r>
        <w:rPr>
          <w:rFonts w:ascii="Times New Roman" w:hAnsi="Times New Roman"/>
          <w:sz w:val="24"/>
        </w:rPr>
        <w:t xml:space="preserve"> — a rede tem capacidade teórica para aproximar qualquer função contínua com precisão arbitrária, dado treinamento adequado.</w:t>
      </w:r>
    </w:p>
    <w:p>
      <w:pPr>
        <w:spacing w:before="240" w:after="120" w:line="240" w:lineRule="auto"/>
        <w:jc w:val="left"/>
      </w:pPr>
      <w:r>
        <w:rPr>
          <w:rFonts w:ascii="Times New Roman" w:hAnsi="Times New Roman"/>
          <w:b/>
          <w:sz w:val="24"/>
        </w:rPr>
        <w:t>4.2 Regularização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4"/>
        </w:rPr>
        <w:t>Para controlar o overfitting, foram aplicadas duas estratégias:</w:t>
      </w:r>
    </w:p>
    <w:p>
      <w:pPr>
        <w:spacing w:before="0" w:after="0" w:line="360" w:lineRule="auto"/>
        <w:ind w:left="709" w:hanging="283"/>
        <w:jc w:val="both"/>
      </w:pPr>
      <w:r>
        <w:rPr>
          <w:rFonts w:ascii="Times New Roman" w:hAnsi="Times New Roman"/>
          <w:sz w:val="24"/>
        </w:rPr>
        <w:t>• Early Stopping (paciência = 12 épocas): monitora a loss de validação e restaura os pesos da melhor época.</w:t>
      </w:r>
      <w:r>
        <w:rPr>
          <w:rFonts w:ascii="Times New Roman" w:hAnsi="Times New Roman"/>
          <w:b/>
          <w:sz w:val="24"/>
        </w:rPr>
      </w:r>
      <w:r>
        <w:rPr>
          <w:rFonts w:ascii="Times New Roman" w:hAnsi="Times New Roman"/>
          <w:sz w:val="24"/>
        </w:rPr>
      </w:r>
    </w:p>
    <w:p>
      <w:pPr>
        <w:spacing w:before="0" w:after="0" w:line="360" w:lineRule="auto"/>
        <w:ind w:left="709" w:hanging="283"/>
        <w:jc w:val="both"/>
      </w:pPr>
      <w:r>
        <w:rPr>
          <w:rFonts w:ascii="Times New Roman" w:hAnsi="Times New Roman"/>
          <w:sz w:val="24"/>
        </w:rPr>
        <w:t>• Semente fixa + execução determinística: reduz variação entre execuções da rede para comparação estável.</w:t>
      </w:r>
      <w:r>
        <w:rPr>
          <w:rFonts w:ascii="Times New Roman" w:hAnsi="Times New Roman"/>
          <w:b/>
          <w:sz w:val="24"/>
        </w:rPr>
      </w:r>
      <w:r>
        <w:rPr>
          <w:rFonts w:ascii="Times New Roman" w:hAnsi="Times New Roman"/>
          <w:sz w:val="24"/>
        </w:rPr>
      </w:r>
    </w:p>
    <w:p>
      <w:pPr>
        <w:spacing w:before="0" w:after="0" w:line="360" w:lineRule="auto"/>
        <w:ind w:left="709" w:hanging="283"/>
        <w:jc w:val="both"/>
      </w:pPr>
      <w:r>
        <w:rPr>
          <w:rFonts w:ascii="Times New Roman" w:hAnsi="Times New Roman"/>
          <w:sz w:val="24"/>
        </w:rPr>
        <w:t>• Early Stopping (paciência = 12 épocas): monitora a loss de validação e restaura os pesos da melhor época.</w:t>
      </w:r>
      <w:r>
        <w:rPr>
          <w:rFonts w:ascii="Times New Roman" w:hAnsi="Times New Roman"/>
          <w:b/>
          <w:sz w:val="24"/>
        </w:rPr>
      </w:r>
      <w:r>
        <w:rPr>
          <w:rFonts w:ascii="Times New Roman" w:hAnsi="Times New Roman"/>
          <w:sz w:val="24"/>
        </w:rPr>
      </w:r>
    </w:p>
    <w:p>
      <w:pPr>
        <w:spacing w:before="240" w:after="120" w:line="240" w:lineRule="auto"/>
        <w:jc w:val="left"/>
      </w:pPr>
      <w:r>
        <w:rPr>
          <w:rFonts w:ascii="Times New Roman" w:hAnsi="Times New Roman"/>
          <w:b/>
          <w:sz w:val="24"/>
        </w:rPr>
        <w:t>4.3 Parâmetros de Treinamento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20"/>
              </w:rPr>
              <w:t>Parâmetro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20"/>
              </w:rPr>
              <w:t>Valor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20"/>
              </w:rPr>
              <w:t>Justificativa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Otimizador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Adam (lr = 0,001)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Adaptativo, convergência rápida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Função de loss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Binary cross-entropy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Padrão para classificação binária com saída sigmóide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Batch size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64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Equilíbrio entre estabilidade do gradiente e velocidade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Épocas máximas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300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Limite superior; early stopping interrompe antes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Melhor época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t>29 (parada na 41)</w:t>
            </w: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Determinada pelo menor val_loss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Split interno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80% treino efetivo / 20% validação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Validação interna para early stopping</w:t>
            </w:r>
          </w:p>
        </w:tc>
      </w:tr>
    </w:tbl>
    <w:p>
      <w:pPr>
        <w:spacing w:before="120" w:after="120"/>
      </w:pPr>
    </w:p>
    <w:p>
      <w:pPr>
        <w:spacing w:before="240" w:after="120" w:line="240" w:lineRule="auto"/>
        <w:jc w:val="left"/>
      </w:pPr>
      <w:r>
        <w:rPr>
          <w:rFonts w:ascii="Times New Roman" w:hAnsi="Times New Roman"/>
          <w:b/>
          <w:sz w:val="24"/>
        </w:rPr>
        <w:t>4.4 Resultados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20"/>
              </w:rPr>
              <w:t>Métrica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20"/>
              </w:rPr>
              <w:t>Valor</w:t>
            </w:r>
          </w:p>
        </w:tc>
      </w:tr>
      <w:tr>
        <w:tc>
          <w:tcPr>
            <w:tcW w:type="dxa" w:w="470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E_in (erro de treino)</w:t>
            </w:r>
          </w:p>
        </w:tc>
        <w:tc>
          <w:tcPr>
            <w:tcW w:type="dxa" w:w="4702"/>
          </w:tcPr>
          <w:p>
            <w:pPr>
              <w:jc w:val="left"/>
            </w:pPr>
            <w:r>
              <w:t>30,77%</w:t>
            </w: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470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E_out (erro de teste)</w:t>
            </w:r>
          </w:p>
        </w:tc>
        <w:tc>
          <w:tcPr>
            <w:tcW w:type="dxa" w:w="4702"/>
          </w:tcPr>
          <w:p>
            <w:pPr>
              <w:jc w:val="left"/>
            </w:pPr>
            <w:r>
              <w:t>34,02%</w:t>
            </w: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470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Gap (E_out − E_in)</w:t>
            </w:r>
          </w:p>
        </w:tc>
        <w:tc>
          <w:tcPr>
            <w:tcW w:type="dxa" w:w="4702"/>
          </w:tcPr>
          <w:p>
            <w:pPr>
              <w:jc w:val="left"/>
            </w:pPr>
            <w:r>
              <w:t>3,25%</w:t>
            </w: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470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Acurácia</w:t>
            </w:r>
          </w:p>
        </w:tc>
        <w:tc>
          <w:tcPr>
            <w:tcW w:type="dxa" w:w="4702"/>
          </w:tcPr>
          <w:p>
            <w:pPr>
              <w:jc w:val="left"/>
            </w:pPr>
            <w:r>
              <w:t>65,98%</w:t>
            </w: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470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Precisão</w:t>
            </w:r>
          </w:p>
        </w:tc>
        <w:tc>
          <w:tcPr>
            <w:tcW w:type="dxa" w:w="4702"/>
          </w:tcPr>
          <w:p>
            <w:pPr>
              <w:jc w:val="left"/>
            </w:pPr>
            <w:r>
              <w:t>66,30%</w:t>
            </w: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470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Recall</w:t>
            </w:r>
          </w:p>
        </w:tc>
        <w:tc>
          <w:tcPr>
            <w:tcW w:type="dxa" w:w="4702"/>
          </w:tcPr>
          <w:p>
            <w:pPr>
              <w:jc w:val="left"/>
            </w:pPr>
            <w:r>
              <w:t>64,99%</w:t>
            </w: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470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F1-score</w:t>
            </w:r>
          </w:p>
        </w:tc>
        <w:tc>
          <w:tcPr>
            <w:tcW w:type="dxa" w:w="4702"/>
          </w:tcPr>
          <w:p>
            <w:pPr>
              <w:jc w:val="left"/>
            </w:pPr>
            <w:r>
              <w:t>65,64%</w:t>
            </w:r>
            <w:r>
              <w:rPr>
                <w:rFonts w:ascii="Times New Roman" w:hAnsi="Times New Roman"/>
                <w:sz w:val="20"/>
              </w:rPr>
            </w:r>
          </w:p>
        </w:tc>
      </w:tr>
    </w:tbl>
    <w:p>
      <w:pPr>
        <w:spacing w:before="120" w:after="120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4"/>
        </w:rPr>
        <w:t>O gap de 3,25% está abaixo do limiar de 5% adotado como critério de overfitting, confirmando que a regularização foi eficaz. A curva de loss por época demonstra convergência estável com val_loss acompanhando a train_loss sem divergência expressiva.</w:t>
      </w:r>
    </w:p>
    <w:p>
      <w:pPr>
        <w:spacing w:before="360" w:after="120" w:line="240" w:lineRule="auto"/>
        <w:jc w:val="left"/>
      </w:pPr>
      <w:r>
        <w:rPr>
          <w:rFonts w:ascii="Times New Roman" w:hAnsi="Times New Roman"/>
          <w:b/>
          <w:sz w:val="24"/>
        </w:rPr>
        <w:t>5. ÁRVORE DE DECISÃO</w:t>
      </w:r>
    </w:p>
    <w:p>
      <w:pPr>
        <w:spacing w:before="240" w:after="120" w:line="240" w:lineRule="auto"/>
        <w:jc w:val="left"/>
      </w:pPr>
      <w:r>
        <w:rPr>
          <w:rFonts w:ascii="Times New Roman" w:hAnsi="Times New Roman"/>
          <w:b/>
          <w:sz w:val="24"/>
        </w:rPr>
        <w:t>5.1 Árvore Sem Poda — Demonstração de Overfitting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4"/>
        </w:rPr>
        <w:t>Uma árvore de decisão irrestrita foi treinada como experimento inicial. O resultado demonstra o overfitting de forma inequívoca: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20"/>
              </w:rPr>
              <w:t>Métrica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20"/>
              </w:rPr>
              <w:t>Sem poda</w:t>
            </w:r>
          </w:p>
        </w:tc>
      </w:tr>
      <w:tr>
        <w:tc>
          <w:tcPr>
            <w:tcW w:type="dxa" w:w="470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E_in</w:t>
            </w:r>
          </w:p>
        </w:tc>
        <w:tc>
          <w:tcPr>
            <w:tcW w:type="dxa" w:w="470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0,00%</w:t>
            </w:r>
          </w:p>
        </w:tc>
      </w:tr>
      <w:tr>
        <w:tc>
          <w:tcPr>
            <w:tcW w:type="dxa" w:w="470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E_out</w:t>
            </w:r>
          </w:p>
        </w:tc>
        <w:tc>
          <w:tcPr>
            <w:tcW w:type="dxa" w:w="4702"/>
          </w:tcPr>
          <w:p>
            <w:pPr>
              <w:jc w:val="left"/>
            </w:pPr>
            <w:r>
              <w:t>39,32%</w:t>
            </w: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470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Gap</w:t>
            </w:r>
          </w:p>
        </w:tc>
        <w:tc>
          <w:tcPr>
            <w:tcW w:type="dxa" w:w="4702"/>
          </w:tcPr>
          <w:p>
            <w:pPr>
              <w:jc w:val="left"/>
            </w:pPr>
            <w:r>
              <w:t>39,32%</w:t>
            </w: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470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Folhas</w:t>
            </w:r>
          </w:p>
        </w:tc>
        <w:tc>
          <w:tcPr>
            <w:tcW w:type="dxa" w:w="470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821</w:t>
            </w:r>
          </w:p>
        </w:tc>
      </w:tr>
      <w:tr>
        <w:tc>
          <w:tcPr>
            <w:tcW w:type="dxa" w:w="470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Profundidade máxima</w:t>
            </w:r>
          </w:p>
        </w:tc>
        <w:tc>
          <w:tcPr>
            <w:tcW w:type="dxa" w:w="4702"/>
          </w:tcPr>
          <w:p>
            <w:r>
              <w:t>24</w:t>
            </w:r>
          </w:p>
        </w:tc>
      </w:tr>
    </w:tbl>
    <w:p>
      <w:pPr>
        <w:spacing w:before="120" w:after="120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4"/>
        </w:rPr>
        <w:t>E_in = 0% indica memorização perfeita do treino. O gap de 39,3 pontos percentuais confirma que a árvore não generalizou — poda é necessária.</w:t>
      </w:r>
    </w:p>
    <w:p>
      <w:pPr>
        <w:spacing w:before="240" w:after="120" w:line="240" w:lineRule="auto"/>
        <w:jc w:val="left"/>
      </w:pPr>
      <w:r>
        <w:rPr>
          <w:rFonts w:ascii="Times New Roman" w:hAnsi="Times New Roman"/>
          <w:b/>
          <w:sz w:val="24"/>
        </w:rPr>
        <w:t>5.2 Poda via Minimal Cost-Complexity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4"/>
        </w:rPr>
        <w:t xml:space="preserve">O método de </w:t>
      </w:r>
      <w:r>
        <w:rPr>
          <w:rFonts w:ascii="Times New Roman" w:hAnsi="Times New Roman"/>
          <w:b/>
          <w:sz w:val="24"/>
        </w:rPr>
        <w:t>Minimal Cost-Complexity Pruning</w:t>
      </w:r>
      <w:r>
        <w:rPr>
          <w:rFonts w:ascii="Times New Roman" w:hAnsi="Times New Roman"/>
          <w:sz w:val="24"/>
        </w:rPr>
        <w:t xml:space="preserve"> (MCCP) seleciona a subárvore que minimiza:</w:t>
      </w:r>
    </w:p>
    <w:p>
      <w:pPr>
        <w:spacing w:before="0" w:after="0" w:line="240" w:lineRule="auto"/>
        <w:ind w:firstLine="0" w:left="1701" w:right="1701"/>
        <w:jc w:val="both"/>
      </w:pPr>
      <w:r>
        <w:rPr>
          <w:rFonts w:ascii="Courier New" w:hAnsi="Courier New"/>
          <w:sz w:val="20"/>
        </w:rPr>
        <w:t>R_α(T) = R(T) + α × |T|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4"/>
        </w:rPr>
        <w:t>onde R(T) é o erro de classificação, |T| é o número de folhas e α ≥ 0 é o parâmetro de regularização.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/>
          <w:sz w:val="24"/>
        </w:rPr>
        <w:t>Procedimento:</w:t>
      </w:r>
    </w:p>
    <w:p>
      <w:pPr>
        <w:spacing w:before="0" w:after="0" w:line="360" w:lineRule="auto"/>
        <w:ind w:left="709" w:hanging="283"/>
        <w:jc w:val="both"/>
      </w:pPr>
      <w:r>
        <w:rPr>
          <w:rFonts w:ascii="Times New Roman" w:hAnsi="Times New Roman"/>
          <w:sz w:val="24"/>
        </w:rPr>
        <w:t>1. O caminho completo de valores candidatos de α foi calculado pelo scikit-learn (</w:t>
      </w:r>
      <w:r>
        <w:rPr>
          <w:rFonts w:ascii="Courier New" w:hAnsi="Courier New"/>
          <w:sz w:val="20"/>
        </w:rPr>
        <w:t>cost_complexity_pruning_path</w:t>
      </w:r>
      <w:r>
        <w:rPr>
          <w:rFonts w:ascii="Times New Roman" w:hAnsi="Times New Roman"/>
          <w:sz w:val="24"/>
        </w:rPr>
        <w:t xml:space="preserve">), gerando </w:t>
      </w:r>
      <w:r>
        <w:rPr>
          <w:rFonts w:ascii="Times New Roman" w:hAnsi="Times New Roman"/>
          <w:b/>
          <w:sz w:val="24"/>
        </w:rPr>
        <w:t>415 candidatos</w:t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360" w:lineRule="auto"/>
        <w:ind w:left="709" w:hanging="283"/>
        <w:jc w:val="both"/>
      </w:pPr>
      <w:r>
        <w:rPr>
          <w:rFonts w:ascii="Times New Roman" w:hAnsi="Times New Roman"/>
          <w:sz w:val="24"/>
        </w:rPr>
        <w:t xml:space="preserve">2. Para cada α, o F1-score médio foi estimado por </w:t>
      </w:r>
      <w:r>
        <w:rPr>
          <w:rFonts w:ascii="Times New Roman" w:hAnsi="Times New Roman"/>
          <w:b/>
          <w:sz w:val="24"/>
        </w:rPr>
        <w:t>validação cruzada com 10 folds</w:t>
      </w:r>
      <w:r>
        <w:rPr>
          <w:rFonts w:ascii="Times New Roman" w:hAnsi="Times New Roman"/>
          <w:sz w:val="24"/>
        </w:rPr>
        <w:t xml:space="preserve"> sobre o conjunto de treino. O F1-score foi preferido à acurácia por ser mais informativo em classificação binária.</w:t>
      </w:r>
    </w:p>
    <w:p>
      <w:pPr>
        <w:spacing w:before="0" w:after="0" w:line="360" w:lineRule="auto"/>
        <w:ind w:left="709" w:hanging="283"/>
        <w:jc w:val="both"/>
      </w:pPr>
      <w:r>
        <w:rPr>
          <w:rFonts w:ascii="Times New Roman" w:hAnsi="Times New Roman"/>
          <w:sz w:val="24"/>
        </w:rPr>
        <w:t xml:space="preserve">3. O α ótimo foi selecionado como aquele que maximiza o F1 médio em CV: </w:t>
      </w:r>
      <w:r>
        <w:rPr>
          <w:rFonts w:ascii="Times New Roman" w:hAnsi="Times New Roman"/>
          <w:b/>
          <w:sz w:val="24"/>
        </w:rPr>
        <w:t>α* = 0,002514</w:t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4"/>
        </w:rPr>
        <w:t xml:space="preserve">O critério da </w:t>
      </w:r>
      <w:r>
        <w:rPr>
          <w:rFonts w:ascii="Times New Roman" w:hAnsi="Times New Roman"/>
          <w:b/>
          <w:sz w:val="24"/>
        </w:rPr>
        <w:t>Regra 1-SE</w:t>
      </w:r>
      <w:r>
        <w:rPr>
          <w:rFonts w:ascii="Times New Roman" w:hAnsi="Times New Roman"/>
          <w:sz w:val="24"/>
        </w:rPr>
        <w:t xml:space="preserve"> (modelo mais simples dentro de 1 desvio padrão do melhor score) foi avaliado por completude: resultou em α = 0,009144 com 4 folhas e F1 = 63,1% — desempenho inferior ao ótimo, justificando sua não adoção.</w:t>
      </w:r>
    </w:p>
    <w:p>
      <w:pPr>
        <w:spacing w:before="240" w:after="120" w:line="240" w:lineRule="auto"/>
        <w:jc w:val="left"/>
      </w:pPr>
      <w:r>
        <w:rPr>
          <w:rFonts w:ascii="Times New Roman" w:hAnsi="Times New Roman"/>
          <w:b/>
          <w:sz w:val="24"/>
        </w:rPr>
        <w:t>5.3 Resultado Final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20"/>
              </w:rPr>
              <w:t>Parâmetro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20"/>
              </w:rPr>
              <w:t>Valor</w:t>
            </w:r>
          </w:p>
        </w:tc>
      </w:tr>
      <w:tr>
        <w:tc>
          <w:tcPr>
            <w:tcW w:type="dxa" w:w="470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α ótimo (CV 10-fold)</w:t>
            </w:r>
          </w:p>
        </w:tc>
        <w:tc>
          <w:tcPr>
            <w:tcW w:type="dxa" w:w="470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0,002514</w:t>
            </w:r>
          </w:p>
        </w:tc>
      </w:tr>
      <w:tr>
        <w:tc>
          <w:tcPr>
            <w:tcW w:type="dxa" w:w="470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Profundidade</w:t>
            </w:r>
          </w:p>
        </w:tc>
        <w:tc>
          <w:tcPr>
            <w:tcW w:type="dxa" w:w="470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5</w:t>
            </w:r>
          </w:p>
        </w:tc>
      </w:tr>
      <w:tr>
        <w:tc>
          <w:tcPr>
            <w:tcW w:type="dxa" w:w="470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Número de folhas</w:t>
            </w:r>
          </w:p>
        </w:tc>
        <w:tc>
          <w:tcPr>
            <w:tcW w:type="dxa" w:w="470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11</w:t>
            </w:r>
          </w:p>
        </w:tc>
      </w:tr>
    </w:tbl>
    <w:p>
      <w:pPr>
        <w:spacing w:before="120"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20"/>
              </w:rPr>
              <w:t>Métrica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20"/>
              </w:rPr>
              <w:t>Valor</w:t>
            </w:r>
          </w:p>
        </w:tc>
      </w:tr>
      <w:tr>
        <w:tc>
          <w:tcPr>
            <w:tcW w:type="dxa" w:w="470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E_in</w:t>
            </w:r>
          </w:p>
        </w:tc>
        <w:tc>
          <w:tcPr>
            <w:tcW w:type="dxa" w:w="470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30,10%</w:t>
            </w:r>
          </w:p>
        </w:tc>
      </w:tr>
      <w:tr>
        <w:tc>
          <w:tcPr>
            <w:tcW w:type="dxa" w:w="470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E_out</w:t>
            </w:r>
          </w:p>
        </w:tc>
        <w:tc>
          <w:tcPr>
            <w:tcW w:type="dxa" w:w="470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34,20%</w:t>
            </w:r>
          </w:p>
        </w:tc>
      </w:tr>
      <w:tr>
        <w:tc>
          <w:tcPr>
            <w:tcW w:type="dxa" w:w="470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Gap</w:t>
            </w:r>
          </w:p>
        </w:tc>
        <w:tc>
          <w:tcPr>
            <w:tcW w:type="dxa" w:w="470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4,10%</w:t>
            </w:r>
          </w:p>
        </w:tc>
      </w:tr>
      <w:tr>
        <w:tc>
          <w:tcPr>
            <w:tcW w:type="dxa" w:w="470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Acurácia</w:t>
            </w:r>
          </w:p>
        </w:tc>
        <w:tc>
          <w:tcPr>
            <w:tcW w:type="dxa" w:w="470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65,80%</w:t>
            </w:r>
          </w:p>
        </w:tc>
      </w:tr>
      <w:tr>
        <w:tc>
          <w:tcPr>
            <w:tcW w:type="dxa" w:w="470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Precisão</w:t>
            </w:r>
          </w:p>
        </w:tc>
        <w:tc>
          <w:tcPr>
            <w:tcW w:type="dxa" w:w="4702"/>
          </w:tcPr>
          <w:p>
            <w:r>
              <w:t>65,28%</w:t>
            </w:r>
          </w:p>
        </w:tc>
      </w:tr>
      <w:tr>
        <w:tc>
          <w:tcPr>
            <w:tcW w:type="dxa" w:w="470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Recall</w:t>
            </w:r>
          </w:p>
        </w:tc>
        <w:tc>
          <w:tcPr>
            <w:tcW w:type="dxa" w:w="4702"/>
          </w:tcPr>
          <w:p>
            <w:r>
              <w:t>67,50%</w:t>
            </w:r>
          </w:p>
        </w:tc>
      </w:tr>
      <w:tr>
        <w:tc>
          <w:tcPr>
            <w:tcW w:type="dxa" w:w="470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F1-score</w:t>
            </w:r>
          </w:p>
        </w:tc>
        <w:tc>
          <w:tcPr>
            <w:tcW w:type="dxa" w:w="470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66,37%</w:t>
            </w:r>
          </w:p>
        </w:tc>
      </w:tr>
    </w:tbl>
    <w:p>
      <w:pPr>
        <w:spacing w:before="120" w:after="120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4"/>
        </w:rPr>
        <w:t xml:space="preserve">A feature com maior importância na árvore podada foi </w:t>
      </w:r>
      <w:r>
        <w:rPr>
          <w:rFonts w:ascii="Courier New" w:hAnsi="Courier New"/>
          <w:sz w:val="20"/>
        </w:rPr>
        <w:t>perc_jovens_15_29</w:t>
      </w:r>
      <w:r>
        <w:rPr>
          <w:rFonts w:ascii="Times New Roman" w:hAnsi="Times New Roman"/>
          <w:sz w:val="24"/>
        </w:rPr>
        <w:t xml:space="preserve">, seguida de </w:t>
      </w:r>
      <w:r>
        <w:rPr>
          <w:rFonts w:ascii="Courier New" w:hAnsi="Courier New"/>
          <w:sz w:val="20"/>
        </w:rPr>
        <w:t>idhm_longevidade</w:t>
      </w:r>
      <w:r>
        <w:rPr>
          <w:rFonts w:ascii="Times New Roman" w:hAnsi="Times New Roman"/>
          <w:sz w:val="24"/>
        </w:rPr>
        <w:t xml:space="preserve"> e </w:t>
      </w:r>
      <w:r>
        <w:rPr>
          <w:rFonts w:ascii="Courier New" w:hAnsi="Courier New"/>
          <w:sz w:val="20"/>
        </w:rPr>
        <w:t>renda_per_capita</w:t>
      </w:r>
      <w:r>
        <w:rPr>
          <w:rFonts w:ascii="Times New Roman" w:hAnsi="Times New Roman"/>
          <w:sz w:val="24"/>
        </w:rPr>
        <w:t xml:space="preserve"> — resultado consistente com a análise de correlação da fase exploratória.</w:t>
      </w:r>
    </w:p>
    <w:p>
      <w:pPr>
        <w:spacing w:before="360" w:after="120" w:line="240" w:lineRule="auto"/>
        <w:jc w:val="left"/>
      </w:pPr>
      <w:r>
        <w:rPr>
          <w:rFonts w:ascii="Times New Roman" w:hAnsi="Times New Roman"/>
          <w:b/>
          <w:sz w:val="24"/>
        </w:rPr>
        <w:t>6. SVM</w:t>
      </w:r>
    </w:p>
    <w:p>
      <w:pPr>
        <w:spacing w:before="240" w:after="120" w:line="240" w:lineRule="auto"/>
        <w:jc w:val="left"/>
      </w:pPr>
      <w:r>
        <w:rPr>
          <w:rFonts w:ascii="Times New Roman" w:hAnsi="Times New Roman"/>
          <w:b/>
          <w:sz w:val="24"/>
        </w:rPr>
        <w:t>6.1 Fundamentação Teórica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4"/>
        </w:rPr>
        <w:t>O SVM com kernel RBF busca o hiperplano de margem máxima em um espaço implícito de alta dimensão, definido pelo kernel:</w:t>
      </w:r>
    </w:p>
    <w:p>
      <w:pPr>
        <w:spacing w:before="0" w:after="0" w:line="240" w:lineRule="auto"/>
        <w:ind w:firstLine="0" w:left="1701" w:right="1701"/>
        <w:jc w:val="both"/>
      </w:pPr>
      <w:r>
        <w:rPr>
          <w:rFonts w:ascii="Courier New" w:hAnsi="Courier New"/>
          <w:sz w:val="20"/>
        </w:rPr>
        <w:t>K(x, x') = exp(−γ ‖x − x'‖²)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4"/>
        </w:rPr>
        <w:t>O parâmetro C controla o trade-off entre maximizar a margem e minimizar as violações (soft margin). O parâmetro γ controla a largura efetiva do kernel — valores altos tornam o modelo mais local (risco de overfitting), valores baixos o tornam mais global (risco de underfitting).</w:t>
      </w:r>
    </w:p>
    <w:p>
      <w:pPr>
        <w:spacing w:before="240" w:after="120" w:line="240" w:lineRule="auto"/>
        <w:jc w:val="left"/>
      </w:pPr>
      <w:r>
        <w:rPr>
          <w:rFonts w:ascii="Times New Roman" w:hAnsi="Times New Roman"/>
          <w:b/>
          <w:sz w:val="24"/>
        </w:rPr>
        <w:t>6.2 Seleção de Hiperparâmetros via GridSearchCV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4"/>
        </w:rPr>
        <w:t xml:space="preserve">A grade de busca cobriu 5 × 5 = </w:t>
      </w:r>
      <w:r>
        <w:rPr>
          <w:rFonts w:ascii="Times New Roman" w:hAnsi="Times New Roman"/>
          <w:b/>
          <w:sz w:val="24"/>
        </w:rPr>
        <w:t>25 combinações</w:t>
      </w:r>
      <w:r>
        <w:rPr>
          <w:rFonts w:ascii="Times New Roman" w:hAnsi="Times New Roman"/>
          <w:sz w:val="24"/>
        </w:rPr>
        <w:t xml:space="preserve"> de C e γ, avaliadas por </w:t>
      </w:r>
      <w:r>
        <w:rPr>
          <w:rFonts w:ascii="Times New Roman" w:hAnsi="Times New Roman"/>
          <w:b/>
          <w:sz w:val="24"/>
        </w:rPr>
        <w:t>validação cruzada com 10 folds</w:t>
      </w:r>
      <w:r>
        <w:rPr>
          <w:rFonts w:ascii="Times New Roman" w:hAnsi="Times New Roman"/>
          <w:sz w:val="24"/>
        </w:rPr>
        <w:t xml:space="preserve"> sobre o treino (scoring = F1):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20"/>
              </w:rPr>
              <w:t>Parâmetro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20"/>
              </w:rPr>
              <w:t>Valores testados</w:t>
            </w:r>
          </w:p>
        </w:tc>
      </w:tr>
      <w:tr>
        <w:tc>
          <w:tcPr>
            <w:tcW w:type="dxa" w:w="470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C</w:t>
            </w:r>
          </w:p>
        </w:tc>
        <w:tc>
          <w:tcPr>
            <w:tcW w:type="dxa" w:w="470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{0,01; 0,1; 1; 10; 100}</w:t>
            </w:r>
          </w:p>
        </w:tc>
      </w:tr>
      <w:tr>
        <w:tc>
          <w:tcPr>
            <w:tcW w:type="dxa" w:w="470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γ</w:t>
            </w:r>
          </w:p>
        </w:tc>
        <w:tc>
          <w:tcPr>
            <w:tcW w:type="dxa" w:w="470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{0,001; 0,01; 0,1; 1; scale}</w:t>
            </w:r>
          </w:p>
        </w:tc>
      </w:tr>
    </w:tbl>
    <w:p>
      <w:pPr>
        <w:spacing w:before="120" w:after="120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4"/>
        </w:rPr>
        <w:t xml:space="preserve">O melhor par encontrado foi </w:t>
      </w:r>
      <w:r>
        <w:rPr>
          <w:rFonts w:ascii="Times New Roman" w:hAnsi="Times New Roman"/>
          <w:b/>
          <w:sz w:val="24"/>
        </w:rPr>
        <w:t>C = 100, γ = 0,001</w:t>
      </w:r>
      <w:r>
        <w:rPr>
          <w:rFonts w:ascii="Times New Roman" w:hAnsi="Times New Roman"/>
          <w:sz w:val="24"/>
        </w:rPr>
        <w:t>, com F1-CV = 70,20%.</w:t>
      </w:r>
    </w:p>
    <w:p>
      <w:pPr>
        <w:spacing w:before="240" w:after="120" w:line="240" w:lineRule="auto"/>
        <w:jc w:val="left"/>
      </w:pPr>
      <w:r>
        <w:rPr>
          <w:rFonts w:ascii="Times New Roman" w:hAnsi="Times New Roman"/>
          <w:b/>
          <w:sz w:val="24"/>
        </w:rPr>
        <w:t>6.3 Análise de Generalização via Vetores de Suporte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4"/>
        </w:rPr>
        <w:t>O SVM oferece uma estimativa teórica do erro de generalização baseada nos vetores de suporte:</w:t>
      </w:r>
    </w:p>
    <w:p>
      <w:pPr>
        <w:spacing w:before="0" w:after="0" w:line="240" w:lineRule="auto"/>
        <w:ind w:firstLine="0" w:left="1701" w:right="1701"/>
        <w:jc w:val="both"/>
      </w:pPr>
      <w:r>
        <w:rPr>
          <w:rFonts w:ascii="Courier New" w:hAnsi="Courier New"/>
          <w:sz w:val="20"/>
        </w:rPr>
        <w:t>E_out esperado ≤ N_SV / N_treino = 3233 / 4456 = 72,55%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4"/>
        </w:rPr>
        <w:t>O erro empírico observado foi E_out = 33,39%, satisfazendo o limite teórico (33,39% ≤ 72,55% ✓). O alto número de vetores de suporte (72,6% das amostras de treino) reflete a dificuldade intrínseca do problema — as classes não são linearmente separáveis no espaço de features — e não indica overfitting, como confirmado pelo pequeno gap de 2,1%.</w:t>
      </w:r>
    </w:p>
    <w:p>
      <w:pPr>
        <w:spacing w:before="240" w:after="120" w:line="240" w:lineRule="auto"/>
        <w:jc w:val="left"/>
      </w:pPr>
      <w:r>
        <w:rPr>
          <w:rFonts w:ascii="Times New Roman" w:hAnsi="Times New Roman"/>
          <w:b/>
          <w:sz w:val="24"/>
        </w:rPr>
        <w:t>6.4 Resultados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20"/>
              </w:rPr>
              <w:t>Métrica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20"/>
              </w:rPr>
              <w:t>Valor</w:t>
            </w:r>
          </w:p>
        </w:tc>
      </w:tr>
      <w:tr>
        <w:tc>
          <w:tcPr>
            <w:tcW w:type="dxa" w:w="470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E_in</w:t>
            </w:r>
          </w:p>
        </w:tc>
        <w:tc>
          <w:tcPr>
            <w:tcW w:type="dxa" w:w="470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31,30%</w:t>
            </w:r>
          </w:p>
        </w:tc>
      </w:tr>
      <w:tr>
        <w:tc>
          <w:tcPr>
            <w:tcW w:type="dxa" w:w="470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E_out</w:t>
            </w:r>
          </w:p>
        </w:tc>
        <w:tc>
          <w:tcPr>
            <w:tcW w:type="dxa" w:w="470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33,39%</w:t>
            </w:r>
          </w:p>
        </w:tc>
      </w:tr>
      <w:tr>
        <w:tc>
          <w:tcPr>
            <w:tcW w:type="dxa" w:w="470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Gap</w:t>
            </w:r>
          </w:p>
        </w:tc>
        <w:tc>
          <w:tcPr>
            <w:tcW w:type="dxa" w:w="470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2,09%</w:t>
            </w:r>
          </w:p>
        </w:tc>
      </w:tr>
      <w:tr>
        <w:tc>
          <w:tcPr>
            <w:tcW w:type="dxa" w:w="470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Acurácia</w:t>
            </w:r>
          </w:p>
        </w:tc>
        <w:tc>
          <w:tcPr>
            <w:tcW w:type="dxa" w:w="470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66,61%</w:t>
            </w:r>
          </w:p>
        </w:tc>
      </w:tr>
      <w:tr>
        <w:tc>
          <w:tcPr>
            <w:tcW w:type="dxa" w:w="470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Precisão</w:t>
            </w:r>
          </w:p>
        </w:tc>
        <w:tc>
          <w:tcPr>
            <w:tcW w:type="dxa" w:w="4702"/>
          </w:tcPr>
          <w:p>
            <w:pPr>
              <w:jc w:val="left"/>
            </w:pPr>
            <w:r>
              <w:t>65,14%</w:t>
            </w: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470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Recall</w:t>
            </w:r>
          </w:p>
        </w:tc>
        <w:tc>
          <w:tcPr>
            <w:tcW w:type="dxa" w:w="4702"/>
          </w:tcPr>
          <w:p>
            <w:pPr>
              <w:jc w:val="left"/>
            </w:pPr>
            <w:r>
              <w:t>71,45%</w:t>
            </w: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470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F1-score</w:t>
            </w:r>
          </w:p>
        </w:tc>
        <w:tc>
          <w:tcPr>
            <w:tcW w:type="dxa" w:w="470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68,15%</w:t>
            </w:r>
          </w:p>
        </w:tc>
      </w:tr>
    </w:tbl>
    <w:p>
      <w:pPr>
        <w:spacing w:before="120" w:after="120"/>
      </w:pPr>
    </w:p>
    <w:p>
      <w:pPr>
        <w:spacing w:before="360" w:after="120" w:line="240" w:lineRule="auto"/>
        <w:jc w:val="left"/>
      </w:pPr>
      <w:r>
        <w:rPr>
          <w:rFonts w:ascii="Times New Roman" w:hAnsi="Times New Roman"/>
          <w:b/>
          <w:sz w:val="24"/>
        </w:rPr>
        <w:t>7. COMPARAÇÃO E ESCOLHA DO MELHOR MODELO</w:t>
      </w:r>
    </w:p>
    <w:p>
      <w:pPr>
        <w:spacing w:before="240" w:after="120" w:line="240" w:lineRule="auto"/>
        <w:jc w:val="left"/>
      </w:pPr>
      <w:r>
        <w:rPr>
          <w:rFonts w:ascii="Times New Roman" w:hAnsi="Times New Roman"/>
          <w:b/>
          <w:sz w:val="24"/>
        </w:rPr>
        <w:t>7.1 Tabela Comparativa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20"/>
              </w:rPr>
              <w:t>Modelo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20"/>
              </w:rPr>
              <w:t>Acurácia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20"/>
              </w:rPr>
              <w:t>Precisão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20"/>
              </w:rPr>
              <w:t>Recall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20"/>
              </w:rPr>
              <w:t>F1-score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20"/>
              </w:rPr>
              <w:t>E_in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20"/>
              </w:rPr>
              <w:t>E_out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20"/>
              </w:rPr>
              <w:t>Gap</w:t>
            </w:r>
          </w:p>
        </w:tc>
      </w:tr>
      <w:tr>
        <w:tc>
          <w:tcPr>
            <w:tcW w:type="dxa" w:w="1176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SVM (RBF)</w:t>
            </w:r>
          </w:p>
        </w:tc>
        <w:tc>
          <w:tcPr>
            <w:tcW w:type="dxa" w:w="1176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66,6%</w:t>
            </w:r>
          </w:p>
        </w:tc>
        <w:tc>
          <w:tcPr>
            <w:tcW w:type="dxa" w:w="117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65,1%</w:t>
            </w:r>
          </w:p>
        </w:tc>
        <w:tc>
          <w:tcPr>
            <w:tcW w:type="dxa" w:w="1176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71,5%</w:t>
            </w:r>
          </w:p>
        </w:tc>
        <w:tc>
          <w:tcPr>
            <w:tcW w:type="dxa" w:w="1176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68,2%</w:t>
            </w:r>
          </w:p>
        </w:tc>
        <w:tc>
          <w:tcPr>
            <w:tcW w:type="dxa" w:w="117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31,3%</w:t>
            </w:r>
          </w:p>
        </w:tc>
        <w:tc>
          <w:tcPr>
            <w:tcW w:type="dxa" w:w="117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33,4%</w:t>
            </w:r>
          </w:p>
        </w:tc>
        <w:tc>
          <w:tcPr>
            <w:tcW w:type="dxa" w:w="1176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2,1%</w:t>
            </w:r>
          </w:p>
        </w:tc>
      </w:tr>
      <w:tr>
        <w:tc>
          <w:tcPr>
            <w:tcW w:type="dxa" w:w="1176"/>
          </w:tcPr>
          <w:p>
            <w:r>
              <w:t>Rede Neural</w:t>
            </w:r>
          </w:p>
        </w:tc>
        <w:tc>
          <w:tcPr>
            <w:tcW w:type="dxa" w:w="1176"/>
          </w:tcPr>
          <w:p>
            <w:r>
              <w:t>66,0%</w:t>
            </w:r>
          </w:p>
        </w:tc>
        <w:tc>
          <w:tcPr>
            <w:tcW w:type="dxa" w:w="1176"/>
          </w:tcPr>
          <w:p>
            <w:r>
              <w:t>66,3%</w:t>
            </w:r>
          </w:p>
        </w:tc>
        <w:tc>
          <w:tcPr>
            <w:tcW w:type="dxa" w:w="1176"/>
          </w:tcPr>
          <w:p>
            <w:r>
              <w:t>65,0%</w:t>
            </w:r>
          </w:p>
        </w:tc>
        <w:tc>
          <w:tcPr>
            <w:tcW w:type="dxa" w:w="1176"/>
          </w:tcPr>
          <w:p>
            <w:r>
              <w:t>65,6%</w:t>
            </w:r>
          </w:p>
        </w:tc>
        <w:tc>
          <w:tcPr>
            <w:tcW w:type="dxa" w:w="1176"/>
          </w:tcPr>
          <w:p>
            <w:r>
              <w:t>30,8%</w:t>
            </w:r>
          </w:p>
        </w:tc>
        <w:tc>
          <w:tcPr>
            <w:tcW w:type="dxa" w:w="1176"/>
          </w:tcPr>
          <w:p>
            <w:r>
              <w:t>34,0%</w:t>
            </w:r>
          </w:p>
        </w:tc>
        <w:tc>
          <w:tcPr>
            <w:tcW w:type="dxa" w:w="1176"/>
          </w:tcPr>
          <w:p>
            <w:r>
              <w:t>3,3%</w:t>
            </w:r>
          </w:p>
        </w:tc>
      </w:tr>
      <w:tr>
        <w:tc>
          <w:tcPr>
            <w:tcW w:type="dxa" w:w="117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Árvore de Decisão</w:t>
            </w:r>
          </w:p>
        </w:tc>
        <w:tc>
          <w:tcPr>
            <w:tcW w:type="dxa" w:w="117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65,8%</w:t>
            </w:r>
          </w:p>
        </w:tc>
        <w:tc>
          <w:tcPr>
            <w:tcW w:type="dxa" w:w="117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65,3%</w:t>
            </w:r>
          </w:p>
        </w:tc>
        <w:tc>
          <w:tcPr>
            <w:tcW w:type="dxa" w:w="117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67,5%</w:t>
            </w:r>
          </w:p>
        </w:tc>
        <w:tc>
          <w:tcPr>
            <w:tcW w:type="dxa" w:w="117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66,4%</w:t>
            </w:r>
          </w:p>
        </w:tc>
        <w:tc>
          <w:tcPr>
            <w:tcW w:type="dxa" w:w="1176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30,1%</w:t>
            </w:r>
          </w:p>
        </w:tc>
        <w:tc>
          <w:tcPr>
            <w:tcW w:type="dxa" w:w="117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34,2%</w:t>
            </w:r>
          </w:p>
        </w:tc>
        <w:tc>
          <w:tcPr>
            <w:tcW w:type="dxa" w:w="117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4,1%</w:t>
            </w:r>
          </w:p>
        </w:tc>
      </w:tr>
    </w:tbl>
    <w:p>
      <w:pPr>
        <w:spacing w:before="120" w:after="120"/>
      </w:pPr>
    </w:p>
    <w:p>
      <w:pPr>
        <w:spacing w:before="240" w:after="120" w:line="240" w:lineRule="auto"/>
        <w:jc w:val="left"/>
      </w:pPr>
      <w:r>
        <w:rPr>
          <w:rFonts w:ascii="Times New Roman" w:hAnsi="Times New Roman"/>
          <w:b/>
          <w:sz w:val="24"/>
        </w:rPr>
        <w:t>7.2 Estratégia de Validação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4"/>
        </w:rPr>
        <w:t xml:space="preserve">A escolha do melhor modelo foi feita com base no </w:t>
      </w:r>
      <w:r>
        <w:rPr>
          <w:rFonts w:ascii="Times New Roman" w:hAnsi="Times New Roman"/>
          <w:b/>
          <w:sz w:val="24"/>
        </w:rPr>
        <w:t>desempenho no conjunto de teste</w:t>
      </w:r>
      <w:r>
        <w:rPr>
          <w:rFonts w:ascii="Times New Roman" w:hAnsi="Times New Roman"/>
          <w:sz w:val="24"/>
        </w:rPr>
        <w:t xml:space="preserve"> (N = 1.114 municípios), mantido isolado durante todo o desenvolvimento. Todos os hiperparâmetros foram selecionados exclusivamente por validação cruzada sobre o treino. A métrica principal de comparação foi o </w:t>
      </w:r>
      <w:r>
        <w:rPr>
          <w:rFonts w:ascii="Times New Roman" w:hAnsi="Times New Roman"/>
          <w:b/>
          <w:sz w:val="24"/>
        </w:rPr>
        <w:t>F1-score</w:t>
      </w:r>
      <w:r>
        <w:rPr>
          <w:rFonts w:ascii="Times New Roman" w:hAnsi="Times New Roman"/>
          <w:sz w:val="24"/>
        </w:rPr>
        <w:t>, complementada pela análise das curvas ROC e pelo gap E_out − E_in.</w:t>
      </w:r>
    </w:p>
    <w:p>
      <w:pPr>
        <w:spacing w:before="240" w:after="120" w:line="240" w:lineRule="auto"/>
        <w:jc w:val="left"/>
      </w:pPr>
      <w:r>
        <w:rPr>
          <w:rFonts w:ascii="Times New Roman" w:hAnsi="Times New Roman"/>
          <w:b/>
          <w:sz w:val="24"/>
        </w:rPr>
        <w:t>7.3 Modelo Vencedor: SVM com Kernel RBF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4"/>
        </w:rPr>
        <w:t xml:space="preserve">O </w:t>
      </w:r>
      <w:r>
        <w:rPr>
          <w:rFonts w:ascii="Times New Roman" w:hAnsi="Times New Roman"/>
          <w:b/>
          <w:sz w:val="24"/>
        </w:rPr>
        <w:t>SVM</w:t>
      </w:r>
      <w:r>
        <w:rPr>
          <w:rFonts w:ascii="Times New Roman" w:hAnsi="Times New Roman"/>
          <w:sz w:val="24"/>
        </w:rPr>
        <w:t xml:space="preserve"> foi selecionado como o melhor modelo pelos seguintes critérios:</w:t>
      </w:r>
    </w:p>
    <w:p>
      <w:pPr>
        <w:spacing w:before="0" w:after="0" w:line="360" w:lineRule="auto"/>
        <w:ind w:left="709" w:hanging="283"/>
        <w:jc w:val="both"/>
      </w:pPr>
      <w:r>
        <w:rPr>
          <w:rFonts w:ascii="Times New Roman" w:hAnsi="Times New Roman"/>
          <w:sz w:val="24"/>
        </w:rPr>
        <w:t xml:space="preserve">1. </w:t>
      </w:r>
      <w:r>
        <w:rPr>
          <w:rFonts w:ascii="Times New Roman" w:hAnsi="Times New Roman"/>
          <w:b/>
          <w:sz w:val="24"/>
        </w:rPr>
        <w:t>Maior F1-score</w:t>
      </w:r>
      <w:r>
        <w:rPr>
          <w:rFonts w:ascii="Times New Roman" w:hAnsi="Times New Roman"/>
          <w:sz w:val="24"/>
        </w:rPr>
        <w:t xml:space="preserve"> (68,2%): margem consistente sobre os demais em todas as rodadas de validação.</w:t>
      </w:r>
    </w:p>
    <w:p>
      <w:pPr>
        <w:spacing w:before="0" w:after="0" w:line="360" w:lineRule="auto"/>
        <w:ind w:left="709" w:hanging="283"/>
        <w:jc w:val="both"/>
      </w:pPr>
      <w:r>
        <w:rPr>
          <w:rFonts w:ascii="Times New Roman" w:hAnsi="Times New Roman"/>
          <w:sz w:val="24"/>
        </w:rPr>
        <w:t xml:space="preserve">2. </w:t>
      </w:r>
      <w:r>
        <w:rPr>
          <w:rFonts w:ascii="Times New Roman" w:hAnsi="Times New Roman"/>
          <w:b/>
          <w:sz w:val="24"/>
        </w:rPr>
        <w:t>Maior Recall</w:t>
      </w:r>
      <w:r>
        <w:rPr>
          <w:rFonts w:ascii="Times New Roman" w:hAnsi="Times New Roman"/>
          <w:sz w:val="24"/>
        </w:rPr>
        <w:t xml:space="preserve"> (71,5%): em aplicações de políticas públicas, identificar corretamente municípios de alta violência é mais importante do que evitar alarmes falsos.</w:t>
      </w:r>
    </w:p>
    <w:p>
      <w:pPr>
        <w:spacing w:before="0" w:after="0" w:line="360" w:lineRule="auto"/>
        <w:ind w:left="709" w:hanging="283"/>
        <w:jc w:val="both"/>
      </w:pPr>
      <w:r>
        <w:rPr>
          <w:rFonts w:ascii="Times New Roman" w:hAnsi="Times New Roman"/>
          <w:sz w:val="24"/>
        </w:rPr>
        <w:t xml:space="preserve">3. </w:t>
      </w:r>
      <w:r>
        <w:rPr>
          <w:rFonts w:ascii="Times New Roman" w:hAnsi="Times New Roman"/>
          <w:b/>
          <w:sz w:val="24"/>
        </w:rPr>
        <w:t>Menor gap E_out − E_in</w:t>
      </w:r>
      <w:r>
        <w:rPr>
          <w:rFonts w:ascii="Times New Roman" w:hAnsi="Times New Roman"/>
          <w:sz w:val="24"/>
        </w:rPr>
        <w:t xml:space="preserve"> (2,1%): a margem máxima do SVM impõe regularização implícita, resultando na melhor generalização entre os três modelos.</w:t>
      </w:r>
    </w:p>
    <w:p>
      <w:pPr>
        <w:spacing w:before="0" w:after="0" w:line="360" w:lineRule="auto"/>
        <w:ind w:left="709" w:hanging="283"/>
        <w:jc w:val="both"/>
      </w:pPr>
      <w:r>
        <w:rPr>
          <w:rFonts w:ascii="Times New Roman" w:hAnsi="Times New Roman"/>
          <w:sz w:val="24"/>
        </w:rPr>
        <w:t xml:space="preserve">4. </w:t>
      </w:r>
      <w:r>
        <w:rPr>
          <w:rFonts w:ascii="Times New Roman" w:hAnsi="Times New Roman"/>
          <w:b/>
          <w:sz w:val="24"/>
        </w:rPr>
        <w:t>Maior AUC-ROC</w:t>
      </w:r>
      <w:r>
        <w:rPr>
          <w:rFonts w:ascii="Times New Roman" w:hAnsi="Times New Roman"/>
          <w:sz w:val="24"/>
        </w:rPr>
        <w:t>: o SVM domina os demais ao longo de todos os limiares de decisão possíveis.</w:t>
      </w:r>
    </w:p>
    <w:p>
      <w:pPr>
        <w:spacing w:before="0" w:after="0" w:line="360" w:lineRule="auto"/>
        <w:ind w:left="709" w:hanging="283"/>
        <w:jc w:val="both"/>
      </w:pPr>
      <w:r>
        <w:rPr>
          <w:rFonts w:ascii="Times New Roman" w:hAnsi="Times New Roman"/>
          <w:sz w:val="24"/>
        </w:rPr>
        <w:t xml:space="preserve">5. </w:t>
      </w:r>
      <w:r>
        <w:rPr>
          <w:rFonts w:ascii="Times New Roman" w:hAnsi="Times New Roman"/>
          <w:b/>
          <w:sz w:val="24"/>
        </w:rPr>
        <w:t>Limite teórico satisfeito</w:t>
      </w:r>
      <w:r>
        <w:rPr>
          <w:rFonts w:ascii="Times New Roman" w:hAnsi="Times New Roman"/>
          <w:sz w:val="24"/>
        </w:rPr>
        <w:t>: E_out empírico (33,4%) &lt; E_out esperado (72,6%), validando a consistência do modelo com a teoria SVM.</w:t>
      </w:r>
    </w:p>
    <w:p>
      <w:pPr>
        <w:spacing w:before="360" w:after="120" w:line="240" w:lineRule="auto"/>
        <w:jc w:val="left"/>
      </w:pPr>
      <w:r>
        <w:rPr>
          <w:rFonts w:ascii="Times New Roman" w:hAnsi="Times New Roman"/>
          <w:b/>
          <w:sz w:val="24"/>
        </w:rPr>
        <w:t>8. DIAGNÓSTICO: O QUE LIMITA OS MODELOS?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4"/>
        </w:rPr>
        <w:t>Uma investigação sistemática das causas do desempenho atual revelou três achados relevantes.</w:t>
      </w:r>
    </w:p>
    <w:p>
      <w:pPr>
        <w:spacing w:before="240" w:after="120" w:line="240" w:lineRule="auto"/>
        <w:jc w:val="left"/>
      </w:pPr>
      <w:r>
        <w:rPr>
          <w:rFonts w:ascii="Times New Roman" w:hAnsi="Times New Roman"/>
          <w:b/>
          <w:sz w:val="24"/>
        </w:rPr>
        <w:t>8.1 Decomposição dos Erros por Dificuldade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4"/>
        </w:rPr>
        <w:t>Os municípios do conjunto de teste foram divididos em dois grupos conforme sua taxa real de homicídios:</w:t>
      </w:r>
    </w:p>
    <w:p>
      <w:pPr>
        <w:spacing w:before="0" w:after="0" w:line="360" w:lineRule="auto"/>
        <w:ind w:left="709" w:hanging="283"/>
        <w:jc w:val="both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Grupo Fácil</w:t>
      </w:r>
      <w:r>
        <w:rPr>
          <w:rFonts w:ascii="Times New Roman" w:hAnsi="Times New Roman"/>
          <w:sz w:val="24"/>
        </w:rPr>
        <w:t xml:space="preserve"> (taxa &lt; 8 ou &gt; 16): municípios claramente acima ou abaixo do limiar (N = 940)</w:t>
      </w:r>
    </w:p>
    <w:p>
      <w:pPr>
        <w:spacing w:before="0" w:after="0" w:line="360" w:lineRule="auto"/>
        <w:ind w:left="709" w:hanging="283"/>
        <w:jc w:val="both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Grupo Difícil</w:t>
      </w:r>
      <w:r>
        <w:rPr>
          <w:rFonts w:ascii="Times New Roman" w:hAnsi="Times New Roman"/>
          <w:sz w:val="24"/>
        </w:rPr>
        <w:t xml:space="preserve"> (taxa 8–16): municípios próximos ao limiar de 12,03 (N = 174)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20"/>
              </w:rPr>
              <w:t>Grupo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20"/>
              </w:rPr>
              <w:t>N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20"/>
              </w:rPr>
              <w:t>Acurácia (SVM)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20"/>
              </w:rPr>
              <w:t>F1 (SVM)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Fácil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940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69,7%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71,3%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Difícil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174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50,0%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50,3%</w:t>
            </w:r>
          </w:p>
        </w:tc>
      </w:tr>
    </w:tbl>
    <w:p>
      <w:pPr>
        <w:spacing w:before="120" w:after="120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4"/>
        </w:rPr>
        <w:t xml:space="preserve">O grupo difícil apresenta acurácia equivalente ao acaso (50%), esperado para municípios ambíguos. Mais revelador é que </w:t>
      </w:r>
      <w:r>
        <w:rPr>
          <w:rFonts w:ascii="Times New Roman" w:hAnsi="Times New Roman"/>
          <w:b/>
          <w:sz w:val="24"/>
        </w:rPr>
        <w:t>76,6% dos 372 erros totais do SVM ocorrem no grupo fácil</w:t>
      </w:r>
      <w:r>
        <w:rPr>
          <w:rFonts w:ascii="Times New Roman" w:hAnsi="Times New Roman"/>
          <w:sz w:val="24"/>
        </w:rPr>
        <w:t xml:space="preserve"> — indicando que o problema principal não é a ambiguidade do limiar, mas sim a limitação das features para prever violência em municípios aparentemente simples de classificar. Essa é evidência direta do impacto da defasagem temporal.</w:t>
      </w:r>
    </w:p>
    <w:p>
      <w:pPr>
        <w:spacing w:before="240" w:after="120" w:line="240" w:lineRule="auto"/>
        <w:jc w:val="left"/>
      </w:pPr>
      <w:r>
        <w:rPr>
          <w:rFonts w:ascii="Times New Roman" w:hAnsi="Times New Roman"/>
          <w:b/>
          <w:sz w:val="24"/>
        </w:rPr>
        <w:t>8.2 Heterogeneidade Regional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4"/>
        </w:rPr>
        <w:t>A análise do desempenho do SVM por macrorregião revelou um padrão crítico: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20"/>
              </w:rPr>
              <w:t>Macrorregião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20"/>
              </w:rPr>
              <w:t>N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20"/>
              </w:rPr>
              <w:t>% Alta Violência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20"/>
              </w:rPr>
              <w:t>Acurácia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20"/>
              </w:rPr>
              <w:t>F1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Norte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72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65,3%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69,4%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81,0%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Nordeste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345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68,7%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69,0%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81,3%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Centro-Oeste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104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57,7%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62,5%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69,8%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Sudeste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366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33,3%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67,5%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43,6%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Sul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227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40,1%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62,6%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38,8%</w:t>
            </w:r>
          </w:p>
        </w:tc>
      </w:tr>
    </w:tbl>
    <w:p>
      <w:pPr>
        <w:spacing w:before="120" w:after="120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4"/>
        </w:rPr>
        <w:t>Norte e Nordeste, regiões com alta prevalência de violência associada a indicadores socioeconômicos mais desfavoráveis, apresentam F1 &gt; 0,80. Sul e Sudeste, apesar de melhores indicadores, têm F1 &lt; 0,45 — o modelo falha sistematicamente nessas regiões. A causa provável é que nessas regiões a violência segue padrões distintos (crime organizado, rotas do tráfico) não capturados por indicadores socioeconômicos clássicos.</w:t>
      </w:r>
    </w:p>
    <w:p>
      <w:pPr>
        <w:spacing w:before="240" w:after="120" w:line="240" w:lineRule="auto"/>
        <w:jc w:val="left"/>
      </w:pPr>
      <w:r>
        <w:rPr>
          <w:rFonts w:ascii="Times New Roman" w:hAnsi="Times New Roman"/>
          <w:b/>
          <w:sz w:val="24"/>
        </w:rPr>
        <w:t>8.3 Otimização de Limiar para Políticas Públicas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4"/>
        </w:rPr>
        <w:t>Para a rede neural, o limiar padrão de 0,5 pode ser ajustado conforme o contexto de aplicação. Em políticas de prevenção, falsos negativos são mais custosos do que falsos positivos: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20"/>
              </w:rPr>
              <w:t>Limiar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20"/>
              </w:rPr>
              <w:t>F1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20"/>
              </w:rPr>
              <w:t>Acurácia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20"/>
              </w:rPr>
              <w:t>Recall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0,35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0,700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63,1%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86,2%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0,40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0,697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64,7%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81,0%</w:t>
            </w:r>
          </w:p>
        </w:tc>
      </w:tr>
      <w:tr>
        <w:tc>
          <w:tcPr>
            <w:tcW w:type="dxa" w:w="2351"/>
          </w:tcPr>
          <w:p>
            <w:r>
              <w:t>0,50</w:t>
            </w:r>
          </w:p>
        </w:tc>
        <w:tc>
          <w:tcPr>
            <w:tcW w:type="dxa" w:w="2351"/>
          </w:tcPr>
          <w:p>
            <w:r>
              <w:t>0,656</w:t>
            </w:r>
          </w:p>
        </w:tc>
        <w:tc>
          <w:tcPr>
            <w:tcW w:type="dxa" w:w="2351"/>
          </w:tcPr>
          <w:p>
            <w:r>
              <w:t>66,0%</w:t>
            </w:r>
          </w:p>
        </w:tc>
        <w:tc>
          <w:tcPr>
            <w:tcW w:type="dxa" w:w="2351"/>
          </w:tcPr>
          <w:p>
            <w:r>
              <w:t>65,0%</w:t>
            </w:r>
          </w:p>
        </w:tc>
      </w:tr>
    </w:tbl>
    <w:p>
      <w:pPr>
        <w:spacing w:before="120" w:after="120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4"/>
        </w:rPr>
        <w:t>Com limiar = 0,35, a rede neural identifica corretamente 86 em cada 100 municípios de alta violência, ao custo de mais falsos alarmes. Essa configuração é preferível quando o custo de não intervir supera o custo de intervenção desnecessária.</w:t>
      </w:r>
    </w:p>
    <w:p>
      <w:pPr>
        <w:spacing w:before="360" w:after="120" w:line="240" w:lineRule="auto"/>
        <w:jc w:val="left"/>
      </w:pPr>
      <w:r>
        <w:rPr>
          <w:rFonts w:ascii="Times New Roman" w:hAnsi="Times New Roman"/>
          <w:b/>
          <w:sz w:val="24"/>
        </w:rPr>
        <w:t>9. CONCLUSÃO</w:t>
      </w:r>
    </w:p>
    <w:p>
      <w:pPr>
        <w:spacing w:before="240" w:after="120" w:line="240" w:lineRule="auto"/>
        <w:jc w:val="left"/>
      </w:pPr>
      <w:r>
        <w:rPr>
          <w:rFonts w:ascii="Times New Roman" w:hAnsi="Times New Roman"/>
          <w:b/>
          <w:sz w:val="24"/>
        </w:rPr>
        <w:t>9.1 Resposta à Pergunta de Pesquisa</w:t>
      </w:r>
    </w:p>
    <w:p>
      <w:pPr>
        <w:spacing w:line="240" w:lineRule="auto" w:before="120" w:after="120"/>
        <w:ind w:left="2268" w:right="0" w:firstLine="0"/>
        <w:jc w:val="both"/>
      </w:pPr>
      <w:r>
        <w:rPr>
          <w:rFonts w:ascii="Times New Roman" w:hAnsi="Times New Roman"/>
          <w:b/>
          <w:sz w:val="20"/>
        </w:rPr>
        <w:t>Sim, é possível prever o nível de violência de um município brasileiro usando apenas indicadores socioeconômicos, com desempenho moderado e consistentemente acima do acaso.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4"/>
        </w:rPr>
        <w:t xml:space="preserve">O melhor modelo (SVM com kernel RBF, C = 100, γ = 0,001) classifica corretamente </w:t>
      </w:r>
      <w:r>
        <w:rPr>
          <w:rFonts w:ascii="Times New Roman" w:hAnsi="Times New Roman"/>
          <w:b/>
          <w:sz w:val="24"/>
        </w:rPr>
        <w:t>66,6% dos municípios</w:t>
      </w:r>
      <w:r>
        <w:rPr>
          <w:rFonts w:ascii="Times New Roman" w:hAnsi="Times New Roman"/>
          <w:sz w:val="24"/>
        </w:rPr>
        <w:t xml:space="preserve"> — 16,6 pontos percentuais acima de um classificador aleatório (50%). A AUC-ROC superior a 0,72 confirma poder discriminativo real em todos os limiares de decisão.</w:t>
      </w:r>
    </w:p>
    <w:p>
      <w:pPr>
        <w:spacing w:before="240" w:after="120" w:line="240" w:lineRule="auto"/>
        <w:jc w:val="left"/>
      </w:pPr>
      <w:r>
        <w:rPr>
          <w:rFonts w:ascii="Times New Roman" w:hAnsi="Times New Roman"/>
          <w:b/>
          <w:sz w:val="24"/>
        </w:rPr>
        <w:t>9.2 O Que os Modelos Aprenderam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4"/>
        </w:rPr>
        <w:t>As variáveis com maior poder preditivo são:</w:t>
      </w:r>
    </w:p>
    <w:p>
      <w:pPr>
        <w:spacing w:before="0" w:after="0" w:line="360" w:lineRule="auto"/>
        <w:ind w:left="709" w:hanging="283"/>
        <w:jc w:val="both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`perc_jovens_15_29`</w:t>
      </w:r>
      <w:r>
        <w:rPr>
          <w:rFonts w:ascii="Times New Roman" w:hAnsi="Times New Roman"/>
          <w:sz w:val="24"/>
        </w:rPr>
        <w:t>: maior correlação com o alvo (ρ = 0,285), feature mais importante na árvore podada — concentração de jovens é o principal marcador de risco</w:t>
      </w:r>
    </w:p>
    <w:p>
      <w:pPr>
        <w:spacing w:before="0" w:after="0" w:line="360" w:lineRule="auto"/>
        <w:ind w:left="709" w:hanging="283"/>
        <w:jc w:val="both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`idhm_longevidade`</w:t>
      </w:r>
      <w:r>
        <w:rPr>
          <w:rFonts w:ascii="Times New Roman" w:hAnsi="Times New Roman"/>
          <w:sz w:val="24"/>
        </w:rPr>
        <w:t xml:space="preserve"> e </w:t>
      </w:r>
      <w:r>
        <w:rPr>
          <w:rFonts w:ascii="Times New Roman" w:hAnsi="Times New Roman"/>
          <w:b/>
          <w:sz w:val="24"/>
        </w:rPr>
        <w:t>`renda_per_capita`</w:t>
      </w:r>
      <w:r>
        <w:rPr>
          <w:rFonts w:ascii="Times New Roman" w:hAnsi="Times New Roman"/>
          <w:sz w:val="24"/>
        </w:rPr>
        <w:t>: indicadores de desenvolvimento humano e renda</w:t>
      </w:r>
    </w:p>
    <w:p>
      <w:pPr>
        <w:spacing w:before="0" w:after="0" w:line="360" w:lineRule="auto"/>
        <w:ind w:left="709" w:hanging="283"/>
        <w:jc w:val="both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`taxa_analfabetismo_15`</w:t>
      </w:r>
      <w:r>
        <w:rPr>
          <w:rFonts w:ascii="Times New Roman" w:hAnsi="Times New Roman"/>
          <w:sz w:val="24"/>
        </w:rPr>
        <w:t xml:space="preserve"> e </w:t>
      </w:r>
      <w:r>
        <w:rPr>
          <w:rFonts w:ascii="Times New Roman" w:hAnsi="Times New Roman"/>
          <w:b/>
          <w:sz w:val="24"/>
        </w:rPr>
        <w:t>`idhm_educacao`</w:t>
      </w:r>
      <w:r>
        <w:rPr>
          <w:rFonts w:ascii="Times New Roman" w:hAnsi="Times New Roman"/>
          <w:sz w:val="24"/>
        </w:rPr>
        <w:t>: educação como fator protetor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4"/>
        </w:rPr>
        <w:t xml:space="preserve">Em contraste, </w:t>
      </w:r>
      <w:r>
        <w:rPr>
          <w:rFonts w:ascii="Courier New" w:hAnsi="Courier New"/>
          <w:sz w:val="20"/>
        </w:rPr>
        <w:t>densidade_demografica</w:t>
      </w:r>
      <w:r>
        <w:rPr>
          <w:rFonts w:ascii="Times New Roman" w:hAnsi="Times New Roman"/>
          <w:sz w:val="24"/>
        </w:rPr>
        <w:t xml:space="preserve"> e </w:t>
      </w:r>
      <w:r>
        <w:rPr>
          <w:rFonts w:ascii="Courier New" w:hAnsi="Courier New"/>
          <w:sz w:val="20"/>
        </w:rPr>
        <w:t>pib_per_capita</w:t>
      </w:r>
      <w:r>
        <w:rPr>
          <w:rFonts w:ascii="Times New Roman" w:hAnsi="Times New Roman"/>
          <w:sz w:val="24"/>
        </w:rPr>
        <w:t xml:space="preserve"> apresentaram correlação próxima de zero — o tamanho absoluto da economia importa menos do que sua distribuição interna.</w:t>
      </w:r>
    </w:p>
    <w:p>
      <w:pPr>
        <w:spacing w:before="240" w:after="120" w:line="240" w:lineRule="auto"/>
        <w:jc w:val="left"/>
      </w:pPr>
      <w:r>
        <w:rPr>
          <w:rFonts w:ascii="Times New Roman" w:hAnsi="Times New Roman"/>
          <w:b/>
          <w:sz w:val="24"/>
        </w:rPr>
        <w:t>9.3 Limitações</w:t>
      </w:r>
    </w:p>
    <w:p>
      <w:pPr>
        <w:spacing w:before="0" w:after="0" w:line="360" w:lineRule="auto"/>
        <w:ind w:left="709" w:hanging="283"/>
        <w:jc w:val="both"/>
      </w:pPr>
      <w:r>
        <w:rPr>
          <w:rFonts w:ascii="Times New Roman" w:hAnsi="Times New Roman"/>
          <w:sz w:val="24"/>
        </w:rPr>
        <w:t xml:space="preserve">1. </w:t>
      </w:r>
      <w:r>
        <w:rPr>
          <w:rFonts w:ascii="Times New Roman" w:hAnsi="Times New Roman"/>
          <w:b/>
          <w:sz w:val="24"/>
        </w:rPr>
        <w:t>Defasagem temporal:</w:t>
      </w:r>
      <w:r>
        <w:rPr>
          <w:rFonts w:ascii="Times New Roman" w:hAnsi="Times New Roman"/>
          <w:sz w:val="24"/>
        </w:rPr>
        <w:t xml:space="preserve"> as features do Atlas Brasil são de </w:t>
      </w:r>
      <w:r>
        <w:rPr>
          <w:rFonts w:ascii="Times New Roman" w:hAnsi="Times New Roman"/>
          <w:b/>
          <w:sz w:val="24"/>
        </w:rPr>
        <w:t>2010</w:t>
      </w:r>
      <w:r>
        <w:rPr>
          <w:rFonts w:ascii="Times New Roman" w:hAnsi="Times New Roman"/>
          <w:sz w:val="24"/>
        </w:rPr>
        <w:t xml:space="preserve">, prevendo violência de </w:t>
      </w:r>
      <w:r>
        <w:rPr>
          <w:rFonts w:ascii="Times New Roman" w:hAnsi="Times New Roman"/>
          <w:b/>
          <w:sz w:val="24"/>
        </w:rPr>
        <w:t>2022</w:t>
      </w:r>
      <w:r>
        <w:rPr>
          <w:rFonts w:ascii="Times New Roman" w:hAnsi="Times New Roman"/>
          <w:sz w:val="24"/>
        </w:rPr>
        <w:t xml:space="preserve"> — gap de 12 anos que limita o poder preditivo, especialmente no Sul e Sudeste</w:t>
      </w:r>
    </w:p>
    <w:p>
      <w:pPr>
        <w:spacing w:before="0" w:after="0" w:line="360" w:lineRule="auto"/>
        <w:ind w:left="709" w:hanging="283"/>
        <w:jc w:val="both"/>
      </w:pPr>
      <w:r>
        <w:rPr>
          <w:rFonts w:ascii="Times New Roman" w:hAnsi="Times New Roman"/>
          <w:sz w:val="24"/>
        </w:rPr>
        <w:t xml:space="preserve">2. </w:t>
      </w:r>
      <w:r>
        <w:rPr>
          <w:rFonts w:ascii="Times New Roman" w:hAnsi="Times New Roman"/>
          <w:b/>
          <w:sz w:val="24"/>
        </w:rPr>
        <w:t>Subnotificação:</w:t>
      </w:r>
      <w:r>
        <w:rPr>
          <w:rFonts w:ascii="Times New Roman" w:hAnsi="Times New Roman"/>
          <w:sz w:val="24"/>
        </w:rPr>
        <w:t xml:space="preserve"> os dados do Sinesp são conhecidos por subregistro em municípios pequenos e em estados com menor capacidade institucional</w:t>
      </w:r>
    </w:p>
    <w:p>
      <w:pPr>
        <w:spacing w:before="0" w:after="0" w:line="360" w:lineRule="auto"/>
        <w:ind w:left="709" w:hanging="283"/>
        <w:jc w:val="both"/>
      </w:pPr>
      <w:r>
        <w:rPr>
          <w:rFonts w:ascii="Times New Roman" w:hAnsi="Times New Roman"/>
          <w:sz w:val="24"/>
        </w:rPr>
        <w:t xml:space="preserve">3. </w:t>
      </w:r>
      <w:r>
        <w:rPr>
          <w:rFonts w:ascii="Times New Roman" w:hAnsi="Times New Roman"/>
          <w:b/>
          <w:sz w:val="24"/>
        </w:rPr>
        <w:t>26 municípios imputados:</w:t>
      </w:r>
      <w:r>
        <w:rPr>
          <w:rFonts w:ascii="Times New Roman" w:hAnsi="Times New Roman"/>
          <w:sz w:val="24"/>
        </w:rPr>
        <w:t xml:space="preserve"> nomes divergentes no Atlas Brasil levaram à imputação pela mediana regional</w:t>
      </w:r>
    </w:p>
    <w:p>
      <w:pPr>
        <w:spacing w:before="0" w:after="0" w:line="360" w:lineRule="auto"/>
        <w:ind w:left="709" w:hanging="283"/>
        <w:jc w:val="both"/>
      </w:pPr>
      <w:r>
        <w:rPr>
          <w:rFonts w:ascii="Times New Roman" w:hAnsi="Times New Roman"/>
          <w:sz w:val="24"/>
        </w:rPr>
        <w:t xml:space="preserve">4. </w:t>
      </w:r>
      <w:r>
        <w:rPr>
          <w:rFonts w:ascii="Times New Roman" w:hAnsi="Times New Roman"/>
          <w:b/>
          <w:sz w:val="24"/>
        </w:rPr>
        <w:t>Classificação binária na mediana:</w:t>
      </w:r>
      <w:r>
        <w:rPr>
          <w:rFonts w:ascii="Times New Roman" w:hAnsi="Times New Roman"/>
          <w:sz w:val="24"/>
        </w:rPr>
        <w:t xml:space="preserve"> municípios próximos ao limiar são inerentemente ambíguos — um modelo de regressão poderia capturar mais nuance</w:t>
      </w:r>
    </w:p>
    <w:p>
      <w:pPr>
        <w:spacing w:before="0" w:after="0" w:line="360" w:lineRule="auto"/>
        <w:ind w:left="709" w:hanging="283"/>
        <w:jc w:val="both"/>
      </w:pPr>
      <w:r>
        <w:rPr>
          <w:rFonts w:ascii="Times New Roman" w:hAnsi="Times New Roman"/>
          <w:sz w:val="24"/>
        </w:rPr>
        <w:t xml:space="preserve">5. </w:t>
      </w:r>
      <w:r>
        <w:rPr>
          <w:rFonts w:ascii="Times New Roman" w:hAnsi="Times New Roman"/>
          <w:b/>
          <w:sz w:val="24"/>
        </w:rPr>
        <w:t>Features ausentes:</w:t>
      </w:r>
      <w:r>
        <w:rPr>
          <w:rFonts w:ascii="Times New Roman" w:hAnsi="Times New Roman"/>
          <w:sz w:val="24"/>
        </w:rPr>
        <w:t xml:space="preserve"> presença de organizações criminosas, nível de investimento em segurança pública e histórico de conflitos fundiários não estão disponíveis em dados abertos com cobertura municipal completa</w:t>
      </w:r>
    </w:p>
    <w:p>
      <w:pPr>
        <w:spacing w:before="240" w:after="120" w:line="240" w:lineRule="auto"/>
        <w:jc w:val="left"/>
      </w:pPr>
      <w:r>
        <w:rPr>
          <w:rFonts w:ascii="Times New Roman" w:hAnsi="Times New Roman"/>
          <w:b/>
          <w:sz w:val="24"/>
        </w:rPr>
        <w:t>9.4 Implicações para Políticas Públicas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4"/>
        </w:rPr>
        <w:t xml:space="preserve">Os resultados confirmam empiricamente que </w:t>
      </w:r>
      <w:r>
        <w:rPr>
          <w:rFonts w:ascii="Times New Roman" w:hAnsi="Times New Roman"/>
          <w:b/>
          <w:sz w:val="24"/>
        </w:rPr>
        <w:t>investimentos em educação, redução da desigualdade de renda e programas voltados à juventude de 15 a 29 anos</w:t>
      </w:r>
      <w:r>
        <w:rPr>
          <w:rFonts w:ascii="Times New Roman" w:hAnsi="Times New Roman"/>
          <w:sz w:val="24"/>
        </w:rPr>
        <w:t xml:space="preserve"> têm o maior potencial de impacto sobre a violência estrutural a longo prazo — em linha com a literatura criminológica sobre os determinantes socioeconômicos da violência no Brasil.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4"/>
        </w:rPr>
        <w:t>A heterogeneidade regional — com desempenho superior no Norte/Nordeste e inferior no Sul/Sudeste — sugere que políticas nacionais uniformes têm eficácia limitada. Intervenções regionalmente diferenciadas, que considerem as especificidades dos padrões locais de violência, tendem a ser mais eficazes.</w:t>
      </w:r>
    </w:p>
    <w:p>
      <w:pPr>
        <w:spacing w:before="360" w:after="120" w:line="240" w:lineRule="auto"/>
        <w:jc w:val="left"/>
      </w:pPr>
      <w:r>
        <w:rPr>
          <w:rFonts w:ascii="Times New Roman" w:hAnsi="Times New Roman"/>
          <w:b/>
          <w:sz w:val="24"/>
        </w:rPr>
        <w:t>REFERÊNCIAS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4"/>
        </w:rPr>
        <w:t xml:space="preserve">BEATO FILHO, C. C. Determinantes da criminalidade em Minas Gerais. </w:t>
      </w:r>
      <w:r>
        <w:rPr>
          <w:rFonts w:ascii="Times New Roman" w:hAnsi="Times New Roman"/>
          <w:b/>
          <w:sz w:val="24"/>
        </w:rPr>
        <w:t>Revista Brasileira de Ciências Sociais</w:t>
      </w:r>
      <w:r>
        <w:rPr>
          <w:rFonts w:ascii="Times New Roman" w:hAnsi="Times New Roman"/>
          <w:sz w:val="24"/>
        </w:rPr>
        <w:t>, São Paulo, v. 13, n. 37, p. 74–87, jun. 1998.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4"/>
        </w:rPr>
        <w:t xml:space="preserve">CERQUEIRA, D.; LOBÃO, W. Determinantes da criminalidade: arcabouços teóricos e resultados empíricos. </w:t>
      </w:r>
      <w:r>
        <w:rPr>
          <w:rFonts w:ascii="Times New Roman" w:hAnsi="Times New Roman"/>
          <w:b/>
          <w:sz w:val="24"/>
        </w:rPr>
        <w:t>Dados — Revista de Ciências Sociais</w:t>
      </w:r>
      <w:r>
        <w:rPr>
          <w:rFonts w:ascii="Times New Roman" w:hAnsi="Times New Roman"/>
          <w:sz w:val="24"/>
        </w:rPr>
        <w:t>, Rio de Janeiro, v. 47, n. 2, p. 233–269, 2004.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4"/>
        </w:rPr>
        <w:t xml:space="preserve">DEININGER, K.; SQUIRE, L. A new data set measuring income inequality. </w:t>
      </w:r>
      <w:r>
        <w:rPr>
          <w:rFonts w:ascii="Times New Roman" w:hAnsi="Times New Roman"/>
          <w:b/>
          <w:sz w:val="24"/>
        </w:rPr>
        <w:t>The World Bank Economic Review</w:t>
      </w:r>
      <w:r>
        <w:rPr>
          <w:rFonts w:ascii="Times New Roman" w:hAnsi="Times New Roman"/>
          <w:sz w:val="24"/>
        </w:rPr>
        <w:t>, Washington, v. 10, n. 3, p. 565–591, 1996.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4"/>
        </w:rPr>
        <w:t xml:space="preserve">FÓRUM BRASILEIRO DE SEGURANÇA PÚBLICA. </w:t>
      </w:r>
      <w:r>
        <w:rPr>
          <w:rFonts w:ascii="Times New Roman" w:hAnsi="Times New Roman"/>
          <w:b/>
          <w:sz w:val="24"/>
        </w:rPr>
        <w:t>Anuário Brasileiro de Segurança Pública 2023</w:t>
      </w:r>
      <w:r>
        <w:rPr>
          <w:rFonts w:ascii="Times New Roman" w:hAnsi="Times New Roman"/>
          <w:sz w:val="24"/>
        </w:rPr>
        <w:t>. São Paulo: FBSP, 2023.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4"/>
        </w:rPr>
        <w:t xml:space="preserve">IBGE — INSTITUTO BRASILEIRO DE GEOGRAFIA E ESTATÍSTICA. </w:t>
      </w:r>
      <w:r>
        <w:rPr>
          <w:rFonts w:ascii="Times New Roman" w:hAnsi="Times New Roman"/>
          <w:b/>
          <w:sz w:val="24"/>
        </w:rPr>
        <w:t>Censo Demográfico 2022 — Amostra Trabalho e Rendimento</w:t>
      </w:r>
      <w:r>
        <w:rPr>
          <w:rFonts w:ascii="Times New Roman" w:hAnsi="Times New Roman"/>
          <w:sz w:val="24"/>
        </w:rPr>
        <w:t>. Rio de Janeiro: IBGE, 2025. Disponível em: https://sidra.ibge.gov.br. Acesso em: mar. 2026.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4"/>
        </w:rPr>
        <w:t xml:space="preserve">MELLO, J. M. P. de; SCHNEIDER, A. Mudança demográfica e a dinâmica dos homicídios no estado de São Paulo. </w:t>
      </w:r>
      <w:r>
        <w:rPr>
          <w:rFonts w:ascii="Times New Roman" w:hAnsi="Times New Roman"/>
          <w:b/>
          <w:sz w:val="24"/>
        </w:rPr>
        <w:t>São Paulo em Perspectiva</w:t>
      </w:r>
      <w:r>
        <w:rPr>
          <w:rFonts w:ascii="Times New Roman" w:hAnsi="Times New Roman"/>
          <w:sz w:val="24"/>
        </w:rPr>
        <w:t>, São Paulo, v. 21, n. 1, p. 19–30, 2010.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4"/>
        </w:rPr>
        <w:t xml:space="preserve">PEDREGOSA, F. et al. Scikit-learn: machine learning in Python. </w:t>
      </w:r>
      <w:r>
        <w:rPr>
          <w:rFonts w:ascii="Times New Roman" w:hAnsi="Times New Roman"/>
          <w:b/>
          <w:sz w:val="24"/>
        </w:rPr>
        <w:t>Journal of Machine Learning Research</w:t>
      </w:r>
      <w:r>
        <w:rPr>
          <w:rFonts w:ascii="Times New Roman" w:hAnsi="Times New Roman"/>
          <w:sz w:val="24"/>
        </w:rPr>
        <w:t>, v. 12, p. 2825–2830, 2011.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4"/>
        </w:rPr>
        <w:t xml:space="preserve">PNUD; IPEA; FJP. </w:t>
      </w:r>
      <w:r>
        <w:rPr>
          <w:rFonts w:ascii="Times New Roman" w:hAnsi="Times New Roman"/>
          <w:b/>
          <w:sz w:val="24"/>
        </w:rPr>
        <w:t>Atlas do Desenvolvimento Humano no Brasil 2013</w:t>
      </w:r>
      <w:r>
        <w:rPr>
          <w:rFonts w:ascii="Times New Roman" w:hAnsi="Times New Roman"/>
          <w:sz w:val="24"/>
        </w:rPr>
        <w:t>. Brasília: PNUD, 2013. Disponível em: http://www.atlasbrasil.org.br. Acesso em: mar. 2026.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4"/>
        </w:rPr>
        <w:t xml:space="preserve">SECRETARIA NACIONAL DE SEGURANÇA PÚBLICA (SENASP/MJ). </w:t>
      </w:r>
      <w:r>
        <w:rPr>
          <w:rFonts w:ascii="Times New Roman" w:hAnsi="Times New Roman"/>
          <w:b/>
          <w:sz w:val="24"/>
        </w:rPr>
        <w:t>Sinesp — Sistema Nacional de Informações de Segurança Pública</w:t>
      </w:r>
      <w:r>
        <w:rPr>
          <w:rFonts w:ascii="Times New Roman" w:hAnsi="Times New Roman"/>
          <w:sz w:val="24"/>
        </w:rPr>
        <w:t>. Brasília: Ministério da Justiça e Segurança Pública, 2023. Disponível em: https://www.gov.br/mj. Acesso em: mar. 2026.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sz w:val="24"/>
        </w:rPr>
        <w:t xml:space="preserve">VAPNIK, V. N. </w:t>
      </w:r>
      <w:r>
        <w:rPr>
          <w:rFonts w:ascii="Times New Roman" w:hAnsi="Times New Roman"/>
          <w:b/>
          <w:sz w:val="24"/>
        </w:rPr>
        <w:t>The Nature of Statistical Learning Theory</w:t>
      </w:r>
      <w:r>
        <w:rPr>
          <w:rFonts w:ascii="Times New Roman" w:hAnsi="Times New Roman"/>
          <w:sz w:val="24"/>
        </w:rPr>
        <w:t>. 2. ed. New York: Springer, 1999.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sz w:val="20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