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4"/>
        </w:rPr>
        <w:t>UNIVERSIDADE FEDERAL DA PARAÍBA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Centro de Informática</w:t>
      </w:r>
    </w:p>
    <w:p>
      <w:pPr>
        <w:spacing w:before="0" w:after="960"/>
        <w:jc w:val="center"/>
      </w:pPr>
      <w:r>
        <w:rPr>
          <w:rFonts w:ascii="Times New Roman" w:hAnsi="Times New Roman"/>
          <w:b w:val="0"/>
          <w:i w:val="0"/>
          <w:sz w:val="24"/>
        </w:rPr>
        <w:t>Disciplina de Aprendizagem de Máquina</w:t>
      </w:r>
    </w:p>
    <w:p>
      <w:pPr>
        <w:spacing w:before="0" w:after="960"/>
        <w:jc w:val="center"/>
      </w:pPr>
      <w:r>
        <w:rPr>
          <w:rFonts w:ascii="Times New Roman" w:hAnsi="Times New Roman"/>
          <w:b/>
          <w:i w:val="0"/>
          <w:sz w:val="28"/>
        </w:rPr>
        <w:t>PREDIÇÃO DE VIOLÊNCIA MUNICIPAL COM INDICADORES SOCIOECONÔMICOS</w:t>
      </w:r>
    </w:p>
    <w:p>
      <w:pPr>
        <w:spacing w:before="0" w:after="1440"/>
        <w:jc w:val="center"/>
      </w:pPr>
      <w:r>
        <w:rPr>
          <w:rFonts w:ascii="Times New Roman" w:hAnsi="Times New Roman"/>
          <w:b w:val="0"/>
          <w:i/>
          <w:sz w:val="24"/>
        </w:rPr>
        <w:t>Relatório Final — Projeto da Disciplina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Autores: (adicionar nomes do grupo)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Professores: Bruno Jefferson de Sousa Pessoa e Gilberto Farias de Sousa Filho</w:t>
      </w:r>
    </w:p>
    <w:p>
      <w:pPr>
        <w:spacing w:before="1440" w:after="0"/>
        <w:jc w:val="center"/>
      </w:pPr>
      <w:r>
        <w:rPr>
          <w:rFonts w:ascii="Times New Roman" w:hAnsi="Times New Roman"/>
          <w:b w:val="0"/>
          <w:i w:val="0"/>
          <w:sz w:val="24"/>
        </w:rPr>
        <w:t>João Pessoa — PB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Março de 2026</w:t>
      </w:r>
    </w:p>
    <w:p>
      <w:r>
        <w:br w:type="pag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Disciplina:</w:t>
      </w:r>
      <w:r>
        <w:rPr>
          <w:rFonts w:ascii="Times New Roman" w:hAnsi="Times New Roman"/>
          <w:sz w:val="24"/>
        </w:rPr>
        <w:t xml:space="preserve"> Aprendizagem de Máquina — UFPB, 2025.1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Professores:</w:t>
      </w:r>
      <w:r>
        <w:rPr>
          <w:rFonts w:ascii="Times New Roman" w:hAnsi="Times New Roman"/>
          <w:sz w:val="24"/>
        </w:rPr>
        <w:t xml:space="preserve"> Bruno Jefferson de Sousa Pessoa e Gilberto Farias de Sousa Filho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Autores: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(adicionar nomes do grupo)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Data:</w:t>
      </w:r>
      <w:r>
        <w:rPr>
          <w:rFonts w:ascii="Times New Roman" w:hAnsi="Times New Roman"/>
          <w:sz w:val="24"/>
        </w:rPr>
        <w:t xml:space="preserve"> Março de 2026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RESUMO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Este trabalho investiga se é possível prever o nível de violência de um município brasileiro utilizando exclusivamente indicadores socioeconômicos. A partir de dados do Censo Demográfico 2022 (IBGE), Atlas Brasil 2010 (PNUD/Ipea/FJP) e Sinesp/MJ (2022), foi construído um dataset com 5.570 municípios e 15 features socioeconômicas. A variável alvo — classificação binária de alta ou baixa violência — foi derivada da taxa de homicídios dolosos per capita, usando a mediana (12,03/100 mil habitantes) como limiar. Três modelos de aprendizagem de máquina foram treinados e avaliados: Rede Neural (Keras), Árvore de Decisão (scikit-learn) e SVM (scikit-learn). O melhor modelo foi o SVM com kernel RBF (C=100, γ=0,001), atingindo acurácia de 66,6% e F1-score de 68,2% — 16,6 pontos percentuais acima do classificador aleatório. Os resultados confirmam que indicadores socioeconômicos têm poder discriminativo real sobre o nível de violência municipal, ainda que moderado, com a principal limitação sendo a defasagem temporal de 12 anos entre as features do Atlas Brasil (2010) e o alvo (2022).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Palavras-chave:</w:t>
      </w:r>
      <w:r>
        <w:rPr>
          <w:rFonts w:ascii="Times New Roman" w:hAnsi="Times New Roman"/>
          <w:sz w:val="24"/>
        </w:rPr>
        <w:t xml:space="preserve"> aprendizagem de máquina; violência urbana; municípios brasileiros; classificação binária; SVM; rede neural; árvore de decisão.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1. INTRODUÇÃO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1.1 Contexto e Motivação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Brasil registrou, em 2022, uma taxa de 22,3 homicídios dolosos por 100 mil habitantes segundo o Anuário Brasileiro de Segurança Pública, posicionando-se entre os países com maiores índices de violência no mundo. A distribuição desse fenômeno, contudo, é profundamente heterogênea: municípios com perfis socioeconômicos distintos apresentam taxas que variam de zero a mais de 100 homicídios por 100 mil habitantes, sugerindo que fatores estruturais desempenham papel relevante na determinação do nível de violência local.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A literatura criminológica consolidou, ao longo das últimas décadas, um conjunto de determinantes socioeconômicos associados à violência urbana: desigualdade de renda (medida pelo índice de Gini), pobreza, desemprego, urbanização acelerada, baixa escolaridade e concentração de jovens do sexo masculino entre 15 e 29 anos (BEATO FILHO, 1998; CERQUEIRA; LOBÃO, 2004; MELLO; SCHNEIDER, 2010). No entanto, a relação entre esses fatores e a violência raramente é explorada de forma preditiva sistemática para o conjunto completo dos municípios brasileiros.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Este trabalho aplica técnicas de aprendizagem de máquina para formalizar e testar essa relação preditiva, oferecendo uma contribuição metodológica ao campo e uma ferramenta potencialmente útil para o direcionamento de políticas públicas de segurança.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1.2 Pergunta de Pesquisa</w:t>
      </w:r>
    </w:p>
    <w:p>
      <w:pPr>
        <w:spacing w:line="240" w:lineRule="auto" w:before="120" w:after="120"/>
        <w:ind w:left="2268" w:right="0" w:firstLine="0"/>
        <w:jc w:val="both"/>
      </w:pPr>
      <w:r>
        <w:rPr>
          <w:rFonts w:ascii="Times New Roman" w:hAnsi="Times New Roman"/>
          <w:b/>
          <w:sz w:val="20"/>
        </w:rPr>
        <w:t>"É possível prever o nível de violência de um município brasileiro usando apenas indicadores socioeconômicos?"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1.3 Abordagem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problema foi formulado como uma </w:t>
      </w:r>
      <w:r>
        <w:rPr>
          <w:rFonts w:ascii="Times New Roman" w:hAnsi="Times New Roman"/>
          <w:b/>
          <w:sz w:val="24"/>
        </w:rPr>
        <w:t>classificação binária</w:t>
      </w:r>
      <w:r>
        <w:rPr>
          <w:rFonts w:ascii="Times New Roman" w:hAnsi="Times New Roman"/>
          <w:sz w:val="24"/>
        </w:rPr>
        <w:t xml:space="preserve">: cada município recebe o rótulo </w:t>
      </w:r>
      <w:r>
        <w:rPr>
          <w:rFonts w:ascii="Times New Roman" w:hAnsi="Times New Roman"/>
          <w:i/>
          <w:sz w:val="24"/>
        </w:rPr>
        <w:t>alta violência</w:t>
      </w:r>
      <w:r>
        <w:rPr>
          <w:rFonts w:ascii="Times New Roman" w:hAnsi="Times New Roman"/>
          <w:sz w:val="24"/>
        </w:rPr>
        <w:t xml:space="preserve"> (1) ou </w:t>
      </w:r>
      <w:r>
        <w:rPr>
          <w:rFonts w:ascii="Times New Roman" w:hAnsi="Times New Roman"/>
          <w:i/>
          <w:sz w:val="24"/>
        </w:rPr>
        <w:t>baixa violência</w:t>
      </w:r>
      <w:r>
        <w:rPr>
          <w:rFonts w:ascii="Times New Roman" w:hAnsi="Times New Roman"/>
          <w:sz w:val="24"/>
        </w:rPr>
        <w:t xml:space="preserve"> (0), com base em sua taxa de homicídios dolosos per capita comparada à mediana nacional. As </w:t>
      </w:r>
      <w:r>
        <w:rPr>
          <w:rFonts w:ascii="Times New Roman" w:hAnsi="Times New Roman"/>
          <w:b/>
          <w:sz w:val="24"/>
        </w:rPr>
        <w:t>features (X)</w:t>
      </w:r>
      <w:r>
        <w:rPr>
          <w:rFonts w:ascii="Times New Roman" w:hAnsi="Times New Roman"/>
          <w:sz w:val="24"/>
        </w:rPr>
        <w:t xml:space="preserve"> são exclusivamente socioeconômicas — dados de crime nunca entram como preditores. O modelo aprende a associar o perfil socioeconômico de um município ao seu nível esperado de violência.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2. DATASET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2.1 Fontes de Dados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dataset final resulta do cruzamento de cinco fontes públicas, identificadas pelo código IBGE de 7 dígitos de cada município: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Fonte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Variáveis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Ano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Granularidade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IBGE SIDRA — Censo 2022 (tabelas 9514, 9923, 9517, 10135, 10295, 6805)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População, urbanização, desemprego, analfabetismo, renda, esgoto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Municipal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IBGE SIDRA — tabela 5938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PIB per capita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Municipal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IBGE — áreas territoriais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Área do município (para densidade)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Municipal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Atlas do Desenvolvimento Humano no Brasil (PNUD/Ipea/FJP)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 (geral e 3 subdimensões), Gini, % pobres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2010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Municipal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Sinesp/MJ — Sistema Nacional de Informações de Segurança Pública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Homicídios dolosos (variável alvo)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Municipal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download dos dados do SIDRA foi automatizado via API REST (</w:t>
      </w:r>
      <w:r>
        <w:rPr>
          <w:rFonts w:ascii="Courier New" w:hAnsi="Courier New"/>
          <w:sz w:val="20"/>
        </w:rPr>
        <w:t>data/download_sidra.py</w:t>
      </w:r>
      <w:r>
        <w:rPr>
          <w:rFonts w:ascii="Times New Roman" w:hAnsi="Times New Roman"/>
          <w:sz w:val="24"/>
        </w:rPr>
        <w:t>). Os dados do Atlas Brasil foram obtidos por download direto do portal atlasbrasil.org.br. Os dados do Sinesp foram obtidos como planilha XLSX do portal de dados abertos do Ministério da Justiça.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2.2 Variável Alvo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variável alvo </w:t>
      </w:r>
      <w:r>
        <w:rPr>
          <w:rFonts w:ascii="Courier New" w:hAnsi="Courier New"/>
          <w:sz w:val="20"/>
        </w:rPr>
        <w:t>alta_violencia</w:t>
      </w:r>
      <w:r>
        <w:rPr>
          <w:rFonts w:ascii="Times New Roman" w:hAnsi="Times New Roman"/>
          <w:sz w:val="24"/>
        </w:rPr>
        <w:t xml:space="preserve"> foi construída em três etapas: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Taxa de homicídios:</w:t>
      </w:r>
      <w:r>
        <w:rPr>
          <w:rFonts w:ascii="Times New Roman" w:hAnsi="Times New Roman"/>
          <w:sz w:val="24"/>
        </w:rPr>
        <w:t xml:space="preserve"> para cada município, calculou-se a taxa de homicídios dolosos por 100 mil habitantes em 2022, usando a população do Censo 2022 como denominador.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Limiar:</w:t>
      </w:r>
      <w:r>
        <w:rPr>
          <w:rFonts w:ascii="Times New Roman" w:hAnsi="Times New Roman"/>
          <w:sz w:val="24"/>
        </w:rPr>
        <w:t xml:space="preserve"> a mediana da distribuição das taxas entre os 5.570 municípios foi calculada, resultando em </w:t>
      </w:r>
      <w:r>
        <w:rPr>
          <w:rFonts w:ascii="Times New Roman" w:hAnsi="Times New Roman"/>
          <w:b/>
          <w:sz w:val="24"/>
        </w:rPr>
        <w:t>12,03 homicídios por 100 mil habitantes</w:t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Binarização:</w:t>
      </w:r>
      <w:r>
        <w:rPr>
          <w:rFonts w:ascii="Times New Roman" w:hAnsi="Times New Roman"/>
          <w:sz w:val="24"/>
        </w:rPr>
        <w:t xml:space="preserve"> municípios com taxa acima da mediana recebem </w:t>
      </w:r>
      <w:r>
        <w:rPr>
          <w:rFonts w:ascii="Courier New" w:hAnsi="Courier New"/>
          <w:sz w:val="20"/>
        </w:rPr>
        <w:t>alta_violencia = 1</w:t>
      </w:r>
      <w:r>
        <w:rPr>
          <w:rFonts w:ascii="Times New Roman" w:hAnsi="Times New Roman"/>
          <w:sz w:val="24"/>
        </w:rPr>
        <w:t xml:space="preserve">; abaixo ou igual, </w:t>
      </w:r>
      <w:r>
        <w:rPr>
          <w:rFonts w:ascii="Courier New" w:hAnsi="Courier New"/>
          <w:sz w:val="20"/>
        </w:rPr>
        <w:t>alta_violencia = 0</w:t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uso da mediana como limiar garante, por construção, um </w:t>
      </w:r>
      <w:r>
        <w:rPr>
          <w:rFonts w:ascii="Times New Roman" w:hAnsi="Times New Roman"/>
          <w:b/>
          <w:sz w:val="24"/>
        </w:rPr>
        <w:t>balanceamento perfeito de classes (50%/50%)</w:t>
      </w:r>
      <w:r>
        <w:rPr>
          <w:rFonts w:ascii="Times New Roman" w:hAnsi="Times New Roman"/>
          <w:sz w:val="24"/>
        </w:rPr>
        <w:t>, eliminando a necessidade de técnicas de reamostragem e permitindo o uso de métricas não ponderadas.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Importante:</w:t>
      </w:r>
      <w:r>
        <w:rPr>
          <w:rFonts w:ascii="Times New Roman" w:hAnsi="Times New Roman"/>
          <w:sz w:val="24"/>
        </w:rPr>
        <w:t xml:space="preserve"> a variável </w:t>
      </w:r>
      <w:r>
        <w:rPr>
          <w:rFonts w:ascii="Courier New" w:hAnsi="Courier New"/>
          <w:sz w:val="20"/>
        </w:rPr>
        <w:t>taxa_homicidios</w:t>
      </w:r>
      <w:r>
        <w:rPr>
          <w:rFonts w:ascii="Times New Roman" w:hAnsi="Times New Roman"/>
          <w:sz w:val="24"/>
        </w:rPr>
        <w:t xml:space="preserve"> e qualquer dado do Sinesp foram </w:t>
      </w:r>
      <w:r>
        <w:rPr>
          <w:rFonts w:ascii="Times New Roman" w:hAnsi="Times New Roman"/>
          <w:b/>
          <w:sz w:val="24"/>
        </w:rPr>
        <w:t>estritamente excluídos das features (X)</w:t>
      </w:r>
      <w:r>
        <w:rPr>
          <w:rFonts w:ascii="Times New Roman" w:hAnsi="Times New Roman"/>
          <w:sz w:val="24"/>
        </w:rPr>
        <w:t>. Dados de crime servem apenas para construir o alvo (y).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2.3 Features Selecionadas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As 15 features socioeconômicas foram selecionadas com base na literatura criminológica e na disponibilidade de dados com cobertura para todos os 5.570 municípios brasileiros: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Feature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Fonte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Ano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pop_total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População residente total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SIDRA 9514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pop_urbana_pct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% da população em área urbana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SIDRA 9923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perc_jovens_15_29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% de jovens de 15 a 29 anos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SIDRA 9514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renda_per_capita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Rendimento domiciliar per capita médio (R$)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SIDRA 10295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taxa_desemprego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Taxa de desemprego (%)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SIDRA 9517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taxa_analfabetismo_15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Taxa de analfabetismo — 15 anos ou mais (%)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SIDRA 10135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perc_esgoto_adequado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% de domicílios com esgoto adequado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SIDRA 6805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gini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Índice de Gini do rendimento domiciliar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Atlas Brasil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2010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idhm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 geral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Atlas Brasil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2010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idhm_renda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 — subdimensão Renda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Atlas Brasil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2010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idhm_longevidade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 — subdimensão Longevidade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Atlas Brasil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2010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idhm_educacao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 — subdimensão Educação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Atlas Brasil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2010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perc_pobres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% de pessoas abaixo da linha de pobreza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Atlas Brasil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2010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pib_per_capita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PIB per capita municipal (R$)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SIDRA 5938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2021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densidade_demografica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Densidade demográfica (hab/km²)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IBGE pop÷área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2022/2024</w:t>
            </w:r>
          </w:p>
        </w:tc>
      </w:tr>
    </w:tbl>
    <w:p>
      <w:pPr>
        <w:spacing w:before="120" w:after="120"/>
      </w:pP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2.4 Processo de Integração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cruzamento dos datasets foi realizado pelo código IBGE de 7 dígitos de cada município. O Atlas Brasil utiliza o código de 6 dígitos em alguns registros, exigindo conversão. Além disso, 26 municípios apresentaram discrepância de grafia entre o Atlas Brasil e o cadastro de referência do IBGE — esses casos foram resolvidos por busca fonética e normalização de caracteres especiais, com imputação pela mediana de sua macrorregião nos casos irresolvíveis.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2.5 Tratamento de Valores Ausentes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Após o cruzamento, o dataset apresentou no máximo 0,59% de valores nulos por coluna. Todos os nulos foram imputados pela </w:t>
      </w:r>
      <w:r>
        <w:rPr>
          <w:rFonts w:ascii="Times New Roman" w:hAnsi="Times New Roman"/>
          <w:b/>
          <w:sz w:val="24"/>
        </w:rPr>
        <w:t>mediana da respectiva coluna</w:t>
      </w:r>
      <w:r>
        <w:rPr>
          <w:rFonts w:ascii="Times New Roman" w:hAnsi="Times New Roman"/>
          <w:sz w:val="24"/>
        </w:rPr>
        <w:t xml:space="preserve">, estratégia robusta a outliers e adequada ao perfil assimétrico de diversas features (renda, PIB, população). O dataset final possui </w:t>
      </w:r>
      <w:r>
        <w:rPr>
          <w:rFonts w:ascii="Times New Roman" w:hAnsi="Times New Roman"/>
          <w:b/>
          <w:sz w:val="24"/>
        </w:rPr>
        <w:t>zero valores ausentes</w:t>
      </w:r>
      <w:r>
        <w:rPr>
          <w:rFonts w:ascii="Times New Roman" w:hAnsi="Times New Roman"/>
          <w:sz w:val="24"/>
        </w:rPr>
        <w:t>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2.6 Estatísticas Descritivas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dataset final contém </w:t>
      </w:r>
      <w:r>
        <w:rPr>
          <w:rFonts w:ascii="Times New Roman" w:hAnsi="Times New Roman"/>
          <w:b/>
          <w:sz w:val="24"/>
        </w:rPr>
        <w:t>5.570 municípios × 18 colunas</w:t>
      </w:r>
      <w:r>
        <w:rPr>
          <w:rFonts w:ascii="Times New Roman" w:hAnsi="Times New Roman"/>
          <w:sz w:val="24"/>
        </w:rPr>
        <w:t xml:space="preserve"> (15 features + </w:t>
      </w:r>
      <w:r>
        <w:rPr>
          <w:rFonts w:ascii="Courier New" w:hAnsi="Courier New"/>
          <w:sz w:val="20"/>
        </w:rPr>
        <w:t>cod_ibge</w:t>
      </w:r>
      <w:r>
        <w:rPr>
          <w:rFonts w:ascii="Times New Roman" w:hAnsi="Times New Roman"/>
          <w:sz w:val="24"/>
        </w:rPr>
        <w:t xml:space="preserve"> + </w:t>
      </w:r>
      <w:r>
        <w:rPr>
          <w:rFonts w:ascii="Courier New" w:hAnsi="Courier New"/>
          <w:sz w:val="20"/>
        </w:rPr>
        <w:t>taxa_homicidios</w:t>
      </w:r>
      <w:r>
        <w:rPr>
          <w:rFonts w:ascii="Times New Roman" w:hAnsi="Times New Roman"/>
          <w:sz w:val="24"/>
        </w:rPr>
        <w:t xml:space="preserve"> + </w:t>
      </w:r>
      <w:r>
        <w:rPr>
          <w:rFonts w:ascii="Courier New" w:hAnsi="Courier New"/>
          <w:sz w:val="20"/>
        </w:rPr>
        <w:t>alta_violencia</w:t>
      </w:r>
      <w:r>
        <w:rPr>
          <w:rFonts w:ascii="Times New Roman" w:hAnsi="Times New Roman"/>
          <w:sz w:val="24"/>
        </w:rPr>
        <w:t>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Feature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Média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Desvio Padrão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Mínimo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Máximo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pop_total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38.430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219.168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804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11.451.245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pop_urbana_pct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65,5%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23,3%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perc_jovens_15_29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20,1%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3,0%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8,0%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41,1%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renda_per_capita (R$)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1.274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622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234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8.481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taxa_desemprego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7,2%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4,0%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44,7%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taxa_analfabetismo_15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10,4%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9,2%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56,7%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perc_esgoto_adequado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44,1%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35,2%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gini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0,494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0,066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0,230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0,830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0,665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0,072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0,418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0,862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idhm_renda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0,661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0,075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0,376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0,909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idhm_longevidade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0,818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0,044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0,583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0,934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idhm_educacao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0,554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0,101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0,168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0,888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perc_pobres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23,2%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17,9%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0,1%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84,3%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pib_per_capita (R$)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31.264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42.508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3.282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1.484.935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densidade_demografica (hab/km²)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109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659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0,07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13.024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análise exploratória revelou que a feature com maior correlação linear com a variável alvo é </w:t>
      </w:r>
      <w:r>
        <w:rPr>
          <w:rFonts w:ascii="Courier New" w:hAnsi="Courier New"/>
          <w:sz w:val="20"/>
        </w:rPr>
        <w:t>perc_jovens_15_29</w:t>
      </w:r>
      <w:r>
        <w:rPr>
          <w:rFonts w:ascii="Times New Roman" w:hAnsi="Times New Roman"/>
          <w:sz w:val="24"/>
        </w:rPr>
        <w:t xml:space="preserve"> (ρ = 0,285), seguida de </w:t>
      </w:r>
      <w:r>
        <w:rPr>
          <w:rFonts w:ascii="Courier New" w:hAnsi="Courier New"/>
          <w:sz w:val="20"/>
        </w:rPr>
        <w:t>perc_esgoto_adequado</w:t>
      </w:r>
      <w:r>
        <w:rPr>
          <w:rFonts w:ascii="Times New Roman" w:hAnsi="Times New Roman"/>
          <w:sz w:val="24"/>
        </w:rPr>
        <w:t xml:space="preserve"> (ρ = −0,264) e </w:t>
      </w:r>
      <w:r>
        <w:rPr>
          <w:rFonts w:ascii="Courier New" w:hAnsi="Courier New"/>
          <w:sz w:val="20"/>
        </w:rPr>
        <w:t>idhm_longevidade</w:t>
      </w:r>
      <w:r>
        <w:rPr>
          <w:rFonts w:ascii="Times New Roman" w:hAnsi="Times New Roman"/>
          <w:sz w:val="24"/>
        </w:rPr>
        <w:t xml:space="preserve"> (ρ = −0,251). Notavelmente, </w:t>
      </w:r>
      <w:r>
        <w:rPr>
          <w:rFonts w:ascii="Courier New" w:hAnsi="Courier New"/>
          <w:sz w:val="20"/>
        </w:rPr>
        <w:t>densidade_demografica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Courier New" w:hAnsi="Courier New"/>
          <w:sz w:val="20"/>
        </w:rPr>
        <w:t>pib_per_capita</w:t>
      </w:r>
      <w:r>
        <w:rPr>
          <w:rFonts w:ascii="Times New Roman" w:hAnsi="Times New Roman"/>
          <w:sz w:val="24"/>
        </w:rPr>
        <w:t xml:space="preserve"> apresentaram correlação próxima de zero com o alvo, indicando que o tamanho econômico do município importa menos do que a distribuição interna de renda e a estrutura demográfica.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3. PRÉ-PROCESSAMENTO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3.1 Separação Treino/Teste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dataset foi dividido em conjuntos de treino (80%) e teste (20%) utilizando </w:t>
      </w:r>
      <w:r>
        <w:rPr>
          <w:rFonts w:ascii="Times New Roman" w:hAnsi="Times New Roman"/>
          <w:b/>
          <w:sz w:val="24"/>
        </w:rPr>
        <w:t>estratificação pela variável alvo</w:t>
      </w:r>
      <w:r>
        <w:rPr>
          <w:rFonts w:ascii="Times New Roman" w:hAnsi="Times New Roman"/>
          <w:sz w:val="24"/>
        </w:rPr>
        <w:t>, garantindo que a proporção de 50%/50% seja preservada em ambos os conjuntos: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Treino:</w:t>
      </w:r>
      <w:r>
        <w:rPr>
          <w:rFonts w:ascii="Times New Roman" w:hAnsi="Times New Roman"/>
          <w:sz w:val="24"/>
        </w:rPr>
        <w:t xml:space="preserve"> 4.456 municípios (2.228 de cada classe)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Teste:</w:t>
      </w:r>
      <w:r>
        <w:rPr>
          <w:rFonts w:ascii="Times New Roman" w:hAnsi="Times New Roman"/>
          <w:sz w:val="24"/>
        </w:rPr>
        <w:t xml:space="preserve"> 1.114 municípios (557 de cada classe)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Semente aleatória:</w:t>
      </w:r>
      <w:r>
        <w:rPr>
          <w:rFonts w:ascii="Times New Roman" w:hAnsi="Times New Roman"/>
          <w:sz w:val="24"/>
        </w:rPr>
        <w:t xml:space="preserve"> 42 (reprodutibilidade)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proporção 80/20 é adequada ao tamanho do dataset: o conjunto de teste possui 1.114 amostras, suficiente para estimativas estáveis das métricas de generalização. O conjunto de teste permaneceu </w:t>
      </w:r>
      <w:r>
        <w:rPr>
          <w:rFonts w:ascii="Times New Roman" w:hAnsi="Times New Roman"/>
          <w:b/>
          <w:sz w:val="24"/>
        </w:rPr>
        <w:t>completamente isolado</w:t>
      </w:r>
      <w:r>
        <w:rPr>
          <w:rFonts w:ascii="Times New Roman" w:hAnsi="Times New Roman"/>
          <w:sz w:val="24"/>
        </w:rPr>
        <w:t xml:space="preserve"> até a fase final de avaliação — nenhum hiperparâmetro foi selecionado com base em seu desempenho.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3.2 Normalização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Foi aplicada </w:t>
      </w:r>
      <w:r>
        <w:rPr>
          <w:rFonts w:ascii="Times New Roman" w:hAnsi="Times New Roman"/>
          <w:b/>
          <w:sz w:val="24"/>
        </w:rPr>
        <w:t>padronização Z-score</w:t>
      </w:r>
      <w:r>
        <w:rPr>
          <w:rFonts w:ascii="Times New Roman" w:hAnsi="Times New Roman"/>
          <w:sz w:val="24"/>
        </w:rPr>
        <w:t xml:space="preserve"> (StandardScaler) a todas as 15 features:</w:t>
      </w:r>
    </w:p>
    <w:p>
      <w:pPr>
        <w:spacing w:before="0" w:after="0" w:line="240" w:lineRule="auto"/>
        <w:ind w:firstLine="0" w:left="1701" w:right="1701"/>
        <w:jc w:val="both"/>
      </w:pPr>
      <w:r>
        <w:rPr>
          <w:rFonts w:ascii="Courier New" w:hAnsi="Courier New"/>
          <w:sz w:val="20"/>
        </w:rPr>
        <w:t>x' = (x - μ) / 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onde μ e σ são calculados </w:t>
      </w:r>
      <w:r>
        <w:rPr>
          <w:rFonts w:ascii="Times New Roman" w:hAnsi="Times New Roman"/>
          <w:b/>
          <w:sz w:val="24"/>
        </w:rPr>
        <w:t>exclusivamente sobre o conjunto de treino</w:t>
      </w:r>
      <w:r>
        <w:rPr>
          <w:rFonts w:ascii="Times New Roman" w:hAnsi="Times New Roman"/>
          <w:sz w:val="24"/>
        </w:rPr>
        <w:t xml:space="preserve"> e aplicados tanto ao treino quanto ao teste, evitando data leakage. Após a transformação, o treino apresentou média ≈ 0 e desvio padrão ≈ 1 em todas as colunas.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padronização é </w:t>
      </w:r>
      <w:r>
        <w:rPr>
          <w:rFonts w:ascii="Times New Roman" w:hAnsi="Times New Roman"/>
          <w:b/>
          <w:sz w:val="24"/>
        </w:rPr>
        <w:t>obrigatória</w:t>
      </w:r>
      <w:r>
        <w:rPr>
          <w:rFonts w:ascii="Times New Roman" w:hAnsi="Times New Roman"/>
          <w:sz w:val="24"/>
        </w:rPr>
        <w:t xml:space="preserve"> para SVM e Rede Neural, pois esses modelos são sensíveis à escala das features (o kernel RBF usa distâncias euclidianas; o gradiente descendente converge mais rapidamente com features na mesma escala). Para a Árvore de Decisão, a padronização é irrelevante (splits são invariantes a transformações monotônicas), mas foi aplicada uniformemente para manter o pipeline consistente.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4. REDE NEURAL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4.1 Justificativa da Arquitetura via Dimensão VC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arquitetura da rede foi dimensionada pela </w:t>
      </w:r>
      <w:r>
        <w:rPr>
          <w:rFonts w:ascii="Times New Roman" w:hAnsi="Times New Roman"/>
          <w:b/>
          <w:sz w:val="24"/>
        </w:rPr>
        <w:t>Regra de Ouro</w:t>
      </w:r>
      <w:r>
        <w:rPr>
          <w:rFonts w:ascii="Times New Roman" w:hAnsi="Times New Roman"/>
          <w:sz w:val="24"/>
        </w:rPr>
        <w:t>: para aprender de forma confiável, o número de amostras de treino N deve satisfazer N ≥ 10 · d_VC, onde d_VC é a dimensão de Vapnik–Chervonenkis do modelo.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Para uma rede MLP com camadas de tamanho [n₀, n₁, n₂, n₃], a dimensão VC é aproximada pelo número total de pesos ajustáveis (incluindo bias):</w:t>
      </w:r>
    </w:p>
    <w:p>
      <w:pPr>
        <w:spacing w:before="0" w:after="0" w:line="240" w:lineRule="auto"/>
        <w:ind w:firstLine="0" w:left="1701" w:right="1701"/>
        <w:jc w:val="both"/>
      </w:pPr>
      <w:r>
        <w:rPr>
          <w:rFonts w:ascii="Courier New" w:hAnsi="Courier New"/>
          <w:sz w:val="20"/>
        </w:rPr>
        <w:t>d_VC ≈ Σ (n_l + 1) × n_{l+1}    para l = 0, ..., L-1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arquitetura escolhida foi </w:t>
      </w:r>
      <w:r>
        <w:rPr>
          <w:rFonts w:ascii="Times New Roman" w:hAnsi="Times New Roman"/>
          <w:b/>
          <w:sz w:val="24"/>
        </w:rPr>
        <w:t>[15 → 16 → 8 → 1]</w:t>
      </w:r>
      <w:r>
        <w:rPr>
          <w:rFonts w:ascii="Times New Roman" w:hAnsi="Times New Roman"/>
          <w:sz w:val="24"/>
        </w:rPr>
        <w:t>:</w:t>
      </w:r>
    </w:p>
    <w:p>
      <w:pPr>
        <w:spacing w:before="0" w:after="0" w:line="240" w:lineRule="auto"/>
        <w:ind w:firstLine="0" w:left="1701" w:right="1701"/>
        <w:jc w:val="both"/>
      </w:pPr>
      <w:r>
        <w:rPr>
          <w:rFonts w:ascii="Courier New" w:hAnsi="Courier New"/>
          <w:sz w:val="20"/>
        </w:rPr>
        <w:t>d_VC = (15+1)×16 + (16+1)×8 + (8+1)×1 = 256 + 136 + 9 = 401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Com N = 4.456 amostras de treino:</w:t>
      </w:r>
    </w:p>
    <w:p>
      <w:pPr>
        <w:spacing w:before="0" w:after="0" w:line="240" w:lineRule="auto"/>
        <w:ind w:firstLine="0" w:left="1701" w:right="1701"/>
        <w:jc w:val="both"/>
      </w:pPr>
      <w:r>
        <w:rPr>
          <w:rFonts w:ascii="Courier New" w:hAnsi="Courier New"/>
          <w:sz w:val="20"/>
        </w:rPr>
        <w:t>N / d_VC = 4456 / 401 = 11,1 ≥ 10  ✓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Regra de Ouro é satisfeita. A existência de pelo menos uma camada oculta com ativação ReLU garante o </w:t>
      </w:r>
      <w:r>
        <w:rPr>
          <w:rFonts w:ascii="Times New Roman" w:hAnsi="Times New Roman"/>
          <w:b/>
          <w:sz w:val="24"/>
        </w:rPr>
        <w:t>Teorema da Aproximação Universal</w:t>
      </w:r>
      <w:r>
        <w:rPr>
          <w:rFonts w:ascii="Times New Roman" w:hAnsi="Times New Roman"/>
          <w:sz w:val="24"/>
        </w:rPr>
        <w:t xml:space="preserve"> — a rede tem capacidade teórica para aproximar qualquer função contínua com precisão arbitrária, dado treinamento adequado.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4.2 Regularização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Para controlar o overfitting, foram aplicadas três formas complementares de regularização: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Regularização L2</w:t>
      </w:r>
      <w:r>
        <w:rPr>
          <w:rFonts w:ascii="Times New Roman" w:hAnsi="Times New Roman"/>
          <w:sz w:val="24"/>
        </w:rPr>
        <w:t xml:space="preserve"> (λ = 0,0001): penaliza pesos grandes, incentivando soluções mais suaves.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Dropout</w:t>
      </w:r>
      <w:r>
        <w:rPr>
          <w:rFonts w:ascii="Times New Roman" w:hAnsi="Times New Roman"/>
          <w:sz w:val="24"/>
        </w:rPr>
        <w:t xml:space="preserve"> (taxa = 10%): desativa aleatoriamente 10% dos neurônios a cada batch durante o treino, reduzindo co-adaptações e funcionando como um ensemble implícito.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Early Stopping</w:t>
      </w:r>
      <w:r>
        <w:rPr>
          <w:rFonts w:ascii="Times New Roman" w:hAnsi="Times New Roman"/>
          <w:sz w:val="24"/>
        </w:rPr>
        <w:t xml:space="preserve"> (paciência = 25 épocas): monitora a loss de validação e restaura os pesos da melhor época, evitando o overfitting tardio.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4.3 Parâmetros de Treinamento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Parâmetro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Justificativa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Otimizador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Adam (lr = 0,001)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Adaptativo, convergência rápida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Função de loss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Binary cross-entropy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Padrão para classificação binária com saída sigmóide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Batch size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Equilíbrio entre estabilidade do gradiente e velocidade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Épocas máximas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Limite superior; early stopping interrompe antes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Melhor época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85 (parada na 110)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Determinada pelo menor val_loss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Split interno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80% treino efetivo / 20% validação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Validação interna para early stopping</w:t>
            </w:r>
          </w:p>
        </w:tc>
      </w:tr>
    </w:tbl>
    <w:p>
      <w:pPr>
        <w:spacing w:before="120" w:after="120"/>
      </w:pP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4.4 Resultados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E_in (erro de treino)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30,25%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E_out (erro de teste)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33,48%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Gap (E_out − E_in)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3,23%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Acurácia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66,52%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Precisão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65,59%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Recall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69,48%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F1-score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67,48%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gap de 3,23% está abaixo do limiar de 5% adotado como critério de overfitting, confirmando que a regularização foi eficaz. A curva de loss por época demonstra convergência estável com val_loss acompanhando a train_loss sem divergência expressiva.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5. ÁRVORE DE DECISÃO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5.1 Árvore Sem Poda — Demonstração de Overfitting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Uma árvore de decisão irrestrita foi treinada como experimento inicial. O resultado demonstra o overfitting de forma inequívoca: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Sem poda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E_in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0,00%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E_out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39,30%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Gap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39,30%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Folhas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821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Profundidade máxima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33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E_in = 0% indica memorização perfeita do treino. O gap de 39,3 pontos percentuais confirma que a árvore não generalizou — poda é necessária.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5.2 Poda via Minimal Cost-Complexity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método de </w:t>
      </w:r>
      <w:r>
        <w:rPr>
          <w:rFonts w:ascii="Times New Roman" w:hAnsi="Times New Roman"/>
          <w:b/>
          <w:sz w:val="24"/>
        </w:rPr>
        <w:t>Minimal Cost-Complexity Pruning</w:t>
      </w:r>
      <w:r>
        <w:rPr>
          <w:rFonts w:ascii="Times New Roman" w:hAnsi="Times New Roman"/>
          <w:sz w:val="24"/>
        </w:rPr>
        <w:t xml:space="preserve"> (MCCP) seleciona a subárvore que minimiza:</w:t>
      </w:r>
    </w:p>
    <w:p>
      <w:pPr>
        <w:spacing w:before="0" w:after="0" w:line="240" w:lineRule="auto"/>
        <w:ind w:firstLine="0" w:left="1701" w:right="1701"/>
        <w:jc w:val="both"/>
      </w:pPr>
      <w:r>
        <w:rPr>
          <w:rFonts w:ascii="Courier New" w:hAnsi="Courier New"/>
          <w:sz w:val="20"/>
        </w:rPr>
        <w:t>R_α(T) = R(T) + α × |T|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onde R(T) é o erro de classificação, |T| é o número de folhas e α ≥ 0 é o parâmetro de regularização.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Procedimento: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1. O caminho completo de valores candidatos de α foi calculado pelo scikit-learn (</w:t>
      </w:r>
      <w:r>
        <w:rPr>
          <w:rFonts w:ascii="Courier New" w:hAnsi="Courier New"/>
          <w:sz w:val="20"/>
        </w:rPr>
        <w:t>cost_complexity_pruning_path</w:t>
      </w:r>
      <w:r>
        <w:rPr>
          <w:rFonts w:ascii="Times New Roman" w:hAnsi="Times New Roman"/>
          <w:sz w:val="24"/>
        </w:rPr>
        <w:t xml:space="preserve">), gerando </w:t>
      </w:r>
      <w:r>
        <w:rPr>
          <w:rFonts w:ascii="Times New Roman" w:hAnsi="Times New Roman"/>
          <w:b/>
          <w:sz w:val="24"/>
        </w:rPr>
        <w:t>415 candidatos</w:t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2. Para cada α, o F1-score médio foi estimado por </w:t>
      </w:r>
      <w:r>
        <w:rPr>
          <w:rFonts w:ascii="Times New Roman" w:hAnsi="Times New Roman"/>
          <w:b/>
          <w:sz w:val="24"/>
        </w:rPr>
        <w:t>validação cruzada com 10 folds</w:t>
      </w:r>
      <w:r>
        <w:rPr>
          <w:rFonts w:ascii="Times New Roman" w:hAnsi="Times New Roman"/>
          <w:sz w:val="24"/>
        </w:rPr>
        <w:t xml:space="preserve"> sobre o conjunto de treino. O F1-score foi preferido à acurácia por ser mais informativo em classificação binária.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3. O α ótimo foi selecionado como aquele que maximiza o F1 médio em CV: </w:t>
      </w:r>
      <w:r>
        <w:rPr>
          <w:rFonts w:ascii="Times New Roman" w:hAnsi="Times New Roman"/>
          <w:b/>
          <w:sz w:val="24"/>
        </w:rPr>
        <w:t>α* = 0,002514</w:t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critério da </w:t>
      </w:r>
      <w:r>
        <w:rPr>
          <w:rFonts w:ascii="Times New Roman" w:hAnsi="Times New Roman"/>
          <w:b/>
          <w:sz w:val="24"/>
        </w:rPr>
        <w:t>Regra 1-SE</w:t>
      </w:r>
      <w:r>
        <w:rPr>
          <w:rFonts w:ascii="Times New Roman" w:hAnsi="Times New Roman"/>
          <w:sz w:val="24"/>
        </w:rPr>
        <w:t xml:space="preserve"> (modelo mais simples dentro de 1 desvio padrão do melhor score) foi avaliado por completude: resultou em α = 0,009144 com 4 folhas e F1 = 63,1% — desempenho inferior ao ótimo, justificando sua não adoção.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5.3 Resultado Final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Parâmetro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α ótimo (CV 10-fold)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0,002514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Profundidade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Número de folhas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</w:tr>
    </w:tbl>
    <w:p>
      <w:pPr>
        <w:spacing w:before="12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E_in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30,10%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E_out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34,20%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Gap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4,10%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Acurácia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65,80%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Precisão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65,29%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Recall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67,52%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F1-score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66,37%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feature com maior importância na árvore podada foi </w:t>
      </w:r>
      <w:r>
        <w:rPr>
          <w:rFonts w:ascii="Courier New" w:hAnsi="Courier New"/>
          <w:sz w:val="20"/>
        </w:rPr>
        <w:t>perc_jovens_15_29</w:t>
      </w:r>
      <w:r>
        <w:rPr>
          <w:rFonts w:ascii="Times New Roman" w:hAnsi="Times New Roman"/>
          <w:sz w:val="24"/>
        </w:rPr>
        <w:t xml:space="preserve">, seguida de </w:t>
      </w:r>
      <w:r>
        <w:rPr>
          <w:rFonts w:ascii="Courier New" w:hAnsi="Courier New"/>
          <w:sz w:val="20"/>
        </w:rPr>
        <w:t>idhm_longevidade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Courier New" w:hAnsi="Courier New"/>
          <w:sz w:val="20"/>
        </w:rPr>
        <w:t>renda_per_capita</w:t>
      </w:r>
      <w:r>
        <w:rPr>
          <w:rFonts w:ascii="Times New Roman" w:hAnsi="Times New Roman"/>
          <w:sz w:val="24"/>
        </w:rPr>
        <w:t xml:space="preserve"> — resultado consistente com a análise de correlação da fase exploratória.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6. SVM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6.1 Fundamentação Teórica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SVM com kernel RBF busca o hiperplano de margem máxima em um espaço implícito de alta dimensão, definido pelo kernel:</w:t>
      </w:r>
    </w:p>
    <w:p>
      <w:pPr>
        <w:spacing w:before="0" w:after="0" w:line="240" w:lineRule="auto"/>
        <w:ind w:firstLine="0" w:left="1701" w:right="1701"/>
        <w:jc w:val="both"/>
      </w:pPr>
      <w:r>
        <w:rPr>
          <w:rFonts w:ascii="Courier New" w:hAnsi="Courier New"/>
          <w:sz w:val="20"/>
        </w:rPr>
        <w:t>K(x, x') = exp(−γ ‖x − x'‖²)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parâmetro C controla o trade-off entre maximizar a margem e minimizar as violações (soft margin). O parâmetro γ controla a largura efetiva do kernel — valores altos tornam o modelo mais local (risco de overfitting), valores baixos o tornam mais global (risco de underfitting).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6.2 Seleção de Hiperparâmetros via GridSearchCV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grade de busca cobriu 5 × 5 = </w:t>
      </w:r>
      <w:r>
        <w:rPr>
          <w:rFonts w:ascii="Times New Roman" w:hAnsi="Times New Roman"/>
          <w:b/>
          <w:sz w:val="24"/>
        </w:rPr>
        <w:t>25 combinações</w:t>
      </w:r>
      <w:r>
        <w:rPr>
          <w:rFonts w:ascii="Times New Roman" w:hAnsi="Times New Roman"/>
          <w:sz w:val="24"/>
        </w:rPr>
        <w:t xml:space="preserve"> de C e γ, avaliadas por </w:t>
      </w:r>
      <w:r>
        <w:rPr>
          <w:rFonts w:ascii="Times New Roman" w:hAnsi="Times New Roman"/>
          <w:b/>
          <w:sz w:val="24"/>
        </w:rPr>
        <w:t>validação cruzada com 10 folds</w:t>
      </w:r>
      <w:r>
        <w:rPr>
          <w:rFonts w:ascii="Times New Roman" w:hAnsi="Times New Roman"/>
          <w:sz w:val="24"/>
        </w:rPr>
        <w:t xml:space="preserve"> sobre o treino (scoring = F1):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Parâmetro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Valores testados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{0,01; 0,1; 1; 10; 100}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γ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{0,001; 0,01; 0,1; 1; scale}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melhor par encontrado foi </w:t>
      </w:r>
      <w:r>
        <w:rPr>
          <w:rFonts w:ascii="Times New Roman" w:hAnsi="Times New Roman"/>
          <w:b/>
          <w:sz w:val="24"/>
        </w:rPr>
        <w:t>C = 100, γ = 0,001</w:t>
      </w:r>
      <w:r>
        <w:rPr>
          <w:rFonts w:ascii="Times New Roman" w:hAnsi="Times New Roman"/>
          <w:sz w:val="24"/>
        </w:rPr>
        <w:t>, com F1-CV = 70,20%.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6.3 Análise de Generalização via Vetores de Suporte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SVM oferece uma estimativa teórica do erro de generalização baseada nos vetores de suporte:</w:t>
      </w:r>
    </w:p>
    <w:p>
      <w:pPr>
        <w:spacing w:before="0" w:after="0" w:line="240" w:lineRule="auto"/>
        <w:ind w:firstLine="0" w:left="1701" w:right="1701"/>
        <w:jc w:val="both"/>
      </w:pPr>
      <w:r>
        <w:rPr>
          <w:rFonts w:ascii="Courier New" w:hAnsi="Courier New"/>
          <w:sz w:val="20"/>
        </w:rPr>
        <w:t>E_out esperado ≤ N_SV / N_treino = 3233 / 4456 = 72,55%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 erro empírico observado foi E_out = 33,39%, satisfazendo o limite teórico (33,39% ≤ 72,55% ✓). O alto número de vetores de suporte (72,6% das amostras de treino) reflete a dificuldade intrínseca do problema — as classes não são linearmente separáveis no espaço de features — e não indica overfitting, como confirmado pelo pequeno gap de 2,1%.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6.4 Resultados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E_in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31,30%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E_out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33,39%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Gap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2,09%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Acurácia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66,61%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Precisão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65,06%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Recall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71,52%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F1-score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68,15%</w:t>
            </w:r>
          </w:p>
        </w:tc>
      </w:tr>
    </w:tbl>
    <w:p>
      <w:pPr>
        <w:spacing w:before="120" w:after="120"/>
      </w:pP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7. COMPARAÇÃO E ESCOLHA DO MELHOR MODELO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7.1 Tabela Comparativa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Modelo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Acurácia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Precisão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Recall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F1-score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E_in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E_out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Gap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SVM (RBF)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66,6%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65,1%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71,5%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68,2%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31,3%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33,4%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2,1%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Rede Neural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66,5%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65,6%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69,5%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67,5%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30,3%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33,5%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3,2%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Árvore de Decisão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65,8%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65,3%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67,5%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66,4%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30,1%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34,2%</w:t>
            </w:r>
          </w:p>
        </w:tc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4,1%</w:t>
            </w:r>
          </w:p>
        </w:tc>
      </w:tr>
    </w:tbl>
    <w:p>
      <w:pPr>
        <w:spacing w:before="120" w:after="120"/>
      </w:pP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7.2 Estratégia de Validação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escolha do melhor modelo foi feita com base no </w:t>
      </w:r>
      <w:r>
        <w:rPr>
          <w:rFonts w:ascii="Times New Roman" w:hAnsi="Times New Roman"/>
          <w:b/>
          <w:sz w:val="24"/>
        </w:rPr>
        <w:t>desempenho no conjunto de teste</w:t>
      </w:r>
      <w:r>
        <w:rPr>
          <w:rFonts w:ascii="Times New Roman" w:hAnsi="Times New Roman"/>
          <w:sz w:val="24"/>
        </w:rPr>
        <w:t xml:space="preserve"> (N = 1.114 municípios), mantido isolado durante todo o desenvolvimento. Todos os hiperparâmetros foram selecionados exclusivamente por validação cruzada sobre o treino. A métrica principal de comparação foi o </w:t>
      </w:r>
      <w:r>
        <w:rPr>
          <w:rFonts w:ascii="Times New Roman" w:hAnsi="Times New Roman"/>
          <w:b/>
          <w:sz w:val="24"/>
        </w:rPr>
        <w:t>F1-score</w:t>
      </w:r>
      <w:r>
        <w:rPr>
          <w:rFonts w:ascii="Times New Roman" w:hAnsi="Times New Roman"/>
          <w:sz w:val="24"/>
        </w:rPr>
        <w:t>, complementada pela análise das curvas ROC e pelo gap E_out − E_in.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7.3 Modelo Vencedor: SVM com Kernel RBF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b/>
          <w:sz w:val="24"/>
        </w:rPr>
        <w:t>SVM</w:t>
      </w:r>
      <w:r>
        <w:rPr>
          <w:rFonts w:ascii="Times New Roman" w:hAnsi="Times New Roman"/>
          <w:sz w:val="24"/>
        </w:rPr>
        <w:t xml:space="preserve"> foi selecionado como o melhor modelo pelos seguintes critérios: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Maior F1-score</w:t>
      </w:r>
      <w:r>
        <w:rPr>
          <w:rFonts w:ascii="Times New Roman" w:hAnsi="Times New Roman"/>
          <w:sz w:val="24"/>
        </w:rPr>
        <w:t xml:space="preserve"> (68,2%): margem consistente sobre os demais em todas as rodadas de validação.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Maior Recall</w:t>
      </w:r>
      <w:r>
        <w:rPr>
          <w:rFonts w:ascii="Times New Roman" w:hAnsi="Times New Roman"/>
          <w:sz w:val="24"/>
        </w:rPr>
        <w:t xml:space="preserve"> (71,5%): em aplicações de políticas públicas, identificar corretamente municípios de alta violência é mais importante do que evitar alarmes falsos.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Menor gap E_out − E_in</w:t>
      </w:r>
      <w:r>
        <w:rPr>
          <w:rFonts w:ascii="Times New Roman" w:hAnsi="Times New Roman"/>
          <w:sz w:val="24"/>
        </w:rPr>
        <w:t xml:space="preserve"> (2,1%): a margem máxima do SVM impõe regularização implícita, resultando na melhor generalização entre os três modelos.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Maior AUC-ROC</w:t>
      </w:r>
      <w:r>
        <w:rPr>
          <w:rFonts w:ascii="Times New Roman" w:hAnsi="Times New Roman"/>
          <w:sz w:val="24"/>
        </w:rPr>
        <w:t>: o SVM domina os demais ao longo de todos os limiares de decisão possíveis.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Limite teórico satisfeito</w:t>
      </w:r>
      <w:r>
        <w:rPr>
          <w:rFonts w:ascii="Times New Roman" w:hAnsi="Times New Roman"/>
          <w:sz w:val="24"/>
        </w:rPr>
        <w:t>: E_out empírico (33,4%) &lt; E_out esperado (72,6%), validando a consistência do modelo com a teoria SVM.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8. DIAGNÓSTICO: O QUE LIMITA OS MODELOS?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Uma investigação sistemática das causas do desempenho atual revelou três achados relevantes.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8.1 Decomposição dos Erros por Dificuldade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Os municípios do conjunto de teste foram divididos em dois grupos conforme sua taxa real de homicídios: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Grupo Fácil</w:t>
      </w:r>
      <w:r>
        <w:rPr>
          <w:rFonts w:ascii="Times New Roman" w:hAnsi="Times New Roman"/>
          <w:sz w:val="24"/>
        </w:rPr>
        <w:t xml:space="preserve"> (taxa &lt; 8 ou &gt; 16): municípios claramente acima ou abaixo do limiar (N = 940)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Grupo Difícil</w:t>
      </w:r>
      <w:r>
        <w:rPr>
          <w:rFonts w:ascii="Times New Roman" w:hAnsi="Times New Roman"/>
          <w:sz w:val="24"/>
        </w:rPr>
        <w:t xml:space="preserve"> (taxa 8–16): municípios próximos ao limiar de 12,03 (N = 174)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Grupo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Acurácia (SVM)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F1 (SVM)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Fácil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940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69,7%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71,3%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Difícil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174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50,0%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50,3%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grupo difícil apresenta acurácia equivalente ao acaso (50%), esperado para municípios ambíguos. Mais revelador é que </w:t>
      </w:r>
      <w:r>
        <w:rPr>
          <w:rFonts w:ascii="Times New Roman" w:hAnsi="Times New Roman"/>
          <w:b/>
          <w:sz w:val="24"/>
        </w:rPr>
        <w:t>76,6% dos 372 erros totais do SVM ocorrem no grupo fácil</w:t>
      </w:r>
      <w:r>
        <w:rPr>
          <w:rFonts w:ascii="Times New Roman" w:hAnsi="Times New Roman"/>
          <w:sz w:val="24"/>
        </w:rPr>
        <w:t xml:space="preserve"> — indicando que o problema principal não é a ambiguidade do limiar, mas sim a limitação das features para prever violência em municípios aparentemente simples de classificar. Essa é evidência direta do impacto da defasagem temporal.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8.2 Heterogeneidade Regional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A análise do desempenho do SVM por macrorregião revelou um padrão crítico: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Macrorregião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% Alta Violência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Acurácia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F1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Norte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72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65,3%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69,4%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81,0%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Nordeste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345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68,7%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69,0%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81,3%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Centro-Oeste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104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57,7%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62,5%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69,8%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Sudeste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366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33,3%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67,5%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43,6%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Sul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227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40,1%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62,6%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38,8%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Norte e Nordeste, regiões com alta prevalência de violência associada a indicadores socioeconômicos mais desfavoráveis, apresentam F1 &gt; 0,80. Sul e Sudeste, apesar de melhores indicadores, têm F1 &lt; 0,45 — o modelo falha sistematicamente nessas regiões. A causa provável é que nessas regiões a violência segue padrões distintos (crime organizado, rotas do tráfico) não capturados por indicadores socioeconômicos clássicos.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8.3 Otimização de Limiar para Políticas Públicas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Para a rede neural, o limiar padrão de 0,5 pode ser ajustado conforme o contexto de aplicação. Em políticas de prevenção, falsos negativos são mais custosos do que falsos positivos: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Limiar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F1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Acurácia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0"/>
              </w:rPr>
              <w:t>Recall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0,35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0,700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63,1%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86,2%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0,40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0,697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64,7%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81,0%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0,50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0,675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66,5%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69,5%</w:t>
            </w:r>
          </w:p>
        </w:tc>
      </w:tr>
    </w:tbl>
    <w:p>
      <w:pPr>
        <w:spacing w:before="120"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Com limiar = 0,35, a rede neural identifica corretamente 86 em cada 100 municípios de alta violência, ao custo de mais falsos alarmes. Essa configuração é preferível quando o custo de não intervir supera o custo de intervenção desnecessária.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9. CONCLUSÃO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9.1 Resposta à Pergunta de Pesquisa</w:t>
      </w:r>
    </w:p>
    <w:p>
      <w:pPr>
        <w:spacing w:line="240" w:lineRule="auto" w:before="120" w:after="120"/>
        <w:ind w:left="2268" w:right="0" w:firstLine="0"/>
        <w:jc w:val="both"/>
      </w:pPr>
      <w:r>
        <w:rPr>
          <w:rFonts w:ascii="Times New Roman" w:hAnsi="Times New Roman"/>
          <w:b/>
          <w:sz w:val="20"/>
        </w:rPr>
        <w:t>Sim, é possível prever o nível de violência de um município brasileiro usando apenas indicadores socioeconômicos, com desempenho moderado e consistentemente acima do acaso.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 melhor modelo (SVM com kernel RBF, C = 100, γ = 0,001) classifica corretamente </w:t>
      </w:r>
      <w:r>
        <w:rPr>
          <w:rFonts w:ascii="Times New Roman" w:hAnsi="Times New Roman"/>
          <w:b/>
          <w:sz w:val="24"/>
        </w:rPr>
        <w:t>66,6% dos municípios</w:t>
      </w:r>
      <w:r>
        <w:rPr>
          <w:rFonts w:ascii="Times New Roman" w:hAnsi="Times New Roman"/>
          <w:sz w:val="24"/>
        </w:rPr>
        <w:t xml:space="preserve"> — 16,6 pontos percentuais acima de um classificador aleatório (50%). A AUC-ROC superior a 0,72 confirma poder discriminativo real em todos os limiares de decisão.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9.2 O Que os Modelos Aprenderam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As variáveis com maior poder preditivo são: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`perc_jovens_15_29`</w:t>
      </w:r>
      <w:r>
        <w:rPr>
          <w:rFonts w:ascii="Times New Roman" w:hAnsi="Times New Roman"/>
          <w:sz w:val="24"/>
        </w:rPr>
        <w:t>: maior correlação com o alvo (ρ = 0,285), feature mais importante na árvore podada — concentração de jovens é o principal marcador de risco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`idhm_longevidade`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b/>
          <w:sz w:val="24"/>
        </w:rPr>
        <w:t>`renda_per_capita`</w:t>
      </w:r>
      <w:r>
        <w:rPr>
          <w:rFonts w:ascii="Times New Roman" w:hAnsi="Times New Roman"/>
          <w:sz w:val="24"/>
        </w:rPr>
        <w:t>: indicadores de desenvolvimento humano e renda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`taxa_analfabetismo_15`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b/>
          <w:sz w:val="24"/>
        </w:rPr>
        <w:t>`idhm_educacao`</w:t>
      </w:r>
      <w:r>
        <w:rPr>
          <w:rFonts w:ascii="Times New Roman" w:hAnsi="Times New Roman"/>
          <w:sz w:val="24"/>
        </w:rPr>
        <w:t>: educação como fator protetor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Em contraste, </w:t>
      </w:r>
      <w:r>
        <w:rPr>
          <w:rFonts w:ascii="Courier New" w:hAnsi="Courier New"/>
          <w:sz w:val="20"/>
        </w:rPr>
        <w:t>densidade_demografica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Courier New" w:hAnsi="Courier New"/>
          <w:sz w:val="20"/>
        </w:rPr>
        <w:t>pib_per_capita</w:t>
      </w:r>
      <w:r>
        <w:rPr>
          <w:rFonts w:ascii="Times New Roman" w:hAnsi="Times New Roman"/>
          <w:sz w:val="24"/>
        </w:rPr>
        <w:t xml:space="preserve"> apresentaram correlação próxima de zero — o tamanho absoluto da economia importa menos do que sua distribuição interna.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9.3 Limitações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Defasagem temporal:</w:t>
      </w:r>
      <w:r>
        <w:rPr>
          <w:rFonts w:ascii="Times New Roman" w:hAnsi="Times New Roman"/>
          <w:sz w:val="24"/>
        </w:rPr>
        <w:t xml:space="preserve"> as features do Atlas Brasil são de </w:t>
      </w:r>
      <w:r>
        <w:rPr>
          <w:rFonts w:ascii="Times New Roman" w:hAnsi="Times New Roman"/>
          <w:b/>
          <w:sz w:val="24"/>
        </w:rPr>
        <w:t>2010</w:t>
      </w:r>
      <w:r>
        <w:rPr>
          <w:rFonts w:ascii="Times New Roman" w:hAnsi="Times New Roman"/>
          <w:sz w:val="24"/>
        </w:rPr>
        <w:t xml:space="preserve">, prevendo violência de </w:t>
      </w:r>
      <w:r>
        <w:rPr>
          <w:rFonts w:ascii="Times New Roman" w:hAnsi="Times New Roman"/>
          <w:b/>
          <w:sz w:val="24"/>
        </w:rPr>
        <w:t>2022</w:t>
      </w:r>
      <w:r>
        <w:rPr>
          <w:rFonts w:ascii="Times New Roman" w:hAnsi="Times New Roman"/>
          <w:sz w:val="24"/>
        </w:rPr>
        <w:t xml:space="preserve"> — gap de 12 anos que limita o poder preditivo, especialmente no Sul e Sudeste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Subnotificação:</w:t>
      </w:r>
      <w:r>
        <w:rPr>
          <w:rFonts w:ascii="Times New Roman" w:hAnsi="Times New Roman"/>
          <w:sz w:val="24"/>
        </w:rPr>
        <w:t xml:space="preserve"> os dados do Sinesp são conhecidos por subregistro em municípios pequenos e em estados com menor capacidade institucional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26 municípios imputados:</w:t>
      </w:r>
      <w:r>
        <w:rPr>
          <w:rFonts w:ascii="Times New Roman" w:hAnsi="Times New Roman"/>
          <w:sz w:val="24"/>
        </w:rPr>
        <w:t xml:space="preserve"> nomes divergentes no Atlas Brasil levaram à imputação pela mediana regional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Classificação binária na mediana:</w:t>
      </w:r>
      <w:r>
        <w:rPr>
          <w:rFonts w:ascii="Times New Roman" w:hAnsi="Times New Roman"/>
          <w:sz w:val="24"/>
        </w:rPr>
        <w:t xml:space="preserve"> municípios próximos ao limiar são inerentemente ambíguos — um modelo de regressão poderia capturar mais nuance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Features ausentes:</w:t>
      </w:r>
      <w:r>
        <w:rPr>
          <w:rFonts w:ascii="Times New Roman" w:hAnsi="Times New Roman"/>
          <w:sz w:val="24"/>
        </w:rPr>
        <w:t xml:space="preserve"> presença de organizações criminosas, nível de investimento em segurança pública e histórico de conflitos fundiários não estão disponíveis em dados abertos com cobertura municipal completa</w:t>
      </w:r>
    </w:p>
    <w:p>
      <w:pPr>
        <w:spacing w:before="240" w:after="120" w:line="240" w:lineRule="auto"/>
        <w:jc w:val="left"/>
      </w:pPr>
      <w:r>
        <w:rPr>
          <w:rFonts w:ascii="Times New Roman" w:hAnsi="Times New Roman"/>
          <w:b/>
          <w:sz w:val="24"/>
        </w:rPr>
        <w:t>9.4 Implicações para Políticas Públicas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Os resultados confirmam empiricamente que </w:t>
      </w:r>
      <w:r>
        <w:rPr>
          <w:rFonts w:ascii="Times New Roman" w:hAnsi="Times New Roman"/>
          <w:b/>
          <w:sz w:val="24"/>
        </w:rPr>
        <w:t>investimentos em educação, redução da desigualdade de renda e programas voltados à juventude de 15 a 29 anos</w:t>
      </w:r>
      <w:r>
        <w:rPr>
          <w:rFonts w:ascii="Times New Roman" w:hAnsi="Times New Roman"/>
          <w:sz w:val="24"/>
        </w:rPr>
        <w:t xml:space="preserve"> têm o maior potencial de impacto sobre a violência estrutural a longo prazo — em linha com a literatura criminológica sobre os determinantes socioeconômicos da violência no Brasil.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>A heterogeneidade regional — com desempenho superior no Norte/Nordeste e inferior no Sul/Sudeste — sugere que políticas nacionais uniformes têm eficácia limitada. Intervenções regionalmente diferenciadas, que considerem as especificidades dos padrões locais de violência, tendem a ser mais eficazes.</w:t>
      </w:r>
    </w:p>
    <w:p>
      <w:pPr>
        <w:spacing w:before="360" w:after="120" w:line="240" w:lineRule="auto"/>
        <w:jc w:val="left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BEATO FILHO, C. C. Determinantes da criminalidade em Minas Gerais. </w:t>
      </w:r>
      <w:r>
        <w:rPr>
          <w:rFonts w:ascii="Times New Roman" w:hAnsi="Times New Roman"/>
          <w:b/>
          <w:sz w:val="24"/>
        </w:rPr>
        <w:t>Revista Brasileira de Ciências Sociais</w:t>
      </w:r>
      <w:r>
        <w:rPr>
          <w:rFonts w:ascii="Times New Roman" w:hAnsi="Times New Roman"/>
          <w:sz w:val="24"/>
        </w:rPr>
        <w:t>, São Paulo, v. 13, n. 37, p. 74–87, jun. 1998.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CERQUEIRA, D.; LOBÃO, W. Determinantes da criminalidade: arcabouços teóricos e resultados empíricos. </w:t>
      </w:r>
      <w:r>
        <w:rPr>
          <w:rFonts w:ascii="Times New Roman" w:hAnsi="Times New Roman"/>
          <w:b/>
          <w:sz w:val="24"/>
        </w:rPr>
        <w:t>Dados — Revista de Ciências Sociais</w:t>
      </w:r>
      <w:r>
        <w:rPr>
          <w:rFonts w:ascii="Times New Roman" w:hAnsi="Times New Roman"/>
          <w:sz w:val="24"/>
        </w:rPr>
        <w:t>, Rio de Janeiro, v. 47, n. 2, p. 233–269, 2004.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DEININGER, K.; SQUIRE, L. A new data set measuring income inequality. </w:t>
      </w:r>
      <w:r>
        <w:rPr>
          <w:rFonts w:ascii="Times New Roman" w:hAnsi="Times New Roman"/>
          <w:b/>
          <w:sz w:val="24"/>
        </w:rPr>
        <w:t>The World Bank Economic Review</w:t>
      </w:r>
      <w:r>
        <w:rPr>
          <w:rFonts w:ascii="Times New Roman" w:hAnsi="Times New Roman"/>
          <w:sz w:val="24"/>
        </w:rPr>
        <w:t>, Washington, v. 10, n. 3, p. 565–591, 1996.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FÓRUM BRASILEIRO DE SEGURANÇA PÚBLICA. </w:t>
      </w:r>
      <w:r>
        <w:rPr>
          <w:rFonts w:ascii="Times New Roman" w:hAnsi="Times New Roman"/>
          <w:b/>
          <w:sz w:val="24"/>
        </w:rPr>
        <w:t>Anuário Brasileiro de Segurança Pública 2023</w:t>
      </w:r>
      <w:r>
        <w:rPr>
          <w:rFonts w:ascii="Times New Roman" w:hAnsi="Times New Roman"/>
          <w:sz w:val="24"/>
        </w:rPr>
        <w:t>. São Paulo: FBSP, 2023.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IBGE — INSTITUTO BRASILEIRO DE GEOGRAFIA E ESTATÍSTICA. </w:t>
      </w:r>
      <w:r>
        <w:rPr>
          <w:rFonts w:ascii="Times New Roman" w:hAnsi="Times New Roman"/>
          <w:b/>
          <w:sz w:val="24"/>
        </w:rPr>
        <w:t>Censo Demográfico 2022 — Amostra Trabalho e Rendimento</w:t>
      </w:r>
      <w:r>
        <w:rPr>
          <w:rFonts w:ascii="Times New Roman" w:hAnsi="Times New Roman"/>
          <w:sz w:val="24"/>
        </w:rPr>
        <w:t>. Rio de Janeiro: IBGE, 2025. Disponível em: https://sidra.ibge.gov.br. Acesso em: mar. 2026.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MELLO, J. M. P. de; SCHNEIDER, A. Mudança demográfica e a dinâmica dos homicídios no estado de São Paulo. </w:t>
      </w:r>
      <w:r>
        <w:rPr>
          <w:rFonts w:ascii="Times New Roman" w:hAnsi="Times New Roman"/>
          <w:b/>
          <w:sz w:val="24"/>
        </w:rPr>
        <w:t>São Paulo em Perspectiva</w:t>
      </w:r>
      <w:r>
        <w:rPr>
          <w:rFonts w:ascii="Times New Roman" w:hAnsi="Times New Roman"/>
          <w:sz w:val="24"/>
        </w:rPr>
        <w:t>, São Paulo, v. 21, n. 1, p. 19–30, 2010.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PEDREGOSA, F. et al. Scikit-learn: machine learning in Python. </w:t>
      </w:r>
      <w:r>
        <w:rPr>
          <w:rFonts w:ascii="Times New Roman" w:hAnsi="Times New Roman"/>
          <w:b/>
          <w:sz w:val="24"/>
        </w:rPr>
        <w:t>Journal of Machine Learning Research</w:t>
      </w:r>
      <w:r>
        <w:rPr>
          <w:rFonts w:ascii="Times New Roman" w:hAnsi="Times New Roman"/>
          <w:sz w:val="24"/>
        </w:rPr>
        <w:t>, v. 12, p. 2825–2830, 2011.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PNUD; IPEA; FJP. </w:t>
      </w:r>
      <w:r>
        <w:rPr>
          <w:rFonts w:ascii="Times New Roman" w:hAnsi="Times New Roman"/>
          <w:b/>
          <w:sz w:val="24"/>
        </w:rPr>
        <w:t>Atlas do Desenvolvimento Humano no Brasil 2013</w:t>
      </w:r>
      <w:r>
        <w:rPr>
          <w:rFonts w:ascii="Times New Roman" w:hAnsi="Times New Roman"/>
          <w:sz w:val="24"/>
        </w:rPr>
        <w:t>. Brasília: PNUD, 2013. Disponível em: http://www.atlasbrasil.org.br. Acesso em: mar. 2026.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SECRETARIA NACIONAL DE SEGURANÇA PÚBLICA (SENASP/MJ). </w:t>
      </w:r>
      <w:r>
        <w:rPr>
          <w:rFonts w:ascii="Times New Roman" w:hAnsi="Times New Roman"/>
          <w:b/>
          <w:sz w:val="24"/>
        </w:rPr>
        <w:t>Sinesp — Sistema Nacional de Informações de Segurança Pública</w:t>
      </w:r>
      <w:r>
        <w:rPr>
          <w:rFonts w:ascii="Times New Roman" w:hAnsi="Times New Roman"/>
          <w:sz w:val="24"/>
        </w:rPr>
        <w:t>. Brasília: Ministério da Justiça e Segurança Pública, 2023. Disponível em: https://www.gov.br/mj. Acesso em: mar. 2026.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VAPNIK, V. N. </w:t>
      </w:r>
      <w:r>
        <w:rPr>
          <w:rFonts w:ascii="Times New Roman" w:hAnsi="Times New Roman"/>
          <w:b/>
          <w:sz w:val="24"/>
        </w:rPr>
        <w:t>The Nature of Statistical Learning Theory</w:t>
      </w:r>
      <w:r>
        <w:rPr>
          <w:rFonts w:ascii="Times New Roman" w:hAnsi="Times New Roman"/>
          <w:sz w:val="24"/>
        </w:rPr>
        <w:t>. 2. ed. New York: Springer, 1999.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