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Explicação Geral</w:t>
      </w:r>
    </w:p>
    <w:p>
      <w:pPr>
        <w:spacing w:before="0" w:after="160" w:line="259"/>
        <w:ind w:right="0" w:left="0" w:firstLine="0"/>
        <w:jc w:val="left"/>
        <w:rPr>
          <w:rFonts w:ascii="PT Sans" w:hAnsi="PT Sans" w:cs="PT Sans" w:eastAsia="PT Sans"/>
          <w:color w:val="444444"/>
          <w:spacing w:val="0"/>
          <w:position w:val="0"/>
          <w:sz w:val="22"/>
          <w:shd w:fill="FFFFFF" w:val="clear"/>
        </w:rPr>
      </w:pPr>
      <w:r>
        <w:rPr>
          <w:rFonts w:ascii="PT Sans" w:hAnsi="PT Sans" w:cs="PT Sans" w:eastAsia="PT Sans"/>
          <w:color w:val="444444"/>
          <w:spacing w:val="0"/>
          <w:position w:val="0"/>
          <w:sz w:val="22"/>
          <w:shd w:fill="FFFFFF" w:val="clear"/>
        </w:rPr>
        <w:t xml:space="preserve">Os padrões criacionais fornecem vários mecanismos de criação de objetos, que aumentam a flexibilidade e reutilização de código já existente.</w:t>
      </w:r>
    </w:p>
    <w:p>
      <w:pPr>
        <w:spacing w:before="0" w:after="160" w:line="259"/>
        <w:ind w:right="0" w:left="0" w:firstLine="0"/>
        <w:jc w:val="left"/>
        <w:rPr>
          <w:rFonts w:ascii="PT Sans" w:hAnsi="PT Sans" w:cs="PT Sans" w:eastAsia="PT Sans"/>
          <w:color w:val="444444"/>
          <w:spacing w:val="0"/>
          <w:position w:val="0"/>
          <w:sz w:val="22"/>
          <w:shd w:fill="FFFFFF" w:val="clear"/>
        </w:rPr>
      </w:pPr>
      <w:r>
        <w:rPr>
          <w:rFonts w:ascii="PT Sans" w:hAnsi="PT Sans" w:cs="PT Sans" w:eastAsia="PT Sans"/>
          <w:color w:val="444444"/>
          <w:spacing w:val="0"/>
          <w:position w:val="0"/>
          <w:sz w:val="22"/>
          <w:shd w:fill="FFFFFF" w:val="clear"/>
        </w:rPr>
        <w:t xml:space="preserve">Usado para criar objetos sem expor a lógica de criação do objeto ao cliente</w:t>
      </w:r>
    </w:p>
    <w:p>
      <w:pPr>
        <w:spacing w:before="0" w:after="160" w:line="259"/>
        <w:ind w:right="0" w:left="0" w:firstLine="0"/>
        <w:jc w:val="left"/>
        <w:rPr>
          <w:rFonts w:ascii="PT Sans" w:hAnsi="PT Sans" w:cs="PT Sans" w:eastAsia="PT Sans"/>
          <w:color w:val="444444"/>
          <w:spacing w:val="0"/>
          <w:position w:val="0"/>
          <w:sz w:val="22"/>
          <w:shd w:fill="FFFFFF" w:val="clear"/>
        </w:rPr>
      </w:pPr>
      <w:r>
        <w:rPr>
          <w:rFonts w:ascii="PT Sans" w:hAnsi="PT Sans" w:cs="PT Sans" w:eastAsia="PT Sans"/>
          <w:color w:val="444444"/>
          <w:spacing w:val="0"/>
          <w:position w:val="0"/>
          <w:sz w:val="22"/>
          <w:shd w:fill="FFFFFF" w:val="clear"/>
        </w:rPr>
        <w:t xml:space="preserve">Está relacionado com a criação de objetos</w:t>
      </w:r>
    </w:p>
    <w:p>
      <w:pPr>
        <w:spacing w:before="0" w:after="160" w:line="259"/>
        <w:ind w:right="0" w:left="0" w:firstLine="0"/>
        <w:jc w:val="left"/>
        <w:rPr>
          <w:rFonts w:ascii="PT Sans" w:hAnsi="PT Sans" w:cs="PT Sans" w:eastAsia="PT Sans"/>
          <w:color w:val="444444"/>
          <w:spacing w:val="0"/>
          <w:position w:val="0"/>
          <w:sz w:val="22"/>
          <w:shd w:fill="FFFFFF" w:val="clear"/>
        </w:rPr>
      </w:pP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Factory Method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4432">
          <v:rect xmlns:o="urn:schemas-microsoft-com:office:office" xmlns:v="urn:schemas-microsoft-com:vml" id="rectole0000000000" style="width:408.150000pt;height:22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2025">
          <v:rect xmlns:o="urn:schemas-microsoft-com:office:office" xmlns:v="urn:schemas-microsoft-com:vml" id="rectole0000000001" style="width:415.500000pt;height:101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Simple Factory: Objeto usado para criar outros objetos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Usando o padrão factory criamos objetos sem expor a lógica de criação ao cliente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4346">
          <v:rect xmlns:o="urn:schemas-microsoft-com:office:office" xmlns:v="urn:schemas-microsoft-com:vml" id="rectole0000000002" style="width:408.150000pt;height:217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Abstract Factory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ábrica de fábrica de objetos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Provar uma interface de criação de famílias de objetos relacionados sem especificar sua classe concreta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Encapsular um grupo de fábricas individuais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3" w:dyaOrig="4316">
          <v:rect xmlns:o="urn:schemas-microsoft-com:office:office" xmlns:v="urn:schemas-microsoft-com:vml" id="rectole0000000003" style="width:408.150000pt;height:215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2429">
          <v:rect xmlns:o="urn:schemas-microsoft-com:office:office" xmlns:v="urn:schemas-microsoft-com:vml" id="rectole0000000004" style="width:415.500000pt;height:121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3">
    <w:abstractNumId w:val="12"/>
  </w:num>
  <w:num w:numId="7">
    <w:abstractNumId w:val="6"/>
  </w:num>
  <w:num w:numId="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