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sz w:val="40"/>
          <w:szCs w:val="40"/>
        </w:rPr>
      </w:pPr>
      <w:bookmarkStart w:colFirst="0" w:colLast="0" w:name="_cmh5lp6ilyix" w:id="0"/>
      <w:bookmarkEnd w:id="0"/>
      <w:r w:rsidDel="00000000" w:rsidR="00000000" w:rsidRPr="00000000">
        <w:rPr>
          <w:sz w:val="40"/>
          <w:szCs w:val="40"/>
          <w:rtl w:val="0"/>
        </w:rPr>
        <w:t xml:space="preserve">Elements Description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2490"/>
        <w:gridCol w:w="6135"/>
        <w:tblGridChange w:id="0">
          <w:tblGrid>
            <w:gridCol w:w="720"/>
            <w:gridCol w:w="2490"/>
            <w:gridCol w:w="61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9100" cy="514350"/>
                  <wp:effectExtent b="0" l="0" r="0" t="0"/>
                  <wp:docPr id="18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514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Ссылка на страницу добавления проекта (app.letsraise.io/apply)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9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0050" cy="466725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466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Открывается pop-up с 2мя нотифами для всех пользователей.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Содержание в нотифах: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1) Дать фидбек на платформу по ссылке “Submit Feedback” (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https://prnt.sc/3ak8pu8JSiuM</w:t>
              </w:r>
            </w:hyperlink>
            <w:r w:rsidDel="00000000" w:rsidR="00000000" w:rsidRPr="00000000">
              <w:rPr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2) Ссылка на репорт или описание какой-либо фичи по ссылке “Check it out” (переход на другую страницу)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71638" cy="301421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638" cy="3014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Кнопку нужно будет переименовать в “Request Access” - при нажатии переход по ссылке на typeform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138" cy="486887"/>
                  <wp:effectExtent b="0" l="0" r="0" t="0"/>
                  <wp:docPr id="1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138" cy="4868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Убираем (скрываем)*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71713" cy="457238"/>
                  <wp:effectExtent b="0" l="0" r="0" t="0"/>
                  <wp:docPr id="25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713" cy="4572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Убираем (скрываем)*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71713" cy="360075"/>
                  <wp:effectExtent b="0" l="0" r="0" t="0"/>
                  <wp:docPr id="26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713" cy="360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 нажатии открывается pop-up - </w:t>
            </w: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https://prnt.sc/FcXCS_bBN3af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05038" cy="1871872"/>
                  <wp:effectExtent b="0" l="0" r="0" t="0"/>
                  <wp:docPr id="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038" cy="18718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Данное меню в первой итерации в основном будет состоять из пунктом серым с тегом “Coming soon” (не кликабельно)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Структуру дадим позже.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52500" cy="444500"/>
                  <wp:effectExtent b="0" l="0" r="0" t="0"/>
                  <wp:docPr id="1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44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Открывается pop-up - </w:t>
            </w: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https://prnt.sc/3ak8pu8JSiuM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28650" cy="409575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409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Если успеем подготовить - то будет ссылка на FAQ.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Если нет - скрываем*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2925" cy="485775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48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Ссылка на typeform (</w:t>
            </w:r>
            <w:hyperlink r:id="rId1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https://www.typeform.com/</w:t>
              </w:r>
            </w:hyperlink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Ссылка будет на форму.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7675" cy="457200"/>
                  <wp:effectExtent b="0" l="0" r="0" t="0"/>
                  <wp:docPr id="2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Убираем*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52500" cy="419100"/>
                  <wp:effectExtent b="0" l="0" r="0" t="0"/>
                  <wp:docPr id="1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Открывается под-меню - </w:t>
            </w:r>
            <w:hyperlink r:id="rId2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https://prnt.sc/wUM_cjLvu9jh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Вопрос с точки зрения соц. сеток, куда мы можем шарить, нужно обсудить с вами, и понять трудозатраты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138" cy="1302843"/>
                  <wp:effectExtent b="0" l="0" r="0" t="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138" cy="13028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Так будет выглядеть скор почти на всех карточках проектов (которые мы не проскорили).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 кнопке “Request Audit” - </w:t>
            </w:r>
            <w:hyperlink r:id="rId2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https://prnt.sc/FcXCS_bBN3af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 ссылке What’s inside - ссылка на статью, описывающую методологию (внешний ресурс)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81238" cy="1118802"/>
                  <wp:effectExtent b="0" l="0" r="0" t="0"/>
                  <wp:docPr id="1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238" cy="11188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Блок “Similar Companies”.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 нажатии на “Show More” - открывается pop-up </w:t>
            </w:r>
            <w:hyperlink r:id="rId2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https://prnt.sc/j7T-nnPN6NCG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 самом pop-up Call-To-Action возможно поменяется (название). При клике - переход на typeform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20223" cy="795325"/>
                  <wp:effectExtent b="0" l="0" r="0" t="0"/>
                  <wp:docPr id="15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223" cy="795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Алгоритм распределение цветов согласно первым буквам в названии компании.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48738" cy="2214563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738" cy="22145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62188" cy="721959"/>
                  <wp:effectExtent b="0" l="0" r="0" t="0"/>
                  <wp:docPr id="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188" cy="7219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Нажатие на (?) в блоке с оценкой.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 нажатии “Why it matters?” - ссылка на статью, описывающую методологию (внешний ресурс)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3375" cy="504825"/>
                  <wp:effectExtent b="0" l="0" r="0" t="0"/>
                  <wp:docPr id="23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0"/>
                          <a:srcRect b="0" l="7508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375" cy="504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 нажатии, открывается pop-up - </w:t>
            </w:r>
            <w:hyperlink r:id="rId3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https://prnt.sc/WtO2wZhv1IHb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Сам контент на pop-up будет адаптирован, как и Call-To-Action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 нажатии на CTA на pop-up - переход на typeform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04850" cy="466725"/>
                  <wp:effectExtent b="0" l="0" r="0" t="0"/>
                  <wp:docPr id="2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466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Переключение из светлой темы в темную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47800" cy="2019300"/>
                  <wp:effectExtent b="0" l="0" r="0" t="0"/>
                  <wp:docPr id="24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201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 нажатии на CTA - переход на typeform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47800" cy="1130300"/>
                  <wp:effectExtent b="0" l="0" r="0" t="0"/>
                  <wp:docPr id="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Убираем*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Данный функционал будет в следующих итерациях (будем ставить такие отметки при верификации людей, после созвона)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47800" cy="1003300"/>
                  <wp:effectExtent b="0" l="0" r="0" t="0"/>
                  <wp:docPr id="21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00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Pop-up при старте набора названия компании в строке поиска.</w:t>
              <w:br w:type="textWrapping"/>
              <w:br w:type="textWrapping"/>
              <w:t xml:space="preserve">Убираем* результат рейтинга в 1й итерации.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Roboto" w:cs="Roboto" w:eastAsia="Roboto" w:hAnsi="Roboto"/>
                <w:color w:val="1f1f1f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highlight w:val="white"/>
                <w:rtl w:val="0"/>
              </w:rPr>
              <w:t xml:space="preserve">Поиск по названию компании.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Roboto" w:cs="Roboto" w:eastAsia="Roboto" w:hAnsi="Roboto"/>
                <w:color w:val="1f1f1f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highlight w:val="white"/>
                <w:rtl w:val="0"/>
              </w:rPr>
              <w:t xml:space="preserve">При старте набора пользователем алгоритм должен "налету" в виде pop-up (</w:t>
            </w:r>
            <w:hyperlink r:id="rId3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https://prnt.sc/fofyYWUUZU8X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highlight w:val="white"/>
                <w:rtl w:val="0"/>
              </w:rPr>
              <w:t xml:space="preserve"> ) предлагать компании, которые он нашел.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highlight w:val="white"/>
                <w:rtl w:val="0"/>
              </w:rPr>
              <w:t xml:space="preserve">Если пользователь нажал Enter - то ему открывается отдельная страница с результатами поиска - </w:t>
            </w:r>
            <w:hyperlink r:id="rId3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https://prnt.sc/BN_hr02vbc9h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1f1f1f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47800" cy="52070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Оставляем этот элемент.</w:t>
              <w:br w:type="textWrapping"/>
              <w:br w:type="textWrapping"/>
              <w:t xml:space="preserve">У модератора должна быть возможность руками ставить эту птичку для проектов.</w:t>
              <w:br w:type="textWrapping"/>
              <w:br w:type="textWrapping"/>
              <w:t xml:space="preserve">При наведении пользователь видит - </w:t>
            </w:r>
            <w:hyperlink r:id="rId3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https://prnt.sc/o7VW98BbZFpm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47800" cy="444500"/>
                  <wp:effectExtent b="0" l="0" r="0" t="0"/>
                  <wp:docPr id="1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44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Иконки в блоке “Documents”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Так как документы загружаться на платформу не будут, а будут указываться только ссылки на них, не стоит пытаться определить какой формат документа лежит “на той стороне”.</w:t>
              <w:br w:type="textWrapping"/>
              <w:br w:type="textWrapping"/>
              <w:t xml:space="preserve">Поэтому дизайнер позже даст заглушку для “общей” иконки.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47800" cy="1003300"/>
                  <wp:effectExtent b="0" l="0" r="0" t="0"/>
                  <wp:docPr id="17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00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 наведении на данные иконки пользователь получает pop-up в дизайне (</w:t>
            </w:r>
            <w:hyperlink r:id="rId4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https://prnt.sc/YZWMbQqb1nHv</w:t>
              </w:r>
            </w:hyperlink>
            <w:r w:rsidDel="00000000" w:rsidR="00000000" w:rsidRPr="00000000">
              <w:rPr>
                <w:rtl w:val="0"/>
              </w:rPr>
              <w:t xml:space="preserve"> ) с текстом: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email found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phone number found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username found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linkedin account found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47800" cy="1460500"/>
                  <wp:effectExtent b="0" l="0" r="0" t="0"/>
                  <wp:docPr id="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 нажатии вот такой pop-up -  ​​</w:t>
            </w:r>
            <w:hyperlink r:id="rId4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https://prnt.sc/bn1rlOzWQf4E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* Скрываем для первой версии. В следующих версиях это будет использоваться.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20" Type="http://schemas.openxmlformats.org/officeDocument/2006/relationships/image" Target="media/image18.png"/><Relationship Id="rId42" Type="http://schemas.openxmlformats.org/officeDocument/2006/relationships/hyperlink" Target="https://prnt.sc/YZWMbQqb1nHv" TargetMode="External"/><Relationship Id="rId41" Type="http://schemas.openxmlformats.org/officeDocument/2006/relationships/image" Target="media/image21.png"/><Relationship Id="rId22" Type="http://schemas.openxmlformats.org/officeDocument/2006/relationships/hyperlink" Target="https://prnt.sc/wUM_cjLvu9jh" TargetMode="External"/><Relationship Id="rId44" Type="http://schemas.openxmlformats.org/officeDocument/2006/relationships/hyperlink" Target="https://prnt.sc/bn1rlOzWQf4E" TargetMode="External"/><Relationship Id="rId21" Type="http://schemas.openxmlformats.org/officeDocument/2006/relationships/image" Target="media/image16.png"/><Relationship Id="rId43" Type="http://schemas.openxmlformats.org/officeDocument/2006/relationships/image" Target="media/image17.png"/><Relationship Id="rId24" Type="http://schemas.openxmlformats.org/officeDocument/2006/relationships/hyperlink" Target="https://prnt.sc/FcXCS_bBN3af" TargetMode="External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hyperlink" Target="https://prnt.sc/j7T-nnPN6NCG" TargetMode="External"/><Relationship Id="rId25" Type="http://schemas.openxmlformats.org/officeDocument/2006/relationships/image" Target="media/image12.png"/><Relationship Id="rId28" Type="http://schemas.openxmlformats.org/officeDocument/2006/relationships/image" Target="media/image2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11.png"/><Relationship Id="rId7" Type="http://schemas.openxmlformats.org/officeDocument/2006/relationships/image" Target="media/image1.png"/><Relationship Id="rId8" Type="http://schemas.openxmlformats.org/officeDocument/2006/relationships/hyperlink" Target="https://prnt.sc/3ak8pu8JSiuM" TargetMode="External"/><Relationship Id="rId31" Type="http://schemas.openxmlformats.org/officeDocument/2006/relationships/hyperlink" Target="https://prnt.sc/WtO2wZhv1IHb" TargetMode="External"/><Relationship Id="rId30" Type="http://schemas.openxmlformats.org/officeDocument/2006/relationships/image" Target="media/image20.png"/><Relationship Id="rId11" Type="http://schemas.openxmlformats.org/officeDocument/2006/relationships/image" Target="media/image19.png"/><Relationship Id="rId33" Type="http://schemas.openxmlformats.org/officeDocument/2006/relationships/image" Target="media/image23.png"/><Relationship Id="rId10" Type="http://schemas.openxmlformats.org/officeDocument/2006/relationships/image" Target="media/image15.png"/><Relationship Id="rId32" Type="http://schemas.openxmlformats.org/officeDocument/2006/relationships/image" Target="media/image3.png"/><Relationship Id="rId13" Type="http://schemas.openxmlformats.org/officeDocument/2006/relationships/hyperlink" Target="https://prnt.sc/FcXCS_bBN3af" TargetMode="External"/><Relationship Id="rId35" Type="http://schemas.openxmlformats.org/officeDocument/2006/relationships/image" Target="media/image26.png"/><Relationship Id="rId12" Type="http://schemas.openxmlformats.org/officeDocument/2006/relationships/image" Target="media/image24.png"/><Relationship Id="rId34" Type="http://schemas.openxmlformats.org/officeDocument/2006/relationships/image" Target="media/image14.png"/><Relationship Id="rId15" Type="http://schemas.openxmlformats.org/officeDocument/2006/relationships/image" Target="media/image13.png"/><Relationship Id="rId37" Type="http://schemas.openxmlformats.org/officeDocument/2006/relationships/hyperlink" Target="https://prnt.sc/BN_hr02vbc9h" TargetMode="External"/><Relationship Id="rId14" Type="http://schemas.openxmlformats.org/officeDocument/2006/relationships/image" Target="media/image10.png"/><Relationship Id="rId36" Type="http://schemas.openxmlformats.org/officeDocument/2006/relationships/hyperlink" Target="https://prnt.sc/fofyYWUUZU8X" TargetMode="External"/><Relationship Id="rId17" Type="http://schemas.openxmlformats.org/officeDocument/2006/relationships/image" Target="media/image8.png"/><Relationship Id="rId39" Type="http://schemas.openxmlformats.org/officeDocument/2006/relationships/hyperlink" Target="https://prnt.sc/o7VW98BbZFpm" TargetMode="External"/><Relationship Id="rId16" Type="http://schemas.openxmlformats.org/officeDocument/2006/relationships/hyperlink" Target="https://prnt.sc/3ak8pu8JSiuM" TargetMode="External"/><Relationship Id="rId38" Type="http://schemas.openxmlformats.org/officeDocument/2006/relationships/image" Target="media/image6.png"/><Relationship Id="rId19" Type="http://schemas.openxmlformats.org/officeDocument/2006/relationships/hyperlink" Target="https://www.typeform.com/" TargetMode="External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