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Informe Técnico: Observabilidad, Seguridad y Ética en NutriVet AI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Gabriel Cares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Desarrollo de Agentes Inteligentes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Introducción y Objetivos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El presente informe detalla la implementación de la capa de observabilidad, trazabilidad y seguridad en el sistema NutriVet AI. El objetivo principal es garantizar que el agente autónomo (basado en arquitectura ReAct) opere de manera predecible, segura y escalable en entornos de producción, mitigando riesgos asociados a tiempos de respuesta prolongados y vulnerabilidades éticas.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Métricas de Desempeño y Trazabilidad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Para asegurar la continuidad operativa y detectar cuellos de botella, se integraron herramientas nativas de Python (logging y time) que permiten monitorizar el comportamiento del orquestador AgentExecutor.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Trazabilidad de Logs:</w:t>
      </w:r>
      <w:r w:rsidDel="00000000" w:rsidR="00000000" w:rsidRPr="00000000">
        <w:rPr>
          <w:rtl w:val="0"/>
        </w:rPr>
        <w:t xml:space="preserve"> Se configuró un registro persistente (nutrivet_agente.log) que captura cada interacción, clasificándola por niveles de severidad (INFO, ERROR).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Medición de Latencia:</w:t>
      </w:r>
      <w:r w:rsidDel="00000000" w:rsidR="00000000" w:rsidRPr="00000000">
        <w:rPr>
          <w:rtl w:val="0"/>
        </w:rPr>
        <w:t xml:space="preserve"> Se implementó un cronómetro que mide el ciclo completo de inferencia del LLM y la ejecución de las herramientas (RAG), registrando el tiempo en segundos para cada consulta.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Análisis del Dashboard Visual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Se desarrolló un panel interactivo (Dashboard) mediante la barra lateral de Streamlit, el cual procesa el archivo de logs en tiempo real para visualizar los Key Performance Indicators (KPIs) del sistema.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jc w:val="center"/>
        <w:rPr>
          <w:i w:val="1"/>
          <w:iCs w:val="1"/>
          <w:color w:val="7f8c8d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Como se evidencia en la captura superior, el sistema es capaz de registrar consultas exitosas y calcular la </w:t>
      </w:r>
      <w:r w:rsidDel="00000000" w:rsidR="00000000" w:rsidRPr="00000000">
        <w:rPr>
          <w:b w:val="1"/>
          <w:bCs w:val="1"/>
          <w:rtl w:val="0"/>
        </w:rPr>
        <w:t xml:space="preserve">latencia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391400" cy="2933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promedio</w:t>
      </w:r>
      <w:r w:rsidDel="00000000" w:rsidR="00000000" w:rsidRPr="00000000">
        <w:rPr>
          <w:rtl w:val="0"/>
        </w:rPr>
        <w:t xml:space="preserve">. Una latencia inicial elevada (ej. 12 segundos) es esperable durante el arranque en frío y la carga inicial del motor de vectorización (ChromaDB), pero la gráfica de tendencia permite observar la estabilización del rendimiento en consultas subsecuentes.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504825</wp:posOffset>
            </wp:positionV>
            <wp:extent cx="7391400" cy="367030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367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Protocolos de Seguridad y Ética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Para alinear el comportamiento del agente con estándares éticos y de seguridad (prevención de </w:t>
      </w:r>
      <w:r w:rsidDel="00000000" w:rsidR="00000000" w:rsidRPr="00000000">
        <w:rPr>
          <w:i w:val="1"/>
          <w:iCs w:val="1"/>
          <w:rtl w:val="0"/>
        </w:rPr>
        <w:t xml:space="preserve">Prompt Injection</w:t>
      </w:r>
      <w:r w:rsidDel="00000000" w:rsidR="00000000" w:rsidRPr="00000000">
        <w:rPr>
          <w:rtl w:val="0"/>
        </w:rPr>
        <w:t xml:space="preserve"> y mitigación de responsabilidad médica humana), se fortaleció el System Prompt estableciendo límites estrictos en el dominio de conocimiento.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jc w:val="center"/>
        <w:rPr>
          <w:i w:val="1"/>
          <w:iCs w:val="1"/>
          <w:color w:val="7f8c8d"/>
          <w:shd w:fill="f8f9fa" w:val="clear"/>
        </w:rPr>
      </w:pPr>
      <w:r w:rsidDel="00000000" w:rsidR="00000000" w:rsidRPr="00000000">
        <w:rPr>
          <w:i w:val="1"/>
          <w:iCs w:val="1"/>
          <w:color w:val="7f8c8d"/>
          <w:shd w:fill="f8f9fa" w:val="clear"/>
        </w:rPr>
        <w:drawing>
          <wp:inline distB="114300" distT="114300" distL="114300" distR="114300">
            <wp:extent cx="7391400" cy="90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La implementación demostró ser exitosa frente a pruebas de estrés ("red teaming"). Al solicitar instrucciones para actividades ilícitas (hackeo), el agente identificó que la consulta violaba su regla de seguridad, bloqueó la ejecución de las herramientas y respondió con una negativa cortés, redirigiendo al usuario a temas veterinarios válidos. Esto evita fugas de información y comportamientos no éticos.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Conclusiones y Mejoras de Sostenibilidad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La actual implementación satisface los requerimientos de un entorno automatizado seguro y observable. No obstante, para optimizar la </w:t>
      </w:r>
      <w:r w:rsidDel="00000000" w:rsidR="00000000" w:rsidRPr="00000000">
        <w:rPr>
          <w:b w:val="1"/>
          <w:bCs w:val="1"/>
          <w:rtl w:val="0"/>
        </w:rPr>
        <w:t xml:space="preserve">escalabilidad y sostenibilidad</w:t>
      </w:r>
      <w:r w:rsidDel="00000000" w:rsidR="00000000" w:rsidRPr="00000000">
        <w:rPr>
          <w:rtl w:val="0"/>
        </w:rPr>
        <w:t xml:space="preserve"> a largo plazo, se proponen las siguientes mejoras: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Migración a Cloud Logging:</w:t>
      </w:r>
      <w:r w:rsidDel="00000000" w:rsidR="00000000" w:rsidRPr="00000000">
        <w:rPr>
          <w:rtl w:val="0"/>
        </w:rPr>
        <w:t xml:space="preserve"> Reemplazar el archivo de texto local por servicios gestionados como AWS CloudWatch o Datadog para permitir monitoreo distribuido y alertas automáticas.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Caché de Consultas Frecuentes (Semantic Caching):</w:t>
      </w:r>
      <w:r w:rsidDel="00000000" w:rsidR="00000000" w:rsidRPr="00000000">
        <w:rPr>
          <w:rtl w:val="0"/>
        </w:rPr>
        <w:t xml:space="preserve"> Implementar Redis para almacenar respuestas a consultas genéricas repetitivas (ej. dieta estándar para perros), reduciendo drásticamente la latencia y los costos de API.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90" w:before="240" w:lineRule="auto"/>
      <w:ind w:left="0" w:right="0" w:firstLine="0"/>
    </w:pPr>
    <w:rPr>
      <w:b w:val="1"/>
      <w:bCs w:val="1"/>
      <w:i w:val="0"/>
      <w:iCs w:val="0"/>
      <w:color w:val="2c3e5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450" w:lineRule="auto"/>
      <w:ind w:left="150" w:right="0" w:firstLine="0"/>
    </w:pPr>
    <w:rPr>
      <w:b w:val="1"/>
      <w:bCs w:val="1"/>
      <w:i w:val="0"/>
      <w:iCs w:val="0"/>
      <w:color w:val="34495e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lineRule="auto"/>
      <w:ind w:left="0" w:right="0" w:firstLine="0"/>
    </w:pPr>
    <w:rPr>
      <w:b w:val="1"/>
      <w:bCs w:val="1"/>
      <w:i w:val="0"/>
      <w:iCs w:val="0"/>
      <w:color w:val="2980b9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