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Gabriel Gino Jorge Dallape - RM94862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Ronaldo Otsuka Ribeiro Mira - RM95595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Mikael Pocker Fonseca - RM95564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5792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mark-tom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79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/>
          <w:sz w:val="24"/>
        </w:rPr>
        <w:t>Suas críticas. Seu paladar. Seu guia.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80" w:before="0" w:line="276" w:lineRule="auto"/>
        <w:jc w:val="center"/>
      </w:pPr>
      <w:r>
        <w:rPr>
          <w:rFonts w:ascii="Calibri" w:hAnsi="Calibri" w:cs="Calibri" w:eastAsia="Calibri"/>
          <w:b/>
          <w:i w:val="0"/>
          <w:sz w:val="32"/>
        </w:rPr>
        <w:t>Resumo executivo</w:t>
      </w:r>
    </w:p>
    <w:p>
      <w:pPr>
        <w:spacing w:after="8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Documento 1 de 12 · Plano de negócio da startup Yotakes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/>
          <w:sz w:val="22"/>
        </w:rPr>
        <w:t>Business Intelligence &amp; Startup Development — Entrega final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2"/>
        </w:rPr>
        <w:t>Trabalho de Conclusão de Curso apresentado à FIAP para a obtenção do título de Engenheiro de Computação.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color w:val="555555"/>
          <w:sz w:val="22"/>
        </w:rPr>
        <w:t>Grupo 3 · Engenharia da Computação · Design por Tatiane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São Paulo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2026</w:t>
      </w:r>
    </w:p>
    <w:p>
      <w:r>
        <w:br w:type="page"/>
      </w:r>
    </w:p>
    <w:p>
      <w:pPr>
        <w:pStyle w:val="Heading1"/>
        <w:keepNext/>
        <w:spacing w:before="0" w:after="360"/>
      </w:pPr>
      <w:r>
        <w:rPr>
          <w:rFonts w:ascii="Calibri" w:hAnsi="Calibri" w:cs="Calibri" w:eastAsia="Calibri"/>
          <w:b/>
          <w:i w:val="0"/>
          <w:color w:val="000000"/>
          <w:sz w:val="28"/>
        </w:rPr>
        <w:t>1 RESUMO EXECUTIVO</w:t>
      </w:r>
    </w:p>
    <w:p>
      <w:pPr>
        <w:spacing w:after="160" w:line="276" w:lineRule="auto"/>
        <w:jc w:val="both"/>
      </w:pPr>
      <w:r>
        <w:rPr>
          <w:rFonts w:ascii="Calibri" w:hAnsi="Calibri" w:cs="Calibri" w:eastAsia="Calibri"/>
          <w:b/>
          <w:i w:val="0"/>
          <w:sz w:val="24"/>
        </w:rPr>
        <w:t xml:space="preserve">Mercado: </w:t>
      </w:r>
      <w:r>
        <w:rPr>
          <w:rFonts w:ascii="Calibri" w:hAnsi="Calibri" w:cs="Calibri" w:eastAsia="Calibri"/>
          <w:b w:val="0"/>
          <w:i w:val="0"/>
          <w:sz w:val="24"/>
        </w:rPr>
        <w:t>Food tech brasileiro — interseção entre o setor de food service, que movimentou R$ 495 bilhões em 2025 (ABRASEL, 2025) e reúne cerca de 1,5 milhão de estabelecimentos no país, 156 mil deles só na cidade de São Paulo (ABRASEL-SP, 2024), e o segmento de plataformas digitais de avaliação e descoberta de restaurantes, hoje dominado por players generalistas como Google Maps, TripAdvisor e iFood.</w:t>
      </w:r>
    </w:p>
    <w:p>
      <w:pPr>
        <w:spacing w:after="160" w:line="276" w:lineRule="auto"/>
        <w:jc w:val="both"/>
      </w:pPr>
      <w:r>
        <w:rPr>
          <w:rFonts w:ascii="Calibri" w:hAnsi="Calibri" w:cs="Calibri" w:eastAsia="Calibri"/>
          <w:b/>
          <w:i w:val="0"/>
          <w:sz w:val="24"/>
        </w:rPr>
        <w:t xml:space="preserve">Cliente: </w:t>
      </w:r>
      <w:r>
        <w:rPr>
          <w:rFonts w:ascii="Calibri" w:hAnsi="Calibri" w:cs="Calibri" w:eastAsia="Calibri"/>
          <w:b w:val="0"/>
          <w:i w:val="0"/>
          <w:sz w:val="24"/>
        </w:rPr>
        <w:t>“Foodies urbanos” entre 22 e 40 anos, das classes A e B, residentes em capitais brasileiras (foco inicial na cidade de São Paulo), que comem fora pelo menos duas vezes por semana, registram experiências gastronômicas em redes sociais e desconfiam das notas pulverizadas do Google Maps e do iFood. A persona do projeto é a Júlia, 25 anos: escolhe onde comer pela avaliação e já saiu decepcionada de um restaurante com 4,8 estrelas e duas mil avaliações.</w:t>
      </w:r>
    </w:p>
    <w:p>
      <w:pPr>
        <w:spacing w:after="160" w:line="276" w:lineRule="auto"/>
        <w:jc w:val="both"/>
      </w:pPr>
      <w:r>
        <w:rPr>
          <w:rFonts w:ascii="Calibri" w:hAnsi="Calibri" w:cs="Calibri" w:eastAsia="Calibri"/>
          <w:b/>
          <w:i w:val="0"/>
          <w:sz w:val="24"/>
        </w:rPr>
        <w:t xml:space="preserve">Problema: </w:t>
      </w:r>
      <w:r>
        <w:rPr>
          <w:rFonts w:ascii="Calibri" w:hAnsi="Calibri" w:cs="Calibri" w:eastAsia="Calibri"/>
          <w:b w:val="0"/>
          <w:i w:val="0"/>
          <w:sz w:val="24"/>
        </w:rPr>
        <w:t>As avaliações de restaurantes estão fragmentadas em plataformas comerciais, são polarizadas (notas concentradas em 1 ou 5 estrelas), feitas por desconhecidos sem contexto de paladar e contaminadas por incentivos comerciais e por fraude — cerca de uma em cada três avaliações online não é confiável (FAKESPOT; MOZILLA, 2023). O consumidor não confia nas notas e não consegue construir um histórico próprio, uma identidade gastronômica, para descobrir novos lugares por afinidade.</w:t>
      </w:r>
    </w:p>
    <w:p>
      <w:pPr>
        <w:spacing w:after="160" w:line="276" w:lineRule="auto"/>
        <w:jc w:val="both"/>
      </w:pPr>
      <w:r>
        <w:rPr>
          <w:rFonts w:ascii="Calibri" w:hAnsi="Calibri" w:cs="Calibri" w:eastAsia="Calibri"/>
          <w:b/>
          <w:i w:val="0"/>
          <w:sz w:val="24"/>
        </w:rPr>
        <w:t xml:space="preserve">Solução: </w:t>
      </w:r>
      <w:r>
        <w:rPr>
          <w:rFonts w:ascii="Calibri" w:hAnsi="Calibri" w:cs="Calibri" w:eastAsia="Calibri"/>
          <w:b w:val="0"/>
          <w:i w:val="0"/>
          <w:sz w:val="24"/>
        </w:rPr>
        <w:t>Yotakes é uma rede social de crítica gastronômica — o “Letterboxd dos restaurantes” — em que cada usuário publica takes (resenha curta com nota de 0 a 5 estrelas, com meias, foto e contexto da visita), segue pessoas de paladar parecido e descobre restaurantes pela voz de quem confia, não de quem pagou para aparecer. A nota exibida é ponderada por recência, tempo de casa, consistência e rede, o que torna a manipulação cara e não escalável. O MVP está em produção em yotakes.com, com 740 restaurantes reais de São Paulo cadastrados.</w:t>
      </w:r>
    </w:p>
    <w:p>
      <w:pPr>
        <w:spacing w:after="160" w:line="276" w:lineRule="auto"/>
        <w:jc w:val="both"/>
      </w:pPr>
      <w:r>
        <w:rPr>
          <w:rFonts w:ascii="Calibri" w:hAnsi="Calibri" w:cs="Calibri" w:eastAsia="Calibri"/>
          <w:b/>
          <w:i w:val="0"/>
          <w:sz w:val="24"/>
        </w:rPr>
        <w:t xml:space="preserve">Modelo de negócio: </w:t>
      </w:r>
      <w:r>
        <w:rPr>
          <w:rFonts w:ascii="Calibri" w:hAnsi="Calibri" w:cs="Calibri" w:eastAsia="Calibri"/>
          <w:b w:val="0"/>
          <w:i w:val="0"/>
          <w:sz w:val="24"/>
        </w:rPr>
        <w:t>Híbrido B2C + B2B. No B2C, planos Free (R$ 0), Sous Chef (R$ 9,90/mês) e Chef (R$ 23,90/mês), com personalização, listas exportáveis, experiência sem anúncios, selos e cupons. No B2B, o Restaurante Parceiro contrata analytics (perfil de clientes, análise de avaliações lida por IA, ranking na região) e visibilidade (destaque patrocinado, sempre rotulado, sem tocar na nota). A infraestrutura custa cerca de R$ 341 por mês para 10 mil usuários; 18 assinantes Chef a sustentam.</w:t>
      </w:r>
    </w:p>
    <w:p>
      <w:pPr>
        <w:spacing w:after="160" w:line="276" w:lineRule="auto"/>
        <w:jc w:val="both"/>
      </w:pPr>
      <w:r>
        <w:rPr>
          <w:rFonts w:ascii="Calibri" w:hAnsi="Calibri" w:cs="Calibri" w:eastAsia="Calibri"/>
          <w:b/>
          <w:i w:val="0"/>
          <w:sz w:val="24"/>
        </w:rPr>
        <w:t xml:space="preserve">Concorrentes: </w:t>
      </w:r>
      <w:r>
        <w:rPr>
          <w:rFonts w:ascii="Calibri" w:hAnsi="Calibri" w:cs="Calibri" w:eastAsia="Calibri"/>
          <w:b w:val="0"/>
          <w:i w:val="0"/>
          <w:sz w:val="24"/>
        </w:rPr>
        <w:t>Diretos: Google Maps Reviews, TripAdvisor Brasil e Yelp. Indiretos: iFood (avaliações pós-pedido), Instagram e TikTok (food creators) e guias editoriais como Veja Comer &amp; Beber e Folha de S.Paulo. Análogos internacionais que validam a tese: Beli e Corner (Nova York), The Infatuation e Resy.</w:t>
      </w:r>
    </w:p>
    <w:p>
      <w:pPr>
        <w:spacing w:after="160" w:line="276" w:lineRule="auto"/>
        <w:jc w:val="both"/>
      </w:pPr>
      <w:r>
        <w:rPr>
          <w:rFonts w:ascii="Calibri" w:hAnsi="Calibri" w:cs="Calibri" w:eastAsia="Calibri"/>
          <w:b/>
          <w:i w:val="0"/>
          <w:sz w:val="24"/>
        </w:rPr>
        <w:t xml:space="preserve">Benchmarks: </w:t>
      </w:r>
      <w:r>
        <w:rPr>
          <w:rFonts w:ascii="Calibri" w:hAnsi="Calibri" w:cs="Calibri" w:eastAsia="Calibri"/>
          <w:b w:val="0"/>
          <w:i w:val="0"/>
          <w:sz w:val="24"/>
        </w:rPr>
        <w:t>Letterboxd — comunidade editorial de nicho que saltou de 1,8 milhão de membros em 2020 para 17 milhões em 2024 e 30 milhões em 2026; Beli — descoberta por afinidade e crescimento por convite; Untappd — check-in social em cervejas; Vivino — avaliação e descoberta por afinidade em vinhos.</w:t>
      </w:r>
    </w:p>
    <w:p>
      <w:pPr>
        <w:spacing w:after="160" w:line="276" w:lineRule="auto"/>
        <w:jc w:val="both"/>
      </w:pPr>
      <w:r>
        <w:rPr>
          <w:rFonts w:ascii="Calibri" w:hAnsi="Calibri" w:cs="Calibri" w:eastAsia="Calibri"/>
          <w:b/>
          <w:i w:val="0"/>
          <w:sz w:val="24"/>
        </w:rPr>
        <w:t xml:space="preserve">Estágio: </w:t>
      </w:r>
      <w:r>
        <w:rPr>
          <w:rFonts w:ascii="Calibri" w:hAnsi="Calibri" w:cs="Calibri" w:eastAsia="Calibri"/>
          <w:b w:val="0"/>
          <w:i w:val="0"/>
          <w:sz w:val="24"/>
        </w:rPr>
        <w:t>MVP construído (janeiro de 2026) e em produção; aplicação-piloto do questionário de validação com 62 respondentes e teste de usabilidade com 8 participantes (outubro de 2026); beta fechado em novembro de 2026; lançamento público previsto para fevereiro de 2027 e início da monetização em março de 2027. Equipe de três engenheiros, 100% bootstrap, com design de Tatiane.</w:t>
      </w:r>
    </w:p>
    <w:p>
      <w:pPr>
        <w:spacing w:after="120" w:before="0" w:line="276" w:lineRule="auto"/>
        <w:jc w:val="both"/>
      </w:pPr>
    </w:p>
    <w:p>
      <w:pPr>
        <w:spacing w:after="160" w:line="276" w:lineRule="auto"/>
        <w:jc w:val="both"/>
      </w:pPr>
      <w:r>
        <w:rPr>
          <w:rFonts w:ascii="Calibri" w:hAnsi="Calibri" w:cs="Calibri" w:eastAsia="Calibri"/>
          <w:b/>
          <w:i w:val="0"/>
          <w:sz w:val="24"/>
        </w:rPr>
        <w:t xml:space="preserve">Palavras-chave: </w:t>
      </w:r>
      <w:r>
        <w:rPr>
          <w:rFonts w:ascii="Calibri" w:hAnsi="Calibri" w:cs="Calibri" w:eastAsia="Calibri"/>
          <w:b w:val="0"/>
          <w:i w:val="0"/>
          <w:sz w:val="24"/>
        </w:rPr>
        <w:t>1. Crítica gastronômica  2. Rede social  3. Descoberta de restaurantes  4. Food tech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cs="Calibri" w:eastAsia="Calibri"/>
        <w:b w:val="0"/>
        <w:i w:val="0"/>
        <w:color w:val="555555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