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Gabriel Gino Jorge Dallape - RM94862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Ronaldo Otsuka Ribeiro Mira - RM95595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Mikael Pocker Fonseca - RM95564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79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-tom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4"/>
        </w:rPr>
        <w:t>Suas críticas. Seu paladar. Seu guia.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/>
          <w:i w:val="0"/>
          <w:sz w:val="32"/>
        </w:rPr>
        <w:t>Oportunidade de mercado</w:t>
      </w: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Documento 2 de 12 · Plano de negócio da startup Yotakes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2"/>
        </w:rPr>
        <w:t>Business Intelligence &amp; Startup Development — Entrega final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2"/>
        </w:rPr>
        <w:t>Trabalho de Conclusão de Curso apresentado à FIAP para a obtenção do título de Engenheiro de Computação.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color w:val="555555"/>
          <w:sz w:val="22"/>
        </w:rPr>
        <w:t>Grupo 3 · Engenharia da Computação · Design por Tatiane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São Paulo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0" w:after="360"/>
      </w:pPr>
      <w:r>
        <w:rPr>
          <w:rFonts w:ascii="Calibri" w:hAnsi="Calibri" w:cs="Calibri" w:eastAsia="Calibri"/>
          <w:b/>
          <w:i w:val="0"/>
          <w:color w:val="000000"/>
          <w:sz w:val="28"/>
        </w:rPr>
        <w:t>2 OPORTUNIDADE DE MERCADO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setor de food service no Brasil movimentou R$ 495 bilhões em 2025 (ABRASEL, 2025) e reúne cerca de 1,5 milhão de bares, restaurantes e estabelecimentos; só a cidade de São Paulo concentra 156 mil deles (ABRASEL-SP, 2024). Apesar do tamanho do mercado, a camada digital de “onde comer” ainda é dominada por plataformas generalistas — Google Maps, TripAdvisor e iFood — que priorizam escala e volume comercial em detrimento da qualidade editorial e do senso de comunidade. O resultado é um ecossistema de avaliações pulverizado, polarizado e desconectado da identidade gastronômica de cada usuário.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Em paralelo, consolidou-se uma tendência global de redes sociais verticalizadas por interesse, nas quais comunidade autêntica, curadoria por afinidade e construção de identidade pessoal são os principais motores de engajamento: Letterboxd no cinema, Untappd em cervejas, Vivino em vinhos, Beli e Corner em restaurantes em Nova York. Esses modelos provam que, bem executados, conseguem migrar usuários qualificados das plataformas genéricas para um ambiente próprio, mais profundo e mais confiável. Esse formato ainda não foi trazido em escala para a gastronomia brasileira.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2.1 Tamanho do mercado: do food service à Júlia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funil abaixo delimita o mercado endereçável do Yotakes a partir dos dados setoriais disponíveis. O último degrau — a parcela que decide onde comer pela avaliação — é a que o produto disputa de fato.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1 — Mercado endereçável do Yotakes, do setor à persona.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835"/>
        <w:gridCol w:w="2551"/>
      </w:tblGrid>
      <w:tr>
        <w:tc>
          <w:tcPr>
            <w:tcW w:type="dxa" w:w="3685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Camada</w:t>
            </w:r>
          </w:p>
        </w:tc>
        <w:tc>
          <w:tcPr>
            <w:tcW w:type="dxa" w:w="2835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551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Food service no Brasil (TAM)</w:t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R$ 495 bilhões/ano</w:t>
            </w:r>
          </w:p>
        </w:tc>
        <w:tc>
          <w:tcPr>
            <w:tcW w:type="dxa" w:w="255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ABRASEL Nacional, 2025</w:t>
            </w:r>
          </w:p>
        </w:tc>
      </w:tr>
      <w:tr>
        <w:tc>
          <w:tcPr>
            <w:tcW w:type="dxa" w:w="3685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Food service no município de São Paulo (SAM)</w:t>
            </w:r>
          </w:p>
        </w:tc>
        <w:tc>
          <w:tcPr>
            <w:tcW w:type="dxa" w:w="2835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R$ 34,2 bilhões/ano</w:t>
            </w:r>
          </w:p>
        </w:tc>
        <w:tc>
          <w:tcPr>
            <w:tcW w:type="dxa" w:w="255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ABRASEL-SP, 2024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Restaurantes presenciais em São Paulo (≈ 80% do SAM)</w:t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≈ R$ 27 bilhões/ano</w:t>
            </w:r>
          </w:p>
        </w:tc>
        <w:tc>
          <w:tcPr>
            <w:tcW w:type="dxa" w:w="255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ABRASEL-SP, 2024 (derivado)</w:t>
            </w:r>
          </w:p>
        </w:tc>
      </w:tr>
      <w:tr>
        <w:tc>
          <w:tcPr>
            <w:tcW w:type="dxa" w:w="3685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Quem escolhe onde comer pela avaliação (SOM)</w:t>
            </w:r>
          </w:p>
        </w:tc>
        <w:tc>
          <w:tcPr>
            <w:tcW w:type="dxa" w:w="2835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&gt; 60% consultam avaliações; 33% descartam casas com menos de 4 estrelas</w:t>
            </w:r>
          </w:p>
        </w:tc>
        <w:tc>
          <w:tcPr>
            <w:tcW w:type="dxa" w:w="255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BrightLocal, 2023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2.2 Comportamento do consumidor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Os dados de comportamento confirmam que a decisão de onde comer já é digital e social no Brasil, mas acontece em plataformas que não foram desenhadas para isso: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70%</w:t>
      </w:r>
      <w:r>
        <w:rPr>
          <w:rFonts w:ascii="Calibri" w:hAnsi="Calibri" w:cs="Calibri" w:eastAsia="Calibri"/>
          <w:b w:val="0"/>
          <w:i w:val="0"/>
          <w:sz w:val="24"/>
        </w:rPr>
        <w:t xml:space="preserve"> dos brasileiros já foram a um restaurante depois de vê-lo no Instagram (OPINION BOX, 2023).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3º lugar:</w:t>
      </w:r>
      <w:r>
        <w:rPr>
          <w:rFonts w:ascii="Calibri" w:hAnsi="Calibri" w:cs="Calibri" w:eastAsia="Calibri"/>
          <w:b w:val="0"/>
          <w:i w:val="0"/>
          <w:sz w:val="24"/>
        </w:rPr>
        <w:t xml:space="preserve"> gastronomia e receitas é o terceiro tema que mais atrai usuários no Instagram brasileiro, com 44% de interesse declarado (OPINION BOX, 2023).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33%</w:t>
      </w:r>
      <w:r>
        <w:rPr>
          <w:rFonts w:ascii="Calibri" w:hAnsi="Calibri" w:cs="Calibri" w:eastAsia="Calibri"/>
          <w:b w:val="0"/>
          <w:i w:val="0"/>
          <w:sz w:val="24"/>
        </w:rPr>
        <w:t xml:space="preserve"> dos consumidores descartam restaurantes com menos de 4 estrelas, e mais de 60% consultam avaliações online antes de escolher (BRIGHTLOCAL, 2023).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1 em 3</w:t>
      </w:r>
      <w:r>
        <w:rPr>
          <w:rFonts w:ascii="Calibri" w:hAnsi="Calibri" w:cs="Calibri" w:eastAsia="Calibri"/>
          <w:b w:val="0"/>
          <w:i w:val="0"/>
          <w:sz w:val="24"/>
        </w:rPr>
        <w:t xml:space="preserve"> das avaliações online não é confiável, segundo análise do Fakespot (FAKESPOT; MOZILLA, 2023) — e o consumidor continua confiando na média.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30 milhões</w:t>
      </w:r>
      <w:r>
        <w:rPr>
          <w:rFonts w:ascii="Calibri" w:hAnsi="Calibri" w:cs="Calibri" w:eastAsia="Calibri"/>
          <w:b w:val="0"/>
          <w:i w:val="0"/>
          <w:sz w:val="24"/>
        </w:rPr>
        <w:t xml:space="preserve"> de membros no Letterboxd em 2026, contra 1,8 milhão em 2020 e 17 milhões em 2024: comunidade editorial de nicho escala (LETTERBOXD, 2024; ROLLING STONE, 2026).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2.3 A dor do cliente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cliente-alvo do Yotakes — a Júlia, foodie urbana entre 22 e 40 anos, classes A e B, que come fora pelo menos duas vezes por semana — convive diariamente com três pontos de atrito: (i) avaliações inflacionadas por incentivos comerciais e por fraude; (ii) ausência de um perfil pessoal que registre seu histórico de experiências; e (iii) descoberta de restaurantes baseada em algoritmos opacos, e não em pessoas com paladar semelhante. Na falta de alternativa, esse público recorre a Instagram, grupos de WhatsApp e indicações pontuais, sem qualquer estrutura de busca, lista ou histórico.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2.4 A lacuna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cenário competitivo confirma a existência de um espaço vazio. Players generalistas (Google, iFood) têm escala, mas não têm comunidade nem identidade editorial. Creators do Instagram e do TikTok entregam autenticidade, mas não oferecem estrutura — nem busca, nem nota, nem histórico. Guias editoriais tradicionais carregam autoridade, mas não têm escala digital nem interatividade. O Yotakes se posiciona exatamente na interseção desses três eixos: escala digital, comunidade autêntica e qualidade editorial.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A proposta de negócio é construída em três camadas complementares: um produto social gratuito e aberto, que cresce de forma orgânica e gera efeito de rede; uma frente B2B de analytics e visibilidade para restaurantes; e uma camada premium B2C (Sous Chef e Chef). Combinadas, formam um ciclo virtuoso: quanto mais usuários avaliando, mais valor para os restaurantes; quanto mais restaurantes engajados, mais valor para o usuário final. O mercado global de food service, de US$ 4 trilhões em 2025 com projeção de US$ 6,8 trilhões até 2032 (RESTROWORKS, 2025), dá a dimensão da ambição de longo prazo: começar por São Paulo, expandir para outras capitais e, em 3 a 5 anos, tornar-se plataforma global de descoberta gastronômica.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i w:val="0"/>
        <w:color w:val="555555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