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Desenvolvimento do negócio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5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5 DESENVOLVIMENTO DO NEGÓCIO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Este capítulo descreve como o Yotakes gera e captura valor: o diagnóstico estratégico (SWOT), os planos para o consumidor e para o restaurante, as regras de promoção, a estratégia de aquisição e crescimento e o tratamento de dados pessoais. A ordem reflete a sequência do road map: primeiro o produto gratuito cria base e grafo, depois o lado parceiro paga a empresa e a assinatura paga a infraestrutura.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5.1 Diagnóstico estratégico (SWOT)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Forças (internas, positivas)</w:t>
            </w:r>
          </w:p>
        </w:tc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Fraquezas (internas, negativas)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Equipe fundadora 100% técnica, com autonomia para desenvolver e operar o produto.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MVP em produção em yotakes.com, com 740 restaurantes de São Paulo cadastrados.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Identidade visual editorial diferenciada: não é “mais um app de avaliação”.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Stack moderna (Next.js 16 + Supabase + Vercel) com infraestrutura de R$ 341/mês para 10 mil usuários.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Nota ponderada por quatro fatores, defensável e cara de manipular.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Modelo validado internacionalmente em nichos análogos (Beli, Letterboxd, Untappd, Vivino).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Domínio yotakes.com adquirido.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Marca desconhecida: começa do zero, sem brand awareness.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Validação externa ainda em amostra pequena (62 respostas e 8 sessões de usabilidade); o beta fechado é o primeiro teste em escala.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Equipe enxuta e de mesma faixa técnica, sem perfis de marketing, comercial ou editorial.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100% bootstrap: sem captação até o momento.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O diferencial não é técnico, é de produto, marca e comunidade — a execução pesa mais.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Cold-start clássico de rede social: o valor cresce com a base, e a base só cresce se o produto já entregar valor.</w:t>
            </w:r>
          </w:p>
        </w:tc>
      </w:tr>
    </w:tbl>
    <w:p>
      <w:pPr>
        <w:spacing w:after="80"/>
      </w:pP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5 — Matriz SWOT do Yotakes, atualizada para outubro de 2026.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Oportunidades (externas, positivas)</w:t>
            </w:r>
          </w:p>
        </w:tc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Ameaças (externas, negativas)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Food service brasileiro de R$ 495 bilhões/ano, em crescimento (ABRASEL).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Insatisfação crescente com notas infladas e falsas no Google Maps e no iFood.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Tendência global consolidada de redes sociais verticais por interesse.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Cultura foodie em alta: 70% dos brasileiros já foram a um restaurante por causa do Instagram.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Vácuo no Brasil: não existe plataforma editorial + social nativa para restaurantes.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Custo de criação e operação de produto digital cada vez menor (IA, serverless).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Big techs (Google, Meta) podem adicionar features sociais às próprias plataformas.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iFood pode lançar produto social próprio, alavancado pela base existente.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Beli ou Corner podem localizar para o Brasil com capital.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Custo de aquisição de usuário em redes sociais subindo ano após ano.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LGPD impõe cuidados sobre dados de paladar e comportamento.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• Cenário macroeconômico pode reduzir a frequência de comer fora do público-alvo.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leitura cruzada aponta quatro direções: atacar o vácuo de São Paulo com a identidade editorial e a stack enxuta antes que big techs reajam (forças × oportunidades); consolidar marca e comunidade como barreira contra entrantes, porque comunidade não se clona em curto prazo (forças × ameaças); compensar a equipe enxuta com mecânicas virais nativas do produto e parcerias orgânicas com creators e mídia (fraquezas × oportunidades); e priorizar o lado parceiro para gerar receita cedo, tratar LGPD desde o produto e validar com usuários reais o quanto antes (fraquezas × ameaças).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5.2 Planos para o consumidor (B2C)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Júlia entra de graça e pode ir além. O plano gratuito é completo no que importa para a rede crescer; os pagos vendem personalização, conveniência e benefícios, nunca visibilidade ou nota.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6 — Planos B2C. Preços ancorados no Letterboxd (Pro/Patron) e no Spotify Individual; ver capítulo 9.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5896"/>
      </w:tblGrid>
      <w:tr>
        <w:tc>
          <w:tcPr>
            <w:tcW w:type="dxa" w:w="158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Plano</w:t>
            </w:r>
          </w:p>
        </w:tc>
        <w:tc>
          <w:tcPr>
            <w:tcW w:type="dxa" w:w="158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Preço</w:t>
            </w:r>
          </w:p>
        </w:tc>
        <w:tc>
          <w:tcPr>
            <w:tcW w:type="dxa" w:w="5896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O que inclui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Free</w:t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R$ 0,00/mês</w:t>
            </w:r>
          </w:p>
        </w:tc>
        <w:tc>
          <w:tcPr>
            <w:tcW w:type="dxa" w:w="589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Takes e listas ilimitados; feed completo de quem você segue; descoberta por rede de confiança.</w:t>
            </w:r>
          </w:p>
        </w:tc>
      </w:tr>
      <w:tr>
        <w:tc>
          <w:tcPr>
            <w:tcW w:type="dxa" w:w="158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Sous Chef</w:t>
            </w:r>
          </w:p>
        </w:tc>
        <w:tc>
          <w:tcPr>
            <w:tcW w:type="dxa" w:w="158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R$ 9,90/mês</w:t>
            </w:r>
          </w:p>
        </w:tc>
        <w:tc>
          <w:tcPr>
            <w:tcW w:type="dxa" w:w="5896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Personalização de perfil; listas exportáveis e colaborativas; experiência sem anúncios.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Chef</w:t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R$ 23,90/mês</w:t>
            </w:r>
          </w:p>
        </w:tc>
        <w:tc>
          <w:tcPr>
            <w:tcW w:type="dxa" w:w="589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Tudo do Sous Chef; selos e conquistas exclusivas; cupons e descontos em parceiros.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5.3 Restaurante Parceiro (B2B)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restaurante já paga por visibilidade no iFood e no Google. O Yotakes entrega o que eles não têm: inteligência de público — quem avaliou, com que frequência come fora, onde mais vai. O plano Parceiro tem duas frentes: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Analytics (Yotakes Analytics):</w:t>
      </w:r>
      <w:r>
        <w:rPr>
          <w:rFonts w:ascii="Calibri" w:hAnsi="Calibri" w:cs="Calibri" w:eastAsia="Calibri"/>
          <w:b w:val="0"/>
          <w:i w:val="0"/>
          <w:sz w:val="24"/>
        </w:rPr>
        <w:t xml:space="preserve"> nota média e evolução, total de avaliações, ranking na região, perfis de clientes e análise das avaliações lida por IA — comparação com concorrentes, principais reclamações e temas positivos, neutros e negativos.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Visibilidade:</w:t>
      </w:r>
      <w:r>
        <w:rPr>
          <w:rFonts w:ascii="Calibri" w:hAnsi="Calibri" w:cs="Calibri" w:eastAsia="Calibri"/>
          <w:b w:val="0"/>
          <w:i w:val="0"/>
          <w:sz w:val="24"/>
        </w:rPr>
        <w:t xml:space="preserve"> aparece mais vezes na descoberta e na tela inicial do bairro, sempre rotulado como patrocinado.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camada de IA segue o que o setor já faz: análise de sentimento por aspecto (comida, atendimento, preço, espera, ambiente), agrupamento de temas por período e região, síntese por modelo de linguagem sobre o agregado — nunca sobre a avaliação crua — e contraste com a média da rua. Uma reclamação isolada vira padrão quando se repete: “o tempo de espera é o principal ponto negativo e concentra-se nos horários de pico” vira a oportunidade “revisar operação e tempo de saída dos pedidos no pico”. O diferencial não é o modelo, é o insumo: o take vem de conta com rede, frequência e histórico. O custo é de cerca de R$ 1,40 por parceiro por mês, contra US$ 89 a US$ 449 cobrados por ferramentas como ReviewTrackers e Birdeye.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5.4 Regras de promoção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Toda promoção parte do restaurante parceiro e aparece rotulada como tal. Nenhuma delas encosta em nota ou avaliação — o parceiro não compra estrela, compra visibilidade, e isso aumenta a credibilidade da plataforma.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7 — Tipos de promoção derivados do BMC e do plano de marketing.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4"/>
      </w:tblGrid>
      <w:tr>
        <w:tc>
          <w:tcPr>
            <w:tcW w:type="dxa" w:w="2268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6803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Destaque patrocinado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 parceiro paga para aparecer na tela inicial e nas buscas do bairro. Sempre marcado como patrocinado.</w:t>
            </w:r>
          </w:p>
        </w:tc>
      </w:tr>
      <w:tr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Ação sazonal</w:t>
            </w:r>
          </w:p>
        </w:tc>
        <w:tc>
          <w:tcPr>
            <w:tcW w:type="dxa" w:w="6803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Dois por um, Restaurant Week, menu de data comemorativa. Entram como lista interativa na newsletter.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Cupom de assinante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Desconto ou cortesia exclusiva de quem paga plano. Vira motivo para assinar e para visitar a casa.</w:t>
            </w:r>
          </w:p>
        </w:tc>
      </w:tr>
      <w:tr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Evento e selo</w:t>
            </w:r>
          </w:p>
        </w:tc>
        <w:tc>
          <w:tcPr>
            <w:tcW w:type="dxa" w:w="6803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Ativação no parceiro com menu exclusivo e selo comemorativo para quem avaliou no dia.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5.5 Aquisição, crescimento e marketing</w:t>
      </w:r>
    </w:p>
    <w:p>
      <w:pPr>
        <w:pStyle w:val="Heading3"/>
        <w:keepNext/>
        <w:spacing w:before="200" w:after="120"/>
      </w:pPr>
      <w:r>
        <w:rPr>
          <w:rFonts w:ascii="Calibri" w:hAnsi="Calibri" w:cs="Calibri" w:eastAsia="Calibri"/>
          <w:b/>
          <w:i/>
          <w:color w:val="000000"/>
          <w:sz w:val="24"/>
        </w:rPr>
        <w:t>Pré-lançamento e beta fechado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Convites por influência:</w:t>
      </w:r>
      <w:r>
        <w:rPr>
          <w:rFonts w:ascii="Calibri" w:hAnsi="Calibri" w:cs="Calibri" w:eastAsia="Calibri"/>
          <w:b w:val="0"/>
          <w:i w:val="0"/>
          <w:sz w:val="24"/>
        </w:rPr>
        <w:t xml:space="preserve"> convites direcionados a chefs, food creators, jornalistas gastronômicos e blogs locais, que geram conteúdo qualificado e legitimam a comunidade nos primeiros ciclos. O sistema de convites já existe no banco (migration 0002).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Presença digital antecipada:</w:t>
      </w:r>
      <w:r>
        <w:rPr>
          <w:rFonts w:ascii="Calibri" w:hAnsi="Calibri" w:cs="Calibri" w:eastAsia="Calibri"/>
          <w:b w:val="0"/>
          <w:i w:val="0"/>
          <w:sz w:val="24"/>
        </w:rPr>
        <w:t xml:space="preserve"> redes sociais do Yotakes lançadas antes do app, com teasers e lista de espera.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Conteúdo pessoal:</w:t>
      </w:r>
      <w:r>
        <w:rPr>
          <w:rFonts w:ascii="Calibri" w:hAnsi="Calibri" w:cs="Calibri" w:eastAsia="Calibri"/>
          <w:b w:val="0"/>
          <w:i w:val="0"/>
          <w:sz w:val="24"/>
        </w:rPr>
        <w:t xml:space="preserve"> narrativa em primeira pessoa “criando um app do zero”, dos fundadores e da designer.</w:t>
      </w:r>
    </w:p>
    <w:p>
      <w:pPr>
        <w:pStyle w:val="Heading3"/>
        <w:keepNext/>
        <w:spacing w:before="200" w:after="120"/>
      </w:pPr>
      <w:r>
        <w:rPr>
          <w:rFonts w:ascii="Calibri" w:hAnsi="Calibri" w:cs="Calibri" w:eastAsia="Calibri"/>
          <w:b/>
          <w:i/>
          <w:color w:val="000000"/>
          <w:sz w:val="24"/>
        </w:rPr>
        <w:t>Lançamento e crescimento orgânico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Evento de lançamento:</w:t>
      </w:r>
      <w:r>
        <w:rPr>
          <w:rFonts w:ascii="Calibri" w:hAnsi="Calibri" w:cs="Calibri" w:eastAsia="Calibri"/>
          <w:b w:val="0"/>
          <w:i w:val="0"/>
          <w:sz w:val="24"/>
        </w:rPr>
        <w:t xml:space="preserve"> evento oficial em restaurante parceiro, com menu exclusivo e selo “Review de Lançamento”.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QR nos restaurantes:</w:t>
      </w:r>
      <w:r>
        <w:rPr>
          <w:rFonts w:ascii="Calibri" w:hAnsi="Calibri" w:cs="Calibri" w:eastAsia="Calibri"/>
          <w:b w:val="0"/>
          <w:i w:val="0"/>
          <w:sz w:val="24"/>
        </w:rPr>
        <w:t xml:space="preserve"> QR codes nas mesas e cardápios dos parceiros levam direto à avaliação.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Mecânicas virais nativas:</w:t>
      </w:r>
      <w:r>
        <w:rPr>
          <w:rFonts w:ascii="Calibri" w:hAnsi="Calibri" w:cs="Calibri" w:eastAsia="Calibri"/>
          <w:b w:val="0"/>
          <w:i w:val="0"/>
          <w:sz w:val="24"/>
        </w:rPr>
        <w:t xml:space="preserve"> listas e perfis compartilháveis com imagens OG geradas, comparação de paladar entre amigos, retrospectiva anual personalizada.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Growth loops:</w:t>
      </w:r>
      <w:r>
        <w:rPr>
          <w:rFonts w:ascii="Calibri" w:hAnsi="Calibri" w:cs="Calibri" w:eastAsia="Calibri"/>
          <w:b w:val="0"/>
          <w:i w:val="0"/>
          <w:sz w:val="24"/>
        </w:rPr>
        <w:t xml:space="preserve"> um mês de Sous Chef para quem traz dez amigos; selos de marco por reviews, listas e indicações.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Conteúdo e cobertura de eventos:</w:t>
      </w:r>
      <w:r>
        <w:rPr>
          <w:rFonts w:ascii="Calibri" w:hAnsi="Calibri" w:cs="Calibri" w:eastAsia="Calibri"/>
          <w:b w:val="0"/>
          <w:i w:val="0"/>
          <w:sz w:val="24"/>
        </w:rPr>
        <w:t xml:space="preserve"> Instagram, TikTok e YouTube Shorts com formatos como “seus três restaurantes preferidos” e cobertura de Restaurant Week, inaugurações e premiações.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Parcerias e ecossistema:</w:t>
      </w:r>
      <w:r>
        <w:rPr>
          <w:rFonts w:ascii="Calibri" w:hAnsi="Calibri" w:cs="Calibri" w:eastAsia="Calibri"/>
          <w:b w:val="0"/>
          <w:i w:val="0"/>
          <w:sz w:val="24"/>
        </w:rPr>
        <w:t xml:space="preserve"> Folha Paladar, Veja Comer &amp; Beber, Estadão Paladar; micro influenciadores e chefs; editais e programas de aceleração para food techs.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Sem mídia paga no primeiro ano: o orçamento de marketing do capítulo 9 cobre material, ativações e conteúdo, e o crescimento vem do produto e das parcerias.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5.6 LGPD e privacidade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Yotakes trata os dados dos usuários seguindo os princípios da Lei Geral de Proteção de Dados (Lei 13.709/2018): coleta apenas dos dados necessários; transparência no uso das informações; proteção e segurança (Row Level Security em todas as tabelas, autenticação sem senha por link mágico, Storage com política por pasta de usuário); respeito aos direitos dos titulares; e uso de dados para análises e insights sempre agregados — o parceiro vê padrões, não pessoas. Termos de uso, política de privacidade e contrato padrão B2B estão previstos no road map antes do lançamento público.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