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Gabriel Gino Jorge Dallape - RM94862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Ronaldo Otsuka Ribeiro Mira - RM95595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Mikael Pocker Fonseca - RM95564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579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-tom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9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4"/>
        </w:rPr>
        <w:t>Suas críticas. Seu paladar. Seu guia.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/>
          <w:i w:val="0"/>
          <w:sz w:val="32"/>
        </w:rPr>
        <w:t>Canvas: Modelo de negócio e Proposta de valor</w:t>
      </w:r>
    </w:p>
    <w:p>
      <w:pPr>
        <w:spacing w:after="8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Documento 6 de 12 · Plano de negócio da startup Yotakes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/>
          <w:sz w:val="22"/>
        </w:rPr>
        <w:t>Business Intelligence &amp; Startup Development — Entrega final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2"/>
        </w:rPr>
        <w:t>Trabalho de Conclusão de Curso apresentado à FIAP para a obtenção do título de Engenheiro de Computação.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color w:val="555555"/>
          <w:sz w:val="22"/>
        </w:rPr>
        <w:t>Grupo 3 · Engenharia da Computação · Design por Tatiane</w:t>
      </w: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both"/>
      </w:pP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São Paulo</w:t>
      </w:r>
    </w:p>
    <w:p>
      <w:pPr>
        <w:spacing w:after="0" w:before="0" w:line="276" w:lineRule="auto"/>
        <w:jc w:val="center"/>
      </w:pPr>
      <w:r>
        <w:rPr>
          <w:rFonts w:ascii="Calibri" w:hAnsi="Calibri" w:cs="Calibri" w:eastAsia="Calibri"/>
          <w:b w:val="0"/>
          <w:i w:val="0"/>
          <w:sz w:val="24"/>
        </w:rPr>
        <w:t>2026</w:t>
      </w:r>
    </w:p>
    <w:p>
      <w:r>
        <w:br w:type="page"/>
      </w:r>
    </w:p>
    <w:p>
      <w:pPr>
        <w:pStyle w:val="Heading1"/>
        <w:keepNext/>
        <w:spacing w:before="0" w:after="360"/>
      </w:pPr>
      <w:r>
        <w:rPr>
          <w:rFonts w:ascii="Calibri" w:hAnsi="Calibri" w:cs="Calibri" w:eastAsia="Calibri"/>
          <w:b/>
          <w:i w:val="0"/>
          <w:color w:val="000000"/>
          <w:sz w:val="28"/>
        </w:rPr>
        <w:t>6 CANVAS: MODELO DE NEGÓCIO E PROPOSTA DE VALOR</w:t>
      </w: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6.1 Business Model Canvas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modelo de negócio é apresentado no formato Business Model Canvas (OSTERWALDER; PIGNEUR, 2011), com os nove blocos preenchidos. A leitura recomendada começa pela Proposta de Valor, passa pelos Segmentos de Clientes e Fontes de Receita e fecha com Recursos, Atividades, Parcerias e Estrutura de Custos.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Figura 1 — Business Model Canvas do Yotakes.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1757"/>
        <w:gridCol w:w="2041"/>
        <w:gridCol w:w="1757"/>
        <w:gridCol w:w="1757"/>
      </w:tblGrid>
      <w:tr>
        <w:tc>
          <w:tcPr>
            <w:tcW w:type="dxa" w:w="1757"/>
            <w:vMerge w:val="restart"/>
            <w:shd w:val="clear" w:color="auto" w:fill="F6F1E6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PARCERIAS PRINCIPAIS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Restaurantes de São Paulo (clientes B2B e fonte de conteúdo).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Food creators e chefs com presença em Instagram/TikTok.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Mídia editorial gastronômica (Folha Paladar, Veja Comer &amp; Beber, Estadão Paladar).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Infraestrutura: Supabase, Vercel, Google Places API, provedor de IA.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FIAP e ecossistema acadêmico.</w:t>
            </w:r>
          </w:p>
        </w:tc>
        <w:tc>
          <w:tcPr>
            <w:tcW w:type="dxa" w:w="1757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ATIVIDADES-CHAVE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Desenvolvimento e operação da plataforma (Next.js + Supabase).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Nota ponderada e motor de descoberta por afinidade.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Curadoria editorial do conteúdo da comunidade.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Aquisição orgânica: convites, QR nos parceiros, mecânicas virais.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Vendas e sucesso do Restaurante Parceiro.</w:t>
            </w:r>
          </w:p>
        </w:tc>
        <w:tc>
          <w:tcPr>
            <w:tcW w:type="dxa" w:w="2041"/>
            <w:vMerge w:val="restart"/>
            <w:shd w:val="clear" w:color="auto" w:fill="FBE3DF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PROPOSTA DE VALOR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Para a Júlia: um lugar onde a nota significa algo e o histórico constrói uma identidade gastronômica.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Comunidade real, sem incentivo comercial: ninguém é pago para avaliar.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Nota de 0 a 5 com meias, ponderada por recência, tempo de casa, consistência e rede.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Descoberta pela voz de quem você confia, não de quem pagou para aparecer.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Experiência editorial que transforma cada avaliação em micro-resenha.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Para o restaurante: inteligência de público e análise de avaliações por IA, com visibilidade que não toca na nota.</w:t>
            </w:r>
          </w:p>
        </w:tc>
        <w:tc>
          <w:tcPr>
            <w:tcW w:type="dxa" w:w="1757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RELACIONAMENTO COM CLIENTES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Comunidade self-service aberta, com beta fechado por convite no início.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Mecânicas sociais nativas: seguir, comparar paladar, listas compartilháveis.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Curadoria editorial e newsletter (Takes da Semana).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Gamificação leve: selos, conquistas, retrospectiva anual.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Painel e suporte dedicado ao Restaurante Parceiro.</w:t>
            </w:r>
          </w:p>
        </w:tc>
        <w:tc>
          <w:tcPr>
            <w:tcW w:type="dxa" w:w="1757"/>
            <w:vMerge w:val="restart"/>
            <w:shd w:val="clear" w:color="auto" w:fill="F6F1E6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SEGMENTOS DE CLIENTES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B2C primário: foodies urbanos de 22 a 40 anos, classes A/B, São Paulo, comem fora 2x+/semana (a Júlia).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B2C secundário: quem já registra experiências nas redes e desconfia das notas do Google/iFood.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B2B: restaurantes médios e premium de São Paulo que querem entender e atingir público qualificado.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Expansão: outras capitais (curto prazo), plataforma global (3–5 anos).</w:t>
            </w:r>
          </w:p>
        </w:tc>
      </w:tr>
      <w:tr>
        <w:tc>
          <w:tcPr>
            <w:tcW w:type="dxa" w:w="1881"/>
            <w:vMerge/>
          </w:tcPr>
          <w:p/>
        </w:tc>
        <w:tc>
          <w:tcPr>
            <w:tcW w:type="dxa" w:w="1757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RECURSOS PRINCIPAIS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Plataforma proprietária em produção (yotakes.com).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Base de 740 restaurantes de São Paulo e grafo local.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Dataset proprietário de takes e perfis de paladar.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Marca editorial e identidade visual.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Equipe fundadora técnica, 100% bootstrap. Domínio yotakes.com.</w:t>
            </w:r>
          </w:p>
        </w:tc>
        <w:tc>
          <w:tcPr>
            <w:tcW w:type="dxa" w:w="1881"/>
            <w:vMerge/>
          </w:tcPr>
          <w:p/>
        </w:tc>
        <w:tc>
          <w:tcPr>
            <w:tcW w:type="dxa" w:w="1757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CANAIS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Web responsiva + PWA (yotakes.com); lojas de aplicativo depois do lançamento.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Compartilhamento orgânico (imagens OG de takes, listas e perfis).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QR codes nas mesas dos parceiros.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Creators, chefs e press editorial.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Redes sociais próprias.</w:t>
            </w:r>
          </w:p>
        </w:tc>
        <w:tc>
          <w:tcPr>
            <w:tcW w:type="dxa" w:w="1881"/>
            <w:vMerge/>
          </w:tcPr>
          <w:p/>
        </w:tc>
      </w:tr>
      <w:tr>
        <w:tc>
          <w:tcPr>
            <w:tcW w:type="dxa" w:w="2041"/>
            <w:gridSpan w:val="3"/>
            <w:shd w:val="clear" w:color="auto" w:fill="E9F0EC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ESTRUTURA DE CUSTOS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Infraestrutura: R$ 341/mês até 10 mil usuários; ≈ R$ 1.004/mês em 100 mil.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IA do painel do parceiro: ≈ R$ 1,40 por parceiro/mês.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Monitoramento e serviços; marketing orgânico; evento de lançamento; jurídico e LGPD.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Tempo dos fundadores (custo de oportunidade, bootstrap).</w:t>
            </w:r>
          </w:p>
        </w:tc>
        <w:tc>
          <w:tcPr>
            <w:tcW w:type="dxa" w:w="1757"/>
            <w:gridSpan w:val="2"/>
            <w:shd w:val="clear" w:color="auto" w:fill="E9F0EC"/>
          </w:tcPr>
          <w:p>
            <w:pPr>
              <w:spacing w:after="40" w:before="40"/>
              <w:jc w:val="left"/>
            </w:pPr>
            <w:r>
              <w:rPr>
                <w:b/>
              </w:rPr>
            </w: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FONTES DE RECEITA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B2C: Sous Chef R$ 9,90/mês e Chef R$ 23,90/mês (líquido de loja e imposto: R$ 7,91 e R$ 19,10).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B2B: Restaurante Parceiro (analytics + visibilidade), hipótese de R$ 199/mês.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6"/>
              </w:rPr>
              <w:t>• B2B: destaque patrocinado, ações sazonais e eventos, sempre rotulados.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80" w:after="160"/>
      </w:pPr>
      <w:r>
        <w:rPr>
          <w:rFonts w:ascii="Calibri" w:hAnsi="Calibri" w:cs="Calibri" w:eastAsia="Calibri"/>
          <w:b/>
          <w:i w:val="0"/>
          <w:color w:val="000000"/>
          <w:sz w:val="24"/>
        </w:rPr>
        <w:t>6.2 Canvas da Proposta de Valor</w:t>
      </w:r>
    </w:p>
    <w:p>
      <w:pPr>
        <w:spacing w:after="160" w:before="0" w:line="276" w:lineRule="auto"/>
        <w:ind w:firstLine="709"/>
        <w:jc w:val="both"/>
      </w:pPr>
      <w:r>
        <w:rPr>
          <w:rFonts w:ascii="Calibri" w:hAnsi="Calibri" w:cs="Calibri" w:eastAsia="Calibri"/>
          <w:b w:val="0"/>
          <w:i w:val="0"/>
          <w:sz w:val="24"/>
        </w:rPr>
        <w:t>O Value Proposition Canvas (OSTERWALDER et al., 2014) detalha o encaixe entre o perfil do cliente (tarefas, dores e ganhos) e o mapa de valor (produtos, aliviadores de dor e criadores de ganho). Como o Yotakes atende dois lados, há um canvas para a Júlia e outro para o Restaurante Parceiro.</w:t>
      </w:r>
    </w:p>
    <w:p>
      <w:pPr>
        <w:pStyle w:val="Heading3"/>
        <w:keepNext/>
        <w:spacing w:before="200" w:after="120"/>
      </w:pPr>
      <w:r>
        <w:rPr>
          <w:rFonts w:ascii="Calibri" w:hAnsi="Calibri" w:cs="Calibri" w:eastAsia="Calibri"/>
          <w:b/>
          <w:i/>
          <w:color w:val="000000"/>
          <w:sz w:val="24"/>
        </w:rPr>
        <w:t>Cliente 1 — a Júlia (B2C)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Figura 2 — Canvas da Proposta de Valor para a Júlia.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Perfil do cliente</w:t>
            </w:r>
          </w:p>
        </w:tc>
        <w:tc>
          <w:tcPr>
            <w:tcW w:type="dxa" w:w="453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Mapa de valor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TAREFAS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Decidir onde comer, hoje e no fim de semana.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Lembrar e registrar onde já foi e do que gostou.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Recomendar lugares para amigos e descobrir o que eles curtiram.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Expressar gosto e identidade nas redes.</w:t>
            </w:r>
          </w:p>
        </w:tc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PRODUTOS E SERVIÇOS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Take: nota 0–5 com meias, foto, tags e contexto.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Feed de quem você segue e descoberta por rede de confiança.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Perfil com Top 4, listas, estatísticas e diário.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Planos Sous Chef e Chef.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DORES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Nota do Google inflada e com fraude: 1 em 3 avaliações não é confiável.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Avaliação de desconhecido, sem contexto de paladar.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Instagram inspira, mas não tem nota, busca nem histórico.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Decepção em restaurante “4,8 estrelas”.</w:t>
            </w:r>
          </w:p>
        </w:tc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ALIVIADORES DE DOR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Nota ponderada por recência, tempo de casa, consistência e rede.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Avaliações de pessoas reais, com histórico visível.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Busca por cozinha, preço e bairro sobre 740 casas.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Nenhum parceiro consegue comprar nota ou avaliação.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GANHOS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Confiar na escolha e acertar mais.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Ver o próprio gosto virar identidade e memória.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Ser reconhecida pelo que recomenda.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Benefícios por ser parte da comunidade.</w:t>
            </w:r>
          </w:p>
        </w:tc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CRIADORES DE GANHO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Loop quero ir → fui → registrei.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Perfil editorial compartilhável (imagens OG).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Selos, conquistas e retrospectiva anual.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Cupons de assinante em parceiros.</w:t>
            </w:r>
          </w:p>
        </w:tc>
      </w:tr>
    </w:tbl>
    <w:p>
      <w:pPr>
        <w:spacing w:after="80"/>
      </w:pPr>
    </w:p>
    <w:p>
      <w:pPr>
        <w:pStyle w:val="Heading3"/>
        <w:keepNext/>
        <w:spacing w:before="200" w:after="120"/>
      </w:pPr>
      <w:r>
        <w:rPr>
          <w:rFonts w:ascii="Calibri" w:hAnsi="Calibri" w:cs="Calibri" w:eastAsia="Calibri"/>
          <w:b/>
          <w:i/>
          <w:color w:val="000000"/>
          <w:sz w:val="24"/>
        </w:rPr>
        <w:t>Cliente 2 — o Restaurante Parceiro (B2B)</w:t>
      </w:r>
    </w:p>
    <w:p>
      <w:pPr>
        <w:keepNext/>
        <w:spacing w:after="80" w:before="120" w:line="276" w:lineRule="auto"/>
        <w:jc w:val="center"/>
      </w:pPr>
      <w:r>
        <w:rPr>
          <w:rFonts w:ascii="Calibri" w:hAnsi="Calibri" w:cs="Calibri" w:eastAsia="Calibri"/>
          <w:b w:val="0"/>
          <w:i/>
          <w:color w:val="555555"/>
          <w:sz w:val="20"/>
        </w:rPr>
        <w:t>Figura 3 — Canvas da Proposta de Valor para o Restaurante Parceiro.</w:t>
      </w:r>
    </w:p>
    <w:tbl>
      <w:tblPr>
        <w:tblStyle w:val="TableGrid"/>
        <w:tblW w:type="dxa" w:w="9072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Perfil do cliente</w:t>
            </w:r>
          </w:p>
        </w:tc>
        <w:tc>
          <w:tcPr>
            <w:tcW w:type="dxa" w:w="4535"/>
            <w:shd w:val="clear" w:color="auto" w:fill="1F4D40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</w:rPr>
              <w:t>Mapa de valor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TAREFAS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Encher a casa nos dias fracos e atrair público novo.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Entender o que os clientes acham e por que voltam ou não.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Gerir reputação em várias plataformas.</w:t>
            </w:r>
          </w:p>
        </w:tc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PRODUTOS E SERVIÇOS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Yotakes Analytics: nota, evolução, ranking na região, perfis de clientes.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Leitura por IA das avaliações: temas, sentimento, comparação com a rua.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Visibilidade patrocinada, ações sazonais, cupons e eventos.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DORES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Paga por visibilidade no iFood e no Google sem saber quem é o cliente.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Avaliação anônima e sem histórico não ajuda a agir.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Ferramentas de reputação custam US$ 89 a US$ 449/mês.</w:t>
            </w:r>
          </w:p>
        </w:tc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ALIVIADORES DE DOR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Quem avaliou, com que frequência come fora e onde mais vai.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Reclamação isolada vira padrão e vira oportunidade acionável.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Preço ancorado abaixo das ferramentas de reputação.</w:t>
            </w:r>
          </w:p>
        </w:tc>
      </w:tr>
      <w:tr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GANHOS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Decidir operação com dado (ex.: espera no pico).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Público qualificado que come fora 2x+/semana.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Credibilidade: a nota não está à venda.</w:t>
            </w:r>
          </w:p>
        </w:tc>
        <w:tc>
          <w:tcPr>
            <w:tcW w:type="dxa" w:w="4535"/>
          </w:tcPr>
          <w:p>
            <w:pPr>
              <w:spacing w:after="40" w:before="40"/>
              <w:jc w:val="left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CRIADORES DE GANHO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Insight semanal escrito em linguagem de negócio.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Destaque no bairro, sempre rotulado.</w:t>
            </w:r>
          </w:p>
          <w:p>
            <w:pPr>
              <w:spacing w:after="40" w:before="40"/>
              <w:jc w:val="left"/>
            </w:pPr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• Selo e evento que geram takes no dia.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i w:val="0"/>
        <w:color w:val="555555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