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Gabriel Gino Jorge Dallape - RM94862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Ronaldo Otsuka Ribeiro Mira - RM95595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Mikael Pocker Fonseca - RM95564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79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-tom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4"/>
        </w:rPr>
        <w:t>Suas críticas. Seu paladar. Seu guia.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/>
          <w:i w:val="0"/>
          <w:sz w:val="32"/>
        </w:rPr>
        <w:t>Road map</w:t>
      </w: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Documento 8 de 12 · Plano de negócio da startup Yotakes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2"/>
        </w:rPr>
        <w:t>Business Intelligence &amp; Startup Development — Entrega final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2"/>
        </w:rPr>
        <w:t>Trabalho de Conclusão de Curso apresentado à FIAP para a obtenção do título de Engenheiro de Computação.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color w:val="555555"/>
          <w:sz w:val="22"/>
        </w:rPr>
        <w:t>Grupo 3 · Engenharia da Computação · Design por Tatiane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São Paulo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0" w:after="360"/>
      </w:pPr>
      <w:r>
        <w:rPr>
          <w:rFonts w:ascii="Calibri" w:hAnsi="Calibri" w:cs="Calibri" w:eastAsia="Calibri"/>
          <w:b/>
          <w:i w:val="0"/>
          <w:color w:val="000000"/>
          <w:sz w:val="28"/>
        </w:rPr>
        <w:t>8 ROAD MAP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De onde viemos, para onde vamos. O road map organiza o próximo ano em quatro fases, cada uma com entregas e metas mensuráveis. As datas são as do pitch; as metas numéricas são as mesmas que alimentam a projeção financeira do capítulo 9.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13 — Road map de janeiro de 2026 a outubro de 2027.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587"/>
        <w:gridCol w:w="3402"/>
        <w:gridCol w:w="2268"/>
      </w:tblGrid>
      <w:tr>
        <w:tc>
          <w:tcPr>
            <w:tcW w:type="dxa" w:w="1814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1587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Quando</w:t>
            </w:r>
          </w:p>
        </w:tc>
        <w:tc>
          <w:tcPr>
            <w:tcW w:type="dxa" w:w="3402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Entregas</w:t>
            </w:r>
          </w:p>
        </w:tc>
        <w:tc>
          <w:tcPr>
            <w:tcW w:type="dxa" w:w="2268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Metas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Feito — MVP construído</w:t>
            </w:r>
          </w:p>
        </w:tc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Janeiro de 2026</w:t>
            </w:r>
          </w:p>
        </w:tc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App web em produção; 740 restaurantes de São Paulo; takes, listas, perfil, feed, descoberta; identidade visual implementada do Figma; deck e memória de precificação.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MVP estável em produção. Cumprido.</w:t>
            </w:r>
          </w:p>
        </w:tc>
      </w:tr>
      <w:tr>
        <w:tc>
          <w:tcPr>
            <w:tcW w:type="dxa" w:w="181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Agora — Beta fechado</w:t>
            </w:r>
          </w:p>
        </w:tc>
        <w:tc>
          <w:tcPr>
            <w:tcW w:type="dxa" w:w="158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Novembro de 2026 a janeiro de 2027</w:t>
            </w:r>
          </w:p>
        </w:tc>
        <w:tc>
          <w:tcPr>
            <w:tcW w:type="dxa" w:w="340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Primeira rodada de convites (chefs, creators, jornalistas e amigos); aplicação do questionário; nota ponderada em produção; instrumentação de retenção (PostHog); termos de uso e política de privacidade.</w:t>
            </w:r>
          </w:p>
        </w:tc>
        <w:tc>
          <w:tcPr>
            <w:tcW w:type="dxa" w:w="2268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300 → 800 usuários ativos; ≥ 50 respostas no questionário; retenção D30 ≥ 30%; 5 restaurantes piloto com acesso ao painel.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Próximo — Lançamento público</w:t>
            </w:r>
          </w:p>
        </w:tc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Fevereiro de 2027</w:t>
            </w:r>
          </w:p>
        </w:tc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Cadastro aberto; evento de lançamento em parceiro; QR nos parceiros; redes sociais e press editorial; listas compartilháveis e retrospectiva.</w:t>
            </w:r>
          </w:p>
        </w:tc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2.000 usuários ativos no mês de lançamento; 3 matérias em veículos gastronômicos; NPS ≥ 40.</w:t>
            </w:r>
          </w:p>
        </w:tc>
      </w:tr>
      <w:tr>
        <w:tc>
          <w:tcPr>
            <w:tcW w:type="dxa" w:w="181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Futuro — Escala e monetização</w:t>
            </w:r>
          </w:p>
        </w:tc>
        <w:tc>
          <w:tcPr>
            <w:tcW w:type="dxa" w:w="158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 partir de março de 2027</w:t>
            </w:r>
          </w:p>
        </w:tc>
        <w:tc>
          <w:tcPr>
            <w:tcW w:type="dxa" w:w="340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Cobrança dos planos Sous Chef e Chef; painel do Restaurante Parceiro com leitura por IA; destaque patrocinado rotulado; apps nas lojas; teste de preço (Van Westendorp / A/B); expansão para a segunda capital.</w:t>
            </w:r>
          </w:p>
        </w:tc>
        <w:tc>
          <w:tcPr>
            <w:tcW w:type="dxa" w:w="2268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10.000 usuários ativos em outubro de 2027; 20 parceiros pagantes; conversão ≥ 2,25% para planos pagos; resultado mensal positivo a partir de Abr/2027.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8.1 Marcos trimestrais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14 — Marcos por trimestre.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8.2 Cronograma mensal por frente de trabalho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cronograma abaixo detalha as quatro fases mês a mês, em cinco frentes. A coluna de usuários ativos é a mesma que alimenta a projeção financeira.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15 — Cronograma de novembro de 2026 a outubro de 2027.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963"/>
        <w:gridCol w:w="2381"/>
        <w:gridCol w:w="2211"/>
        <w:gridCol w:w="1644"/>
        <w:gridCol w:w="1077"/>
        <w:gridCol w:w="793"/>
      </w:tblGrid>
      <w:tr>
        <w:tc>
          <w:tcPr>
            <w:tcW w:type="dxa" w:w="964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Mês</w:t>
            </w:r>
          </w:p>
        </w:tc>
        <w:tc>
          <w:tcPr>
            <w:tcW w:type="dxa" w:w="2381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Produto</w:t>
            </w:r>
          </w:p>
        </w:tc>
        <w:tc>
          <w:tcPr>
            <w:tcW w:type="dxa" w:w="2211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Comunidade e marketing</w:t>
            </w:r>
          </w:p>
        </w:tc>
        <w:tc>
          <w:tcPr>
            <w:tcW w:type="dxa" w:w="1644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Parceiros (B2B)</w:t>
            </w:r>
          </w:p>
        </w:tc>
        <w:tc>
          <w:tcPr>
            <w:tcW w:type="dxa" w:w="1077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Receita</w:t>
            </w:r>
          </w:p>
        </w:tc>
        <w:tc>
          <w:tcPr>
            <w:tcW w:type="dxa" w:w="794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</w:rPr>
              <w:t>Usuários ativos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Nov/2026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Nota ponderada; funis no PostHog; convites em grupo</w:t>
            </w:r>
          </w:p>
        </w:tc>
        <w:tc>
          <w:tcPr>
            <w:tcW w:type="dxa" w:w="221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1ª rodada de convites; redes sociais no ar; questionário em campo</w:t>
            </w:r>
          </w:p>
        </w:tc>
        <w:tc>
          <w:tcPr>
            <w:tcW w:type="dxa" w:w="164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Abordagem de 10 casas; 3 pilotos confirmados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300</w:t>
            </w:r>
          </w:p>
        </w:tc>
      </w:tr>
      <w:tr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Dez/2026</w:t>
            </w:r>
          </w:p>
        </w:tc>
        <w:tc>
          <w:tcPr>
            <w:tcW w:type="dxa" w:w="238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Importação de contatos; dica da meia estrela; ajustes do teste</w:t>
            </w:r>
          </w:p>
        </w:tc>
        <w:tc>
          <w:tcPr>
            <w:tcW w:type="dxa" w:w="221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2ª rodada de convites; Takes da Semana</w:t>
            </w:r>
          </w:p>
        </w:tc>
        <w:tc>
          <w:tcPr>
            <w:tcW w:type="dxa" w:w="164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Pilotos recebem relatório manual mensal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500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Jan/2027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Protótipo do painel do parceiro (dados agregados)</w:t>
            </w:r>
          </w:p>
        </w:tc>
        <w:tc>
          <w:tcPr>
            <w:tcW w:type="dxa" w:w="221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Lista de espera; teaser do lançamento; press kit</w:t>
            </w:r>
          </w:p>
        </w:tc>
        <w:tc>
          <w:tcPr>
            <w:tcW w:type="dxa" w:w="164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5 pilotos ativos; entrevistas de saída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800</w:t>
            </w:r>
          </w:p>
        </w:tc>
      </w:tr>
      <w:tr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Fev/2027</w:t>
            </w:r>
          </w:p>
        </w:tc>
        <w:tc>
          <w:tcPr>
            <w:tcW w:type="dxa" w:w="238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Cadastro aberto; retrospectiva; listas compartilháveis</w:t>
            </w:r>
          </w:p>
        </w:tc>
        <w:tc>
          <w:tcPr>
            <w:tcW w:type="dxa" w:w="221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Evento de lançamento; QR nos parceiros; 3 matérias</w:t>
            </w:r>
          </w:p>
        </w:tc>
        <w:tc>
          <w:tcPr>
            <w:tcW w:type="dxa" w:w="164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Proposta comercial e contrato padrão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2.000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Mar/2027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Cobrança Sous Chef e Chef; painel do parceiro v1 com IA</w:t>
            </w:r>
          </w:p>
        </w:tc>
        <w:tc>
          <w:tcPr>
            <w:tcW w:type="dxa" w:w="221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Campanha de assinatura; cupons dos parceiros</w:t>
            </w:r>
          </w:p>
        </w:tc>
        <w:tc>
          <w:tcPr>
            <w:tcW w:type="dxa" w:w="164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2 parceiros pagantes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Início B2C e B2B</w:t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3.000</w:t>
            </w:r>
          </w:p>
        </w:tc>
      </w:tr>
      <w:tr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Abr/2027</w:t>
            </w:r>
          </w:p>
        </w:tc>
        <w:tc>
          <w:tcPr>
            <w:tcW w:type="dxa" w:w="238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Destaque patrocinado rotulado; teste de preço no ar</w:t>
            </w:r>
          </w:p>
        </w:tc>
        <w:tc>
          <w:tcPr>
            <w:tcW w:type="dxa" w:w="221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Restaurant Week: lista interativa</w:t>
            </w:r>
          </w:p>
        </w:tc>
        <w:tc>
          <w:tcPr>
            <w:tcW w:type="dxa" w:w="164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4 parceiros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Resultado mensal positivo</w:t>
            </w:r>
          </w:p>
        </w:tc>
        <w:tc>
          <w:tcPr>
            <w:tcW w:type="dxa" w:w="79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4.000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Mai/2027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Apps nas lojas (build do PWA)</w:t>
            </w:r>
          </w:p>
        </w:tc>
        <w:tc>
          <w:tcPr>
            <w:tcW w:type="dxa" w:w="221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Creators e embaixadores por bairro</w:t>
            </w:r>
          </w:p>
        </w:tc>
        <w:tc>
          <w:tcPr>
            <w:tcW w:type="dxa" w:w="164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6 parceiros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5.000</w:t>
            </w:r>
          </w:p>
        </w:tc>
      </w:tr>
      <w:tr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Jun/2027</w:t>
            </w:r>
          </w:p>
        </w:tc>
        <w:tc>
          <w:tcPr>
            <w:tcW w:type="dxa" w:w="238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Comparação de paladar entre amigos</w:t>
            </w:r>
          </w:p>
        </w:tc>
        <w:tc>
          <w:tcPr>
            <w:tcW w:type="dxa" w:w="221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Dia dos Namorados: selo e ação sazonal</w:t>
            </w:r>
          </w:p>
        </w:tc>
        <w:tc>
          <w:tcPr>
            <w:tcW w:type="dxa" w:w="164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8 parceiros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Teste de preço concluído</w:t>
            </w:r>
          </w:p>
        </w:tc>
        <w:tc>
          <w:tcPr>
            <w:tcW w:type="dxa" w:w="79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6.000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Jul/2027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Recomendação por afinidade v2</w:t>
            </w:r>
          </w:p>
        </w:tc>
        <w:tc>
          <w:tcPr>
            <w:tcW w:type="dxa" w:w="221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Dia da Pizza; retrospectiva semestral</w:t>
            </w:r>
          </w:p>
        </w:tc>
        <w:tc>
          <w:tcPr>
            <w:tcW w:type="dxa" w:w="164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10 parceiros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7.000</w:t>
            </w:r>
          </w:p>
        </w:tc>
      </w:tr>
      <w:tr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Ago/2027</w:t>
            </w:r>
          </w:p>
        </w:tc>
        <w:tc>
          <w:tcPr>
            <w:tcW w:type="dxa" w:w="238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Painel do parceiro v2: comparação com a região</w:t>
            </w:r>
          </w:p>
        </w:tc>
        <w:tc>
          <w:tcPr>
            <w:tcW w:type="dxa" w:w="221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Piloto da 2ª capital (Belo Horizonte ou Curitiba)</w:t>
            </w:r>
          </w:p>
        </w:tc>
        <w:tc>
          <w:tcPr>
            <w:tcW w:type="dxa" w:w="164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13 parceiros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8.000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Set/2027</w:t>
            </w:r>
          </w:p>
        </w:tc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Importação de restaurantes da 2ª capital</w:t>
            </w:r>
          </w:p>
        </w:tc>
        <w:tc>
          <w:tcPr>
            <w:tcW w:type="dxa" w:w="221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Embaixadores na 2ª capital</w:t>
            </w:r>
          </w:p>
        </w:tc>
        <w:tc>
          <w:tcPr>
            <w:tcW w:type="dxa" w:w="164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16 parceiros</w:t>
            </w:r>
          </w:p>
        </w:tc>
        <w:tc>
          <w:tcPr>
            <w:tcW w:type="dxa" w:w="107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Caixa acumulado positivo</w:t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9.000</w:t>
            </w:r>
          </w:p>
        </w:tc>
      </w:tr>
      <w:tr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Out/2027</w:t>
            </w:r>
          </w:p>
        </w:tc>
        <w:tc>
          <w:tcPr>
            <w:tcW w:type="dxa" w:w="238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Newsletter editorial com parceiros verificados</w:t>
            </w:r>
          </w:p>
        </w:tc>
        <w:tc>
          <w:tcPr>
            <w:tcW w:type="dxa" w:w="221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Retrospectiva anual; aniversário do beta</w:t>
            </w:r>
          </w:p>
        </w:tc>
        <w:tc>
          <w:tcPr>
            <w:tcW w:type="dxa" w:w="164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20 parceiros</w:t>
            </w:r>
          </w:p>
        </w:tc>
        <w:tc>
          <w:tcPr>
            <w:tcW w:type="dxa" w:w="107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9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10.000</w:t>
            </w:r>
          </w:p>
        </w:tc>
      </w:tr>
    </w:tbl>
    <w:p>
      <w:pPr>
        <w:spacing w:after="80"/>
      </w:pP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1"/>
      </w:tblGrid>
      <w:tr>
        <w:tc>
          <w:tcPr>
            <w:tcW w:type="dxa" w:w="1701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Trimestre</w:t>
            </w:r>
          </w:p>
        </w:tc>
        <w:tc>
          <w:tcPr>
            <w:tcW w:type="dxa" w:w="7370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Marco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4º tri 2026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Beta fechado no ar; convites enviados; questionário em campo; nota ponderada publicada.</w:t>
            </w:r>
          </w:p>
        </w:tc>
      </w:tr>
      <w:tr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1º tri 2027</w:t>
            </w:r>
          </w:p>
        </w:tc>
        <w:tc>
          <w:tcPr>
            <w:tcW w:type="dxa" w:w="7370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Lançamento público (fevereiro); evento com parceiro; início da cobrança (março); primeiros parceiros pagantes.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2º tri 2027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Apps nas lojas; teste de preço concluído; 8 parceiros; 6.000 usuários ativos.</w:t>
            </w:r>
          </w:p>
        </w:tc>
      </w:tr>
      <w:tr>
        <w:tc>
          <w:tcPr>
            <w:tcW w:type="dxa" w:w="170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3º tri 2027</w:t>
            </w:r>
          </w:p>
        </w:tc>
        <w:tc>
          <w:tcPr>
            <w:tcW w:type="dxa" w:w="7370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Segunda capital em piloto; 16 parceiros; 9.000 usuários ativos; caixa mensal positivo consolidado.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i w:val="0"/>
        <w:color w:val="555555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