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Gabriel Gino Jorge Dallape - RM94862</w:t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Ronaldo Otsuka Ribeiro Mira - RM95595</w:t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Mikael Pocker Fonseca - RM95564</w:t>
      </w: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5792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mark-tom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79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/>
          <w:sz w:val="24"/>
        </w:rPr>
        <w:t>Suas críticas. Seu paladar. Seu guia.</w:t>
      </w: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80" w:before="0" w:line="276" w:lineRule="auto"/>
        <w:jc w:val="center"/>
      </w:pPr>
      <w:r>
        <w:rPr>
          <w:rFonts w:ascii="Calibri" w:hAnsi="Calibri" w:cs="Calibri" w:eastAsia="Calibri"/>
          <w:b/>
          <w:i w:val="0"/>
          <w:sz w:val="32"/>
        </w:rPr>
        <w:t>Planilha financeira</w:t>
      </w:r>
    </w:p>
    <w:p>
      <w:pPr>
        <w:spacing w:after="8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Documento 9 de 12 · Plano de negócio da startup Yotakes</w:t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/>
          <w:sz w:val="22"/>
        </w:rPr>
        <w:t>Business Intelligence &amp; Startup Development — Entrega final</w:t>
      </w: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2"/>
        </w:rPr>
        <w:t>Trabalho de Conclusão de Curso apresentado à FIAP para a obtenção do título de Engenheiro de Computação.</w:t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color w:val="555555"/>
          <w:sz w:val="22"/>
        </w:rPr>
        <w:t>Grupo 3 · Engenharia da Computação · Design por Tatiane</w:t>
      </w: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São Paulo</w:t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2026</w:t>
      </w:r>
    </w:p>
    <w:p>
      <w:r>
        <w:br w:type="page"/>
      </w:r>
    </w:p>
    <w:p>
      <w:pPr>
        <w:pStyle w:val="Heading1"/>
        <w:keepNext/>
        <w:spacing w:before="0" w:after="360"/>
      </w:pPr>
      <w:r>
        <w:rPr>
          <w:rFonts w:ascii="Calibri" w:hAnsi="Calibri" w:cs="Calibri" w:eastAsia="Calibri"/>
          <w:b/>
          <w:i w:val="0"/>
          <w:color w:val="000000"/>
          <w:sz w:val="28"/>
        </w:rPr>
        <w:t>9 PLANILHA FINANCEIRA</w:t>
      </w:r>
    </w:p>
    <w:p>
      <w:pPr>
        <w:spacing w:after="160" w:before="0" w:line="276" w:lineRule="auto"/>
        <w:ind w:firstLine="709"/>
        <w:jc w:val="both"/>
      </w:pPr>
      <w:r>
        <w:rPr>
          <w:rFonts w:ascii="Calibri" w:hAnsi="Calibri" w:cs="Calibri" w:eastAsia="Calibri"/>
          <w:b w:val="0"/>
          <w:i w:val="0"/>
          <w:sz w:val="24"/>
        </w:rPr>
        <w:t>Este capítulo resume a planilha “Planilha Financeira - Yotakes.xlsx”, entregue junto com este documento e gerada pelo mesmo modelo: premissas, receita líquida por assinante, custo de infraestrutura, ponto de equilíbrio e projeção de 12 meses do beta fechado ao primeiro ano de operação. A planilha é viva — toda célula de saída é fórmula sobre a aba Premissas — para que a banca possa mexer em qualquer número e ver o efeito. Preços e custos seguem a memória de cálculo do deck, levantada em 15/09/2026 com câmbio de R$ 5,15 por dólar.</w:t>
      </w:r>
    </w:p>
    <w:p>
      <w:pPr>
        <w:pStyle w:val="Heading2"/>
        <w:keepNext/>
        <w:spacing w:before="280" w:after="160"/>
      </w:pPr>
      <w:r>
        <w:rPr>
          <w:rFonts w:ascii="Calibri" w:hAnsi="Calibri" w:cs="Calibri" w:eastAsia="Calibri"/>
          <w:b/>
          <w:i w:val="0"/>
          <w:color w:val="000000"/>
          <w:sz w:val="24"/>
        </w:rPr>
        <w:t>9.1 Premissas</w:t>
      </w:r>
    </w:p>
    <w:p>
      <w:pPr>
        <w:keepNext/>
        <w:spacing w:after="80" w:before="120" w:line="276" w:lineRule="auto"/>
        <w:jc w:val="center"/>
      </w:pPr>
      <w:r>
        <w:rPr>
          <w:rFonts w:ascii="Calibri" w:hAnsi="Calibri" w:cs="Calibri" w:eastAsia="Calibri"/>
          <w:b w:val="0"/>
          <w:i/>
          <w:color w:val="555555"/>
          <w:sz w:val="20"/>
        </w:rPr>
        <w:t>Tabela 16 — Premissas do modelo (aba Premissas da planilha).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1474"/>
        <w:gridCol w:w="4082"/>
      </w:tblGrid>
      <w:tr>
        <w:tc>
          <w:tcPr>
            <w:tcW w:type="dxa" w:w="3515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Premissa</w:t>
            </w:r>
          </w:p>
        </w:tc>
        <w:tc>
          <w:tcPr>
            <w:tcW w:type="dxa" w:w="1474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Valor</w:t>
            </w:r>
          </w:p>
        </w:tc>
        <w:tc>
          <w:tcPr>
            <w:tcW w:type="dxa" w:w="4082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Nota</w:t>
            </w:r>
          </w:p>
        </w:tc>
      </w:tr>
      <w:tr>
        <w:tc>
          <w:tcPr>
            <w:tcW w:type="dxa" w:w="3515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Preço Sous Chef (R$/mês)</w:t>
            </w:r>
          </w:p>
        </w:tc>
        <w:tc>
          <w:tcPr>
            <w:tcW w:type="dxa" w:w="147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R$ 9,90</w:t>
            </w:r>
          </w:p>
        </w:tc>
        <w:tc>
          <w:tcPr>
            <w:tcW w:type="dxa" w:w="4082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Logo acima do Letterboxd Pro (US$ 19/ano ≈ R$ 8,15/mês).</w:t>
            </w:r>
          </w:p>
        </w:tc>
      </w:tr>
      <w:tr>
        <w:tc>
          <w:tcPr>
            <w:tcW w:type="dxa" w:w="3515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Preço Chef (R$/mês)</w:t>
            </w:r>
          </w:p>
        </w:tc>
        <w:tc>
          <w:tcPr>
            <w:tcW w:type="dxa" w:w="147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R$ 23,90</w:t>
            </w:r>
          </w:p>
        </w:tc>
        <w:tc>
          <w:tcPr>
            <w:tcW w:type="dxa" w:w="4082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Igual ao Spotify Individual no Brasil; logo acima do Letterboxd Patron (≈ R$ 21,03/mês).</w:t>
            </w:r>
          </w:p>
        </w:tc>
      </w:tr>
      <w:tr>
        <w:tc>
          <w:tcPr>
            <w:tcW w:type="dxa" w:w="3515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Preço Restaurante Parceiro — Analytics (R$/mês)</w:t>
            </w:r>
          </w:p>
        </w:tc>
        <w:tc>
          <w:tcPr>
            <w:tcW w:type="dxa" w:w="147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R$ 199,00</w:t>
            </w:r>
          </w:p>
        </w:tc>
        <w:tc>
          <w:tcPr>
            <w:tcW w:type="dxa" w:w="4082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Hipótese. Abaixo do ReviewTrackers (a partir de US$ 89 ≈ R$ 458/mês) e muito abaixo do Birdeye (US$ 299–449). A validar com os pilotos.</w:t>
            </w:r>
          </w:p>
        </w:tc>
      </w:tr>
      <w:tr>
        <w:tc>
          <w:tcPr>
            <w:tcW w:type="dxa" w:w="3515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Taxa das lojas de aplicativo (B2C)</w:t>
            </w:r>
          </w:p>
        </w:tc>
        <w:tc>
          <w:tcPr>
            <w:tcW w:type="dxa" w:w="147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15,%</w:t>
            </w:r>
          </w:p>
        </w:tc>
        <w:tc>
          <w:tcPr>
            <w:tcW w:type="dxa" w:w="4082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App Store / Google Play, Small Business Program (receita anual &lt; US$ 1 mi).</w:t>
            </w:r>
          </w:p>
        </w:tc>
      </w:tr>
      <w:tr>
        <w:tc>
          <w:tcPr>
            <w:tcW w:type="dxa" w:w="3515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Imposto sobre receita (Simples Nacional, faixa inicial)</w:t>
            </w:r>
          </w:p>
        </w:tc>
        <w:tc>
          <w:tcPr>
            <w:tcW w:type="dxa" w:w="147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6,%</w:t>
            </w:r>
          </w:p>
        </w:tc>
        <w:tc>
          <w:tcPr>
            <w:tcW w:type="dxa" w:w="4082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3515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Conversão para Sous Chef (% dos usuários ativos)</w:t>
            </w:r>
          </w:p>
        </w:tc>
        <w:tc>
          <w:tcPr>
            <w:tcW w:type="dxa" w:w="147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1,5%</w:t>
            </w:r>
          </w:p>
        </w:tc>
        <w:tc>
          <w:tcPr>
            <w:tcW w:type="dxa" w:w="4082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Conservador: o Letterboxd converte ~5% para planos pagos.</w:t>
            </w:r>
          </w:p>
        </w:tc>
      </w:tr>
      <w:tr>
        <w:tc>
          <w:tcPr>
            <w:tcW w:type="dxa" w:w="3515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Conversão para Chef (% dos usuários ativos)</w:t>
            </w:r>
          </w:p>
        </w:tc>
        <w:tc>
          <w:tcPr>
            <w:tcW w:type="dxa" w:w="147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0,75%</w:t>
            </w:r>
          </w:p>
        </w:tc>
        <w:tc>
          <w:tcPr>
            <w:tcW w:type="dxa" w:w="4082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3515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Infraestrutura básica até 10 mil usuários (R$/mês)</w:t>
            </w:r>
          </w:p>
        </w:tc>
        <w:tc>
          <w:tcPr>
            <w:tcW w:type="dxa" w:w="147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R$ 341,00</w:t>
            </w:r>
          </w:p>
        </w:tc>
        <w:tc>
          <w:tcPr>
            <w:tcW w:type="dxa" w:w="4082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Banco + auth, hospedagem + CDN, e-mail transacional, mídia, domínio. Detalhe na aba Infraestrutura.</w:t>
            </w:r>
          </w:p>
        </w:tc>
      </w:tr>
      <w:tr>
        <w:tc>
          <w:tcPr>
            <w:tcW w:type="dxa" w:w="3515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Infraestrutura por usuário acima de 10 mil (R$/usuário/mês)</w:t>
            </w:r>
          </w:p>
        </w:tc>
        <w:tc>
          <w:tcPr>
            <w:tcW w:type="dxa" w:w="147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R$ 0,0074</w:t>
            </w:r>
          </w:p>
        </w:tc>
        <w:tc>
          <w:tcPr>
            <w:tcW w:type="dxa" w:w="4082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Interpolação entre o cenário de 10 mil (R$ 341) e o de 100 mil (R$ 1.004).</w:t>
            </w:r>
          </w:p>
        </w:tc>
      </w:tr>
      <w:tr>
        <w:tc>
          <w:tcPr>
            <w:tcW w:type="dxa" w:w="3515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IA do painel do parceiro (R$/parceiro/mês)</w:t>
            </w:r>
          </w:p>
        </w:tc>
        <w:tc>
          <w:tcPr>
            <w:tcW w:type="dxa" w:w="147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R$ 1,40</w:t>
            </w:r>
          </w:p>
        </w:tc>
        <w:tc>
          <w:tcPr>
            <w:tcW w:type="dxa" w:w="4082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Modelo pequeno em lote semanal: ~US$ 0,0675 por análise × 4 semanas.</w:t>
            </w:r>
          </w:p>
        </w:tc>
      </w:tr>
      <w:tr>
        <w:tc>
          <w:tcPr>
            <w:tcW w:type="dxa" w:w="3515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Monitoramento e serviços após o lançamento (R$/mês)</w:t>
            </w:r>
          </w:p>
        </w:tc>
        <w:tc>
          <w:tcPr>
            <w:tcW w:type="dxa" w:w="147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R$ 260,00</w:t>
            </w:r>
          </w:p>
        </w:tc>
        <w:tc>
          <w:tcPr>
            <w:tcW w:type="dxa" w:w="4082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Observabilidade, e-mail acima da franquia, backups. Leva a infra à faixa de R$ 600 do deck.</w:t>
            </w:r>
          </w:p>
        </w:tc>
      </w:tr>
      <w:tr>
        <w:tc>
          <w:tcPr>
            <w:tcW w:type="dxa" w:w="3515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Marketing no beta fechado (R$/mês)</w:t>
            </w:r>
          </w:p>
        </w:tc>
        <w:tc>
          <w:tcPr>
            <w:tcW w:type="dxa" w:w="147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R$ 300,00</w:t>
            </w:r>
          </w:p>
        </w:tc>
        <w:tc>
          <w:tcPr>
            <w:tcW w:type="dxa" w:w="4082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Material para convites, brindes para os primeiros avaliadores.</w:t>
            </w:r>
          </w:p>
        </w:tc>
      </w:tr>
      <w:tr>
        <w:tc>
          <w:tcPr>
            <w:tcW w:type="dxa" w:w="3515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Marketing após o lançamento (R$/mês)</w:t>
            </w:r>
          </w:p>
        </w:tc>
        <w:tc>
          <w:tcPr>
            <w:tcW w:type="dxa" w:w="147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R$ 1.000,00</w:t>
            </w:r>
          </w:p>
        </w:tc>
        <w:tc>
          <w:tcPr>
            <w:tcW w:type="dxa" w:w="4082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Conteúdo, ativações com creators, QR codes nos parceiros. Sem mídia paga.</w:t>
            </w:r>
          </w:p>
        </w:tc>
      </w:tr>
      <w:tr>
        <w:tc>
          <w:tcPr>
            <w:tcW w:type="dxa" w:w="3515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Evento de lançamento (R$, pontual)</w:t>
            </w:r>
          </w:p>
        </w:tc>
        <w:tc>
          <w:tcPr>
            <w:tcW w:type="dxa" w:w="147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R$ 3.000,00</w:t>
            </w:r>
          </w:p>
        </w:tc>
        <w:tc>
          <w:tcPr>
            <w:tcW w:type="dxa" w:w="4082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Lançamento oficial em restaurante parceiro, com menu exclusivo.</w:t>
            </w:r>
          </w:p>
        </w:tc>
      </w:tr>
      <w:tr>
        <w:tc>
          <w:tcPr>
            <w:tcW w:type="dxa" w:w="3515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Jurídico e LGPD (R$, pontual)</w:t>
            </w:r>
          </w:p>
        </w:tc>
        <w:tc>
          <w:tcPr>
            <w:tcW w:type="dxa" w:w="147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R$ 2.000,00</w:t>
            </w:r>
          </w:p>
        </w:tc>
        <w:tc>
          <w:tcPr>
            <w:tcW w:type="dxa" w:w="4082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Termos de uso, política de privacidade e contrato padrão B2B.</w:t>
            </w:r>
          </w:p>
        </w:tc>
      </w:tr>
      <w:tr>
        <w:tc>
          <w:tcPr>
            <w:tcW w:type="dxa" w:w="3515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Câmbio de referência (R$ por US$)</w:t>
            </w:r>
          </w:p>
        </w:tc>
        <w:tc>
          <w:tcPr>
            <w:tcW w:type="dxa" w:w="147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R$ 5,15</w:t>
            </w:r>
          </w:p>
        </w:tc>
        <w:tc>
          <w:tcPr>
            <w:tcW w:type="dxa" w:w="4082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USD/BRL em 14/09/2026.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160"/>
      </w:pPr>
      <w:r>
        <w:rPr>
          <w:rFonts w:ascii="Calibri" w:hAnsi="Calibri" w:cs="Calibri" w:eastAsia="Calibri"/>
          <w:b/>
          <w:i w:val="0"/>
          <w:color w:val="000000"/>
          <w:sz w:val="24"/>
        </w:rPr>
        <w:t>9.2 Por que R$ 9,90 e R$ 23,90</w:t>
      </w:r>
    </w:p>
    <w:p>
      <w:pPr>
        <w:spacing w:after="160" w:before="0" w:line="276" w:lineRule="auto"/>
        <w:ind w:firstLine="709"/>
        <w:jc w:val="both"/>
      </w:pPr>
      <w:r>
        <w:rPr>
          <w:rFonts w:ascii="Calibri" w:hAnsi="Calibri" w:cs="Calibri" w:eastAsia="Calibri"/>
          <w:b w:val="0"/>
          <w:i w:val="0"/>
          <w:sz w:val="24"/>
        </w:rPr>
        <w:t>O preço não saiu do custo — a infraestrutura custa três centavos por usuário, então custo não define preço aqui. Saiu de duas âncoras: o que o nicho já paga lá fora (Letterboxd Pro e Patron) e o que o brasileiro já assina sem pensar (Spotify, Netflix, Duolingo). R$ 23,90 é exatamente o Spotify Individual no Brasil: o valor que o público-alvo já tem no cartão e não questiona. A régua justifica a faixa, não o centavo; o número fecha com teste de preço na base real.</w:t>
      </w:r>
    </w:p>
    <w:p>
      <w:pPr>
        <w:keepNext/>
        <w:spacing w:after="80" w:before="120" w:line="276" w:lineRule="auto"/>
        <w:jc w:val="center"/>
      </w:pPr>
      <w:r>
        <w:rPr>
          <w:rFonts w:ascii="Calibri" w:hAnsi="Calibri" w:cs="Calibri" w:eastAsia="Calibri"/>
          <w:b w:val="0"/>
          <w:i/>
          <w:color w:val="555555"/>
          <w:sz w:val="20"/>
        </w:rPr>
        <w:t>Tabela 17 — Âncoras de preço (aba Preços da planilha).</w:t>
      </w:r>
    </w:p>
    <w:tbl>
      <w:tblPr>
        <w:tblStyle w:val="TableGrid"/>
        <w:tblW w:type="dxa" w:w="7938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2268"/>
        <w:gridCol w:w="1701"/>
      </w:tblGrid>
      <w:tr>
        <w:tc>
          <w:tcPr>
            <w:tcW w:type="dxa" w:w="3969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Referência</w:t>
            </w:r>
          </w:p>
        </w:tc>
        <w:tc>
          <w:tcPr>
            <w:tcW w:type="dxa" w:w="2268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Base</w:t>
            </w:r>
          </w:p>
        </w:tc>
        <w:tc>
          <w:tcPr>
            <w:tcW w:type="dxa" w:w="1701"/>
            <w:shd w:val="clear" w:color="auto" w:fill="1F4D40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R$/mês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Letterboxd Pro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US$ 19/ano</w:t>
            </w:r>
          </w:p>
        </w:tc>
        <w:tc>
          <w:tcPr>
            <w:tcW w:type="dxa" w:w="1701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R$ 8,15</w:t>
            </w:r>
          </w:p>
        </w:tc>
      </w:tr>
      <w:tr>
        <w:tc>
          <w:tcPr>
            <w:tcW w:type="dxa" w:w="3969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Sous Chef Yotakes</w:t>
            </w:r>
          </w:p>
        </w:tc>
        <w:tc>
          <w:tcPr>
            <w:tcW w:type="dxa" w:w="2268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mensal</w:t>
            </w:r>
          </w:p>
        </w:tc>
        <w:tc>
          <w:tcPr>
            <w:tcW w:type="dxa" w:w="1701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R$ 9,90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Duolingo Super (individual)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mensal</w:t>
            </w:r>
          </w:p>
        </w:tc>
        <w:tc>
          <w:tcPr>
            <w:tcW w:type="dxa" w:w="1701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R$ 14,99</w:t>
            </w:r>
          </w:p>
        </w:tc>
      </w:tr>
      <w:tr>
        <w:tc>
          <w:tcPr>
            <w:tcW w:type="dxa" w:w="3969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Netflix Padrão com anúncios</w:t>
            </w:r>
          </w:p>
        </w:tc>
        <w:tc>
          <w:tcPr>
            <w:tcW w:type="dxa" w:w="2268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mensal</w:t>
            </w:r>
          </w:p>
        </w:tc>
        <w:tc>
          <w:tcPr>
            <w:tcW w:type="dxa" w:w="1701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R$ 20,90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Letterboxd Patron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US$ 49/ano</w:t>
            </w:r>
          </w:p>
        </w:tc>
        <w:tc>
          <w:tcPr>
            <w:tcW w:type="dxa" w:w="1701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R$ 21,03</w:t>
            </w:r>
          </w:p>
        </w:tc>
      </w:tr>
      <w:tr>
        <w:tc>
          <w:tcPr>
            <w:tcW w:type="dxa" w:w="3969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Spotify Individual</w:t>
            </w:r>
          </w:p>
        </w:tc>
        <w:tc>
          <w:tcPr>
            <w:tcW w:type="dxa" w:w="2268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mensal</w:t>
            </w:r>
          </w:p>
        </w:tc>
        <w:tc>
          <w:tcPr>
            <w:tcW w:type="dxa" w:w="1701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R$ 23,90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Chef Yotakes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mensal</w:t>
            </w:r>
          </w:p>
        </w:tc>
        <w:tc>
          <w:tcPr>
            <w:tcW w:type="dxa" w:w="1701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R$ 23,90</w:t>
            </w:r>
          </w:p>
        </w:tc>
      </w:tr>
      <w:tr>
        <w:tc>
          <w:tcPr>
            <w:tcW w:type="dxa" w:w="3969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Duolingo Max</w:t>
            </w:r>
          </w:p>
        </w:tc>
        <w:tc>
          <w:tcPr>
            <w:tcW w:type="dxa" w:w="2268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mensal</w:t>
            </w:r>
          </w:p>
        </w:tc>
        <w:tc>
          <w:tcPr>
            <w:tcW w:type="dxa" w:w="1701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R$ 33,33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Netflix Padrão sem anúncios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mensal</w:t>
            </w:r>
          </w:p>
        </w:tc>
        <w:tc>
          <w:tcPr>
            <w:tcW w:type="dxa" w:w="1701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R$ 44,90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160"/>
      </w:pPr>
      <w:r>
        <w:rPr>
          <w:rFonts w:ascii="Calibri" w:hAnsi="Calibri" w:cs="Calibri" w:eastAsia="Calibri"/>
          <w:b/>
          <w:i w:val="0"/>
          <w:color w:val="000000"/>
          <w:sz w:val="24"/>
        </w:rPr>
        <w:t>9.3 Receita líquida por assinante</w:t>
      </w:r>
    </w:p>
    <w:p>
      <w:pPr>
        <w:keepNext/>
        <w:spacing w:after="80" w:before="120" w:line="276" w:lineRule="auto"/>
        <w:jc w:val="center"/>
      </w:pPr>
      <w:r>
        <w:rPr>
          <w:rFonts w:ascii="Calibri" w:hAnsi="Calibri" w:cs="Calibri" w:eastAsia="Calibri"/>
          <w:b w:val="0"/>
          <w:i/>
          <w:color w:val="555555"/>
          <w:sz w:val="20"/>
        </w:rPr>
        <w:t>Tabela 18 — Receita líquida por assinante e por parceiro.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1587"/>
        <w:gridCol w:w="1701"/>
        <w:gridCol w:w="1474"/>
        <w:gridCol w:w="2268"/>
      </w:tblGrid>
      <w:tr>
        <w:tc>
          <w:tcPr>
            <w:tcW w:type="dxa" w:w="2041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Plano</w:t>
            </w:r>
          </w:p>
        </w:tc>
        <w:tc>
          <w:tcPr>
            <w:tcW w:type="dxa" w:w="1587"/>
            <w:shd w:val="clear" w:color="auto" w:fill="1F4D40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Preço bruto</w:t>
            </w:r>
          </w:p>
        </w:tc>
        <w:tc>
          <w:tcPr>
            <w:tcW w:type="dxa" w:w="1701"/>
            <w:shd w:val="clear" w:color="auto" w:fill="1F4D40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− Loja de apps</w:t>
            </w:r>
          </w:p>
        </w:tc>
        <w:tc>
          <w:tcPr>
            <w:tcW w:type="dxa" w:w="1474"/>
            <w:shd w:val="clear" w:color="auto" w:fill="1F4D40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− Imposto</w:t>
            </w:r>
          </w:p>
        </w:tc>
        <w:tc>
          <w:tcPr>
            <w:tcW w:type="dxa" w:w="2268"/>
            <w:shd w:val="clear" w:color="auto" w:fill="1F4D40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Receita líquida/mês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Sous Chef</w:t>
            </w:r>
          </w:p>
        </w:tc>
        <w:tc>
          <w:tcPr>
            <w:tcW w:type="dxa" w:w="1587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R$ 9,90</w:t>
            </w:r>
          </w:p>
        </w:tc>
        <w:tc>
          <w:tcPr>
            <w:tcW w:type="dxa" w:w="1701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R$ 1,49</w:t>
            </w:r>
          </w:p>
        </w:tc>
        <w:tc>
          <w:tcPr>
            <w:tcW w:type="dxa" w:w="1474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R$ 0,50</w:t>
            </w:r>
          </w:p>
        </w:tc>
        <w:tc>
          <w:tcPr>
            <w:tcW w:type="dxa" w:w="2268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R$ 7,91</w:t>
            </w:r>
          </w:p>
        </w:tc>
      </w:tr>
      <w:tr>
        <w:tc>
          <w:tcPr>
            <w:tcW w:type="dxa" w:w="2041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Chef</w:t>
            </w:r>
          </w:p>
        </w:tc>
        <w:tc>
          <w:tcPr>
            <w:tcW w:type="dxa" w:w="1587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R$ 23,90</w:t>
            </w:r>
          </w:p>
        </w:tc>
        <w:tc>
          <w:tcPr>
            <w:tcW w:type="dxa" w:w="1701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R$ 3,58</w:t>
            </w:r>
          </w:p>
        </w:tc>
        <w:tc>
          <w:tcPr>
            <w:tcW w:type="dxa" w:w="1474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R$ 1,22</w:t>
            </w:r>
          </w:p>
        </w:tc>
        <w:tc>
          <w:tcPr>
            <w:tcW w:type="dxa" w:w="2268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R$ 19,10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Restaurante Parceiro</w:t>
            </w:r>
          </w:p>
        </w:tc>
        <w:tc>
          <w:tcPr>
            <w:tcW w:type="dxa" w:w="1587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R$ 199,00</w:t>
            </w:r>
          </w:p>
        </w:tc>
        <w:tc>
          <w:tcPr>
            <w:tcW w:type="dxa" w:w="1701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74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R$ 11,94</w:t>
            </w:r>
          </w:p>
        </w:tc>
        <w:tc>
          <w:tcPr>
            <w:tcW w:type="dxa" w:w="2268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R$ 187,06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160"/>
      </w:pPr>
      <w:r>
        <w:rPr>
          <w:rFonts w:ascii="Calibri" w:hAnsi="Calibri" w:cs="Calibri" w:eastAsia="Calibri"/>
          <w:b/>
          <w:i w:val="0"/>
          <w:color w:val="000000"/>
          <w:sz w:val="24"/>
        </w:rPr>
        <w:t>9.4 Custo de infraestrutura</w:t>
      </w:r>
    </w:p>
    <w:p>
      <w:pPr>
        <w:keepNext/>
        <w:spacing w:after="80" w:before="120" w:line="276" w:lineRule="auto"/>
        <w:jc w:val="center"/>
      </w:pPr>
      <w:r>
        <w:rPr>
          <w:rFonts w:ascii="Calibri" w:hAnsi="Calibri" w:cs="Calibri" w:eastAsia="Calibri"/>
          <w:b w:val="0"/>
          <w:i/>
          <w:color w:val="555555"/>
          <w:sz w:val="20"/>
        </w:rPr>
        <w:t>Tabela 19 — Infraestrutura para 10 mil usuários: R$ 0,034 por usuário/mês.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</w:tblPr>
      <w:tblGrid>
        <w:gridCol w:w="5670"/>
        <w:gridCol w:w="1701"/>
        <w:gridCol w:w="1701"/>
      </w:tblGrid>
      <w:tr>
        <w:tc>
          <w:tcPr>
            <w:tcW w:type="dxa" w:w="5669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Item (10 mil usuários ativos/mês)</w:t>
            </w:r>
          </w:p>
        </w:tc>
        <w:tc>
          <w:tcPr>
            <w:tcW w:type="dxa" w:w="1701"/>
            <w:shd w:val="clear" w:color="auto" w:fill="1F4D40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US$/mês</w:t>
            </w:r>
          </w:p>
        </w:tc>
        <w:tc>
          <w:tcPr>
            <w:tcW w:type="dxa" w:w="1701"/>
            <w:shd w:val="clear" w:color="auto" w:fill="1F4D40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R$/mês</w:t>
            </w:r>
          </w:p>
        </w:tc>
      </w:tr>
      <w:tr>
        <w:tc>
          <w:tcPr>
            <w:tcW w:type="dxa" w:w="5669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Banco de dados e autenticação (100 mil contas ativas inclusas)</w:t>
            </w:r>
          </w:p>
        </w:tc>
        <w:tc>
          <w:tcPr>
            <w:tcW w:type="dxa" w:w="1701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25,00</w:t>
            </w:r>
          </w:p>
        </w:tc>
        <w:tc>
          <w:tcPr>
            <w:tcW w:type="dxa" w:w="1701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R$ 129</w:t>
            </w:r>
          </w:p>
        </w:tc>
      </w:tr>
      <w:tr>
        <w:tc>
          <w:tcPr>
            <w:tcW w:type="dxa" w:w="5669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Hospedagem e entrega de conteúdo (1 TB de tráfego)</w:t>
            </w:r>
          </w:p>
        </w:tc>
        <w:tc>
          <w:tcPr>
            <w:tcW w:type="dxa" w:w="1701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20,00</w:t>
            </w:r>
          </w:p>
        </w:tc>
        <w:tc>
          <w:tcPr>
            <w:tcW w:type="dxa" w:w="1701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R$ 103</w:t>
            </w:r>
          </w:p>
        </w:tc>
      </w:tr>
      <w:tr>
        <w:tc>
          <w:tcPr>
            <w:tcW w:type="dxa" w:w="5669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E-mail transacional (acesso por link mágico e notificações)</w:t>
            </w:r>
          </w:p>
        </w:tc>
        <w:tc>
          <w:tcPr>
            <w:tcW w:type="dxa" w:w="1701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20,00</w:t>
            </w:r>
          </w:p>
        </w:tc>
        <w:tc>
          <w:tcPr>
            <w:tcW w:type="dxa" w:w="1701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R$ 103</w:t>
            </w:r>
          </w:p>
        </w:tc>
      </w:tr>
      <w:tr>
        <w:tc>
          <w:tcPr>
            <w:tcW w:type="dxa" w:w="5669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Armazenamento das fotos dos takes (dentro da franquia)</w:t>
            </w:r>
          </w:p>
        </w:tc>
        <w:tc>
          <w:tcPr>
            <w:tcW w:type="dxa" w:w="1701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0,00</w:t>
            </w:r>
          </w:p>
        </w:tc>
        <w:tc>
          <w:tcPr>
            <w:tcW w:type="dxa" w:w="1701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R$ 0</w:t>
            </w:r>
          </w:p>
        </w:tc>
      </w:tr>
      <w:tr>
        <w:tc>
          <w:tcPr>
            <w:tcW w:type="dxa" w:w="5669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Domínio e certificado (rateio mensal)</w:t>
            </w:r>
          </w:p>
        </w:tc>
        <w:tc>
          <w:tcPr>
            <w:tcW w:type="dxa" w:w="1701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1,25</w:t>
            </w:r>
          </w:p>
        </w:tc>
        <w:tc>
          <w:tcPr>
            <w:tcW w:type="dxa" w:w="1701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R$ 6</w:t>
            </w:r>
          </w:p>
        </w:tc>
      </w:tr>
      <w:tr>
        <w:tc>
          <w:tcPr>
            <w:tcW w:type="dxa" w:w="5669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sz w:val="18"/>
              </w:rPr>
              <w:t>Total</w:t>
            </w:r>
          </w:p>
        </w:tc>
        <w:tc>
          <w:tcPr>
            <w:tcW w:type="dxa" w:w="1701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/>
                <w:i w:val="0"/>
                <w:sz w:val="18"/>
              </w:rPr>
              <w:t>66,25</w:t>
            </w:r>
          </w:p>
        </w:tc>
        <w:tc>
          <w:tcPr>
            <w:tcW w:type="dxa" w:w="1701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/>
                <w:i w:val="0"/>
                <w:sz w:val="18"/>
              </w:rPr>
              <w:t>R$ 341</w:t>
            </w:r>
          </w:p>
        </w:tc>
      </w:tr>
    </w:tbl>
    <w:p>
      <w:pPr>
        <w:spacing w:after="80"/>
      </w:pPr>
    </w:p>
    <w:p>
      <w:pPr>
        <w:keepNext/>
        <w:spacing w:after="80" w:before="120" w:line="276" w:lineRule="auto"/>
        <w:jc w:val="center"/>
      </w:pPr>
      <w:r>
        <w:rPr>
          <w:rFonts w:ascii="Calibri" w:hAnsi="Calibri" w:cs="Calibri" w:eastAsia="Calibri"/>
          <w:b w:val="0"/>
          <w:i/>
          <w:color w:val="555555"/>
          <w:sz w:val="20"/>
        </w:rPr>
        <w:t>Tabela 20 — Infraestrutura para 100 mil usuários: R$ 0,010 por usuário/mês — a curva melhora com escala.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</w:tblPr>
      <w:tblGrid>
        <w:gridCol w:w="6237"/>
        <w:gridCol w:w="2835"/>
      </w:tblGrid>
      <w:tr>
        <w:tc>
          <w:tcPr>
            <w:tcW w:type="dxa" w:w="6236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Item (100 mil usuários ativos/mês)</w:t>
            </w:r>
          </w:p>
        </w:tc>
        <w:tc>
          <w:tcPr>
            <w:tcW w:type="dxa" w:w="2835"/>
            <w:shd w:val="clear" w:color="auto" w:fill="1F4D40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US$/mês</w:t>
            </w:r>
          </w:p>
        </w:tc>
      </w:tr>
      <w:tr>
        <w:tc>
          <w:tcPr>
            <w:tcW w:type="dxa" w:w="623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Banco + autenticação e hospedagem + CDN (planos Pro)</w:t>
            </w:r>
          </w:p>
        </w:tc>
        <w:tc>
          <w:tcPr>
            <w:tcW w:type="dxa" w:w="2835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45,00</w:t>
            </w:r>
          </w:p>
        </w:tc>
      </w:tr>
      <w:tr>
        <w:tc>
          <w:tcPr>
            <w:tcW w:type="dxa" w:w="6236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Armazenamento (≈ 420 GB médios, 100 GB inclusos)</w:t>
            </w:r>
          </w:p>
        </w:tc>
        <w:tc>
          <w:tcPr>
            <w:tcW w:type="dxa" w:w="2835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6,72</w:t>
            </w:r>
          </w:p>
        </w:tc>
      </w:tr>
      <w:tr>
        <w:tc>
          <w:tcPr>
            <w:tcW w:type="dxa" w:w="623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Tráfego acima do incluído (≈ 2,4 TB, cacheado a US$ 0,03/GB)</w:t>
            </w:r>
          </w:p>
        </w:tc>
        <w:tc>
          <w:tcPr>
            <w:tcW w:type="dxa" w:w="2835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57,00</w:t>
            </w:r>
          </w:p>
        </w:tc>
      </w:tr>
      <w:tr>
        <w:tc>
          <w:tcPr>
            <w:tcW w:type="dxa" w:w="6236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E-mail transacional (volume maior)</w:t>
            </w:r>
          </w:p>
        </w:tc>
        <w:tc>
          <w:tcPr>
            <w:tcW w:type="dxa" w:w="2835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85,00</w:t>
            </w:r>
          </w:p>
        </w:tc>
      </w:tr>
      <w:tr>
        <w:tc>
          <w:tcPr>
            <w:tcW w:type="dxa" w:w="623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Domínio</w:t>
            </w:r>
          </w:p>
        </w:tc>
        <w:tc>
          <w:tcPr>
            <w:tcW w:type="dxa" w:w="2835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1,25</w:t>
            </w:r>
          </w:p>
        </w:tc>
      </w:tr>
      <w:tr>
        <w:tc>
          <w:tcPr>
            <w:tcW w:type="dxa" w:w="6236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sz w:val="18"/>
              </w:rPr>
              <w:t>Total</w:t>
            </w:r>
          </w:p>
        </w:tc>
        <w:tc>
          <w:tcPr>
            <w:tcW w:type="dxa" w:w="2835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/>
                <w:i w:val="0"/>
                <w:sz w:val="18"/>
              </w:rPr>
              <w:t>194,97  (≈ R$ 1.004)</w:t>
            </w:r>
          </w:p>
        </w:tc>
      </w:tr>
    </w:tbl>
    <w:p>
      <w:pPr>
        <w:spacing w:after="80"/>
      </w:pPr>
    </w:p>
    <w:p>
      <w:pPr>
        <w:spacing w:after="160" w:before="0" w:line="276" w:lineRule="auto"/>
        <w:ind w:firstLine="709"/>
        <w:jc w:val="both"/>
      </w:pPr>
      <w:r>
        <w:rPr>
          <w:rFonts w:ascii="Calibri" w:hAnsi="Calibri" w:cs="Calibri" w:eastAsia="Calibri"/>
          <w:b w:val="0"/>
          <w:i w:val="0"/>
          <w:sz w:val="24"/>
        </w:rPr>
        <w:t>Premissas de consumo: 2 takes por usuário por mês com 1 foto de ~350 KB (WebP); 15 sessões por usuário por mês com ~20 imagens de ~80 KB; armazenamento acumulando ao longo de 12 meses; preços de lista, sem desconto anual nem crédito de startup. Nenhum desses números veio de uso real — a base é pequena demais para medir — e a ordem de grandeza é o que importa: a infraestrutura é barata o bastante para não ser o que define o preço.</w:t>
      </w:r>
    </w:p>
    <w:p>
      <w:pPr>
        <w:pStyle w:val="Heading2"/>
        <w:keepNext/>
        <w:spacing w:before="280" w:after="160"/>
      </w:pPr>
      <w:r>
        <w:rPr>
          <w:rFonts w:ascii="Calibri" w:hAnsi="Calibri" w:cs="Calibri" w:eastAsia="Calibri"/>
          <w:b/>
          <w:i w:val="0"/>
          <w:color w:val="000000"/>
          <w:sz w:val="24"/>
        </w:rPr>
        <w:t>9.5 Ponto de equilíbrio da infraestrutura</w:t>
      </w:r>
    </w:p>
    <w:p>
      <w:pPr>
        <w:keepNext/>
        <w:spacing w:after="80" w:before="120" w:line="276" w:lineRule="auto"/>
        <w:jc w:val="center"/>
      </w:pPr>
      <w:r>
        <w:rPr>
          <w:rFonts w:ascii="Calibri" w:hAnsi="Calibri" w:cs="Calibri" w:eastAsia="Calibri"/>
          <w:b w:val="0"/>
          <w:i/>
          <w:color w:val="555555"/>
          <w:sz w:val="20"/>
        </w:rPr>
        <w:t>Tabela 21 — Quantos assinantes sustentam a infraestrutura.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1701"/>
        <w:gridCol w:w="3118"/>
      </w:tblGrid>
      <w:tr>
        <w:tc>
          <w:tcPr>
            <w:tcW w:type="dxa" w:w="4252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Cenário</w:t>
            </w:r>
          </w:p>
        </w:tc>
        <w:tc>
          <w:tcPr>
            <w:tcW w:type="dxa" w:w="1701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Custo/mês</w:t>
            </w:r>
          </w:p>
        </w:tc>
        <w:tc>
          <w:tcPr>
            <w:tcW w:type="dxa" w:w="3118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Assinantes necessários</w:t>
            </w:r>
          </w:p>
        </w:tc>
      </w:tr>
      <w:tr>
        <w:tc>
          <w:tcPr>
            <w:tcW w:type="dxa" w:w="4252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10 mil usuários — só Chef (receita líquida)</w:t>
            </w:r>
          </w:p>
        </w:tc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R$ 341</w:t>
            </w:r>
          </w:p>
        </w:tc>
        <w:tc>
          <w:tcPr>
            <w:tcW w:type="dxa" w:w="3118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18 Chefs (0,18% da base)</w:t>
            </w:r>
          </w:p>
        </w:tc>
      </w:tr>
      <w:tr>
        <w:tc>
          <w:tcPr>
            <w:tcW w:type="dxa" w:w="4252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10 mil usuários — só Sous Chef (receita líquida)</w:t>
            </w:r>
          </w:p>
        </w:tc>
        <w:tc>
          <w:tcPr>
            <w:tcW w:type="dxa" w:w="1701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R$ 341</w:t>
            </w:r>
          </w:p>
        </w:tc>
        <w:tc>
          <w:tcPr>
            <w:tcW w:type="dxa" w:w="3118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44 Sous Chefs (0,44% da base)</w:t>
            </w:r>
          </w:p>
        </w:tc>
      </w:tr>
      <w:tr>
        <w:tc>
          <w:tcPr>
            <w:tcW w:type="dxa" w:w="4252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10 mil usuários — em preço bruto, como no deck</w:t>
            </w:r>
          </w:p>
        </w:tc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R$ 341</w:t>
            </w:r>
          </w:p>
        </w:tc>
        <w:tc>
          <w:tcPr>
            <w:tcW w:type="dxa" w:w="3118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15 Chefs ou 35 Sous Chefs</w:t>
            </w:r>
          </w:p>
        </w:tc>
      </w:tr>
      <w:tr>
        <w:tc>
          <w:tcPr>
            <w:tcW w:type="dxa" w:w="4252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100 mil usuários — só Chef (receita líquida)</w:t>
            </w:r>
          </w:p>
        </w:tc>
        <w:tc>
          <w:tcPr>
            <w:tcW w:type="dxa" w:w="1701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R$ 1.004</w:t>
            </w:r>
          </w:p>
        </w:tc>
        <w:tc>
          <w:tcPr>
            <w:tcW w:type="dxa" w:w="3118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53 Chefs (0,05% da base)</w:t>
            </w:r>
          </w:p>
        </w:tc>
      </w:tr>
    </w:tbl>
    <w:p>
      <w:pPr>
        <w:spacing w:after="80"/>
      </w:pPr>
    </w:p>
    <w:p>
      <w:pPr>
        <w:spacing w:after="160" w:before="0" w:line="276" w:lineRule="auto"/>
        <w:ind w:firstLine="709"/>
        <w:jc w:val="both"/>
      </w:pPr>
      <w:r>
        <w:rPr>
          <w:rFonts w:ascii="Calibri" w:hAnsi="Calibri" w:cs="Calibri" w:eastAsia="Calibri"/>
          <w:b w:val="0"/>
          <w:i w:val="0"/>
          <w:sz w:val="24"/>
        </w:rPr>
        <w:t>Cada Chef sustenta cerca de 556 usuários gratuitos. O Letterboxd converte perto de 5% da base para planos pagos; o Yotakes precisa de 0,18% para pagar a infraestrutura — margem de mais de vinte vezes. O limite honesto desta conta: ela cobre só infraestrutura. Não cobre salário, marketing profissional, suporte nem aquisição paga. Mil Chefs rendem cerca de R$ 19.096 líquidos por mês — 19 vezes a infraestrutura de 100 mil usuários — e é essa sobra que teria de virar time. É por isso que o lado parceiro existe: a assinatura do consumidor sustenta a operação técnica, não a empresa.</w:t>
      </w:r>
    </w:p>
    <w:p>
      <w:pPr>
        <w:pStyle w:val="Heading2"/>
        <w:keepNext/>
        <w:spacing w:before="280" w:after="160"/>
      </w:pPr>
      <w:r>
        <w:rPr>
          <w:rFonts w:ascii="Calibri" w:hAnsi="Calibri" w:cs="Calibri" w:eastAsia="Calibri"/>
          <w:b/>
          <w:i w:val="0"/>
          <w:color w:val="000000"/>
          <w:sz w:val="24"/>
        </w:rPr>
        <w:t>9.6 Projeção de 12 meses (novembro de 2026 a outubro de 2027)</w:t>
      </w:r>
    </w:p>
    <w:p>
      <w:pPr>
        <w:spacing w:after="160" w:before="0" w:line="276" w:lineRule="auto"/>
        <w:ind w:firstLine="709"/>
        <w:jc w:val="both"/>
      </w:pPr>
      <w:r>
        <w:rPr>
          <w:rFonts w:ascii="Calibri" w:hAnsi="Calibri" w:cs="Calibri" w:eastAsia="Calibri"/>
          <w:b w:val="0"/>
          <w:i w:val="0"/>
          <w:sz w:val="24"/>
        </w:rPr>
        <w:t>A projeção segue o road map: beta fechado sem receita, lançamento público em fevereiro de 2027 e início da monetização em março. Usuários ativos e parceiros são metas, não previsões; conversões conservadoras (1,5% Sous Chef e 0,75% Chef sobre a base ativa) e preço do parceiro de R$ 199 são hipóteses a validar nos pilotos. Valores em R$.</w:t>
      </w:r>
    </w:p>
    <w:p>
      <w:pPr>
        <w:keepNext/>
        <w:spacing w:after="80" w:before="120" w:line="276" w:lineRule="auto"/>
        <w:jc w:val="center"/>
      </w:pPr>
      <w:r>
        <w:rPr>
          <w:rFonts w:ascii="Calibri" w:hAnsi="Calibri" w:cs="Calibri" w:eastAsia="Calibri"/>
          <w:b w:val="0"/>
          <w:i/>
          <w:color w:val="555555"/>
          <w:sz w:val="20"/>
        </w:rPr>
        <w:t>Tabela 22 — Projeção mensal (aba Projeção da planilha).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</w:tblPr>
      <w:tblGrid>
        <w:gridCol w:w="963"/>
        <w:gridCol w:w="1190"/>
        <w:gridCol w:w="963"/>
        <w:gridCol w:w="850"/>
        <w:gridCol w:w="1077"/>
        <w:gridCol w:w="1077"/>
        <w:gridCol w:w="963"/>
        <w:gridCol w:w="963"/>
        <w:gridCol w:w="1020"/>
      </w:tblGrid>
      <w:tr>
        <w:tc>
          <w:tcPr>
            <w:tcW w:type="dxa" w:w="964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</w:rPr>
              <w:t>Mês</w:t>
            </w:r>
          </w:p>
        </w:tc>
        <w:tc>
          <w:tcPr>
            <w:tcW w:type="dxa" w:w="1191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</w:rPr>
              <w:t>Fase</w:t>
            </w:r>
          </w:p>
        </w:tc>
        <w:tc>
          <w:tcPr>
            <w:tcW w:type="dxa" w:w="964"/>
            <w:shd w:val="clear" w:color="auto" w:fill="1F4D40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</w:rPr>
              <w:t>Usuários ativos</w:t>
            </w:r>
          </w:p>
        </w:tc>
        <w:tc>
          <w:tcPr>
            <w:tcW w:type="dxa" w:w="850"/>
            <w:shd w:val="clear" w:color="auto" w:fill="1F4D40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</w:rPr>
              <w:t>Parceiros</w:t>
            </w:r>
          </w:p>
        </w:tc>
        <w:tc>
          <w:tcPr>
            <w:tcW w:type="dxa" w:w="1077"/>
            <w:shd w:val="clear" w:color="auto" w:fill="1F4D40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</w:rPr>
              <w:t>Sous Chef / Chef</w:t>
            </w:r>
          </w:p>
        </w:tc>
        <w:tc>
          <w:tcPr>
            <w:tcW w:type="dxa" w:w="1077"/>
            <w:shd w:val="clear" w:color="auto" w:fill="1F4D40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</w:rPr>
              <w:t>Receita líquida</w:t>
            </w:r>
          </w:p>
        </w:tc>
        <w:tc>
          <w:tcPr>
            <w:tcW w:type="dxa" w:w="964"/>
            <w:shd w:val="clear" w:color="auto" w:fill="1F4D40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</w:rPr>
              <w:t>Custos</w:t>
            </w:r>
          </w:p>
        </w:tc>
        <w:tc>
          <w:tcPr>
            <w:tcW w:type="dxa" w:w="964"/>
            <w:shd w:val="clear" w:color="auto" w:fill="1F4D40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</w:rPr>
              <w:t>Resultado</w:t>
            </w:r>
          </w:p>
        </w:tc>
        <w:tc>
          <w:tcPr>
            <w:tcW w:type="dxa" w:w="1020"/>
            <w:shd w:val="clear" w:color="auto" w:fill="1F4D40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</w:rPr>
              <w:t>Caixa acumulado</w:t>
            </w:r>
          </w:p>
        </w:tc>
      </w:tr>
      <w:tr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Nov/2026</w:t>
            </w:r>
          </w:p>
        </w:tc>
        <w:tc>
          <w:tcPr>
            <w:tcW w:type="dxa" w:w="1191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Beta</w:t>
            </w:r>
          </w:p>
        </w:tc>
        <w:tc>
          <w:tcPr>
            <w:tcW w:type="dxa" w:w="964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300</w:t>
            </w:r>
          </w:p>
        </w:tc>
        <w:tc>
          <w:tcPr>
            <w:tcW w:type="dxa" w:w="850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0</w:t>
            </w:r>
          </w:p>
        </w:tc>
        <w:tc>
          <w:tcPr>
            <w:tcW w:type="dxa" w:w="1077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0 / 0</w:t>
            </w:r>
          </w:p>
        </w:tc>
        <w:tc>
          <w:tcPr>
            <w:tcW w:type="dxa" w:w="1077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R$ 0</w:t>
            </w:r>
          </w:p>
        </w:tc>
        <w:tc>
          <w:tcPr>
            <w:tcW w:type="dxa" w:w="964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R$ 641</w:t>
            </w:r>
          </w:p>
        </w:tc>
        <w:tc>
          <w:tcPr>
            <w:tcW w:type="dxa" w:w="964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R$ -641</w:t>
            </w:r>
          </w:p>
        </w:tc>
        <w:tc>
          <w:tcPr>
            <w:tcW w:type="dxa" w:w="1020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R$ -641</w:t>
            </w:r>
          </w:p>
        </w:tc>
      </w:tr>
      <w:tr>
        <w:tc>
          <w:tcPr>
            <w:tcW w:type="dxa" w:w="96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Dez/2026</w:t>
            </w:r>
          </w:p>
        </w:tc>
        <w:tc>
          <w:tcPr>
            <w:tcW w:type="dxa" w:w="1191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Beta</w:t>
            </w:r>
          </w:p>
        </w:tc>
        <w:tc>
          <w:tcPr>
            <w:tcW w:type="dxa" w:w="964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500</w:t>
            </w:r>
          </w:p>
        </w:tc>
        <w:tc>
          <w:tcPr>
            <w:tcW w:type="dxa" w:w="850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0</w:t>
            </w:r>
          </w:p>
        </w:tc>
        <w:tc>
          <w:tcPr>
            <w:tcW w:type="dxa" w:w="1077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0 / 0</w:t>
            </w:r>
          </w:p>
        </w:tc>
        <w:tc>
          <w:tcPr>
            <w:tcW w:type="dxa" w:w="1077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R$ 0</w:t>
            </w:r>
          </w:p>
        </w:tc>
        <w:tc>
          <w:tcPr>
            <w:tcW w:type="dxa" w:w="964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R$ 641</w:t>
            </w:r>
          </w:p>
        </w:tc>
        <w:tc>
          <w:tcPr>
            <w:tcW w:type="dxa" w:w="964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R$ -641</w:t>
            </w:r>
          </w:p>
        </w:tc>
        <w:tc>
          <w:tcPr>
            <w:tcW w:type="dxa" w:w="1020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R$ -1.282</w:t>
            </w:r>
          </w:p>
        </w:tc>
      </w:tr>
      <w:tr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Jan/2027</w:t>
            </w:r>
          </w:p>
        </w:tc>
        <w:tc>
          <w:tcPr>
            <w:tcW w:type="dxa" w:w="1191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Beta</w:t>
            </w:r>
          </w:p>
        </w:tc>
        <w:tc>
          <w:tcPr>
            <w:tcW w:type="dxa" w:w="964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800</w:t>
            </w:r>
          </w:p>
        </w:tc>
        <w:tc>
          <w:tcPr>
            <w:tcW w:type="dxa" w:w="850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0</w:t>
            </w:r>
          </w:p>
        </w:tc>
        <w:tc>
          <w:tcPr>
            <w:tcW w:type="dxa" w:w="1077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0 / 0</w:t>
            </w:r>
          </w:p>
        </w:tc>
        <w:tc>
          <w:tcPr>
            <w:tcW w:type="dxa" w:w="1077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R$ 0</w:t>
            </w:r>
          </w:p>
        </w:tc>
        <w:tc>
          <w:tcPr>
            <w:tcW w:type="dxa" w:w="964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R$ 2.641</w:t>
            </w:r>
          </w:p>
        </w:tc>
        <w:tc>
          <w:tcPr>
            <w:tcW w:type="dxa" w:w="964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R$ -2.641</w:t>
            </w:r>
          </w:p>
        </w:tc>
        <w:tc>
          <w:tcPr>
            <w:tcW w:type="dxa" w:w="1020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R$ -3.923</w:t>
            </w:r>
          </w:p>
        </w:tc>
      </w:tr>
      <w:tr>
        <w:tc>
          <w:tcPr>
            <w:tcW w:type="dxa" w:w="96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Fev/2027</w:t>
            </w:r>
          </w:p>
        </w:tc>
        <w:tc>
          <w:tcPr>
            <w:tcW w:type="dxa" w:w="1191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Lançamento</w:t>
            </w:r>
          </w:p>
        </w:tc>
        <w:tc>
          <w:tcPr>
            <w:tcW w:type="dxa" w:w="964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2.000</w:t>
            </w:r>
          </w:p>
        </w:tc>
        <w:tc>
          <w:tcPr>
            <w:tcW w:type="dxa" w:w="850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0</w:t>
            </w:r>
          </w:p>
        </w:tc>
        <w:tc>
          <w:tcPr>
            <w:tcW w:type="dxa" w:w="1077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0 / 0</w:t>
            </w:r>
          </w:p>
        </w:tc>
        <w:tc>
          <w:tcPr>
            <w:tcW w:type="dxa" w:w="1077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R$ 0</w:t>
            </w:r>
          </w:p>
        </w:tc>
        <w:tc>
          <w:tcPr>
            <w:tcW w:type="dxa" w:w="964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R$ 4.601</w:t>
            </w:r>
          </w:p>
        </w:tc>
        <w:tc>
          <w:tcPr>
            <w:tcW w:type="dxa" w:w="964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R$ -4.601</w:t>
            </w:r>
          </w:p>
        </w:tc>
        <w:tc>
          <w:tcPr>
            <w:tcW w:type="dxa" w:w="1020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R$ -8.524</w:t>
            </w:r>
          </w:p>
        </w:tc>
      </w:tr>
      <w:tr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Mar/2027</w:t>
            </w:r>
          </w:p>
        </w:tc>
        <w:tc>
          <w:tcPr>
            <w:tcW w:type="dxa" w:w="1191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Escala</w:t>
            </w:r>
          </w:p>
        </w:tc>
        <w:tc>
          <w:tcPr>
            <w:tcW w:type="dxa" w:w="964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3.000</w:t>
            </w:r>
          </w:p>
        </w:tc>
        <w:tc>
          <w:tcPr>
            <w:tcW w:type="dxa" w:w="850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77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45 / 23</w:t>
            </w:r>
          </w:p>
        </w:tc>
        <w:tc>
          <w:tcPr>
            <w:tcW w:type="dxa" w:w="1077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R$ 1.169</w:t>
            </w:r>
          </w:p>
        </w:tc>
        <w:tc>
          <w:tcPr>
            <w:tcW w:type="dxa" w:w="964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R$ 1.604</w:t>
            </w:r>
          </w:p>
        </w:tc>
        <w:tc>
          <w:tcPr>
            <w:tcW w:type="dxa" w:w="964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R$ -435</w:t>
            </w:r>
          </w:p>
        </w:tc>
        <w:tc>
          <w:tcPr>
            <w:tcW w:type="dxa" w:w="1020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R$ -8.959</w:t>
            </w:r>
          </w:p>
        </w:tc>
      </w:tr>
      <w:tr>
        <w:tc>
          <w:tcPr>
            <w:tcW w:type="dxa" w:w="96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Abr/2027</w:t>
            </w:r>
          </w:p>
        </w:tc>
        <w:tc>
          <w:tcPr>
            <w:tcW w:type="dxa" w:w="1191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Escala</w:t>
            </w:r>
          </w:p>
        </w:tc>
        <w:tc>
          <w:tcPr>
            <w:tcW w:type="dxa" w:w="964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4.000</w:t>
            </w:r>
          </w:p>
        </w:tc>
        <w:tc>
          <w:tcPr>
            <w:tcW w:type="dxa" w:w="850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1077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60 / 30</w:t>
            </w:r>
          </w:p>
        </w:tc>
        <w:tc>
          <w:tcPr>
            <w:tcW w:type="dxa" w:w="1077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R$ 1.796</w:t>
            </w:r>
          </w:p>
        </w:tc>
        <w:tc>
          <w:tcPr>
            <w:tcW w:type="dxa" w:w="964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R$ 1.607</w:t>
            </w:r>
          </w:p>
        </w:tc>
        <w:tc>
          <w:tcPr>
            <w:tcW w:type="dxa" w:w="964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R$ 189</w:t>
            </w:r>
          </w:p>
        </w:tc>
        <w:tc>
          <w:tcPr>
            <w:tcW w:type="dxa" w:w="1020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R$ -8.769</w:t>
            </w:r>
          </w:p>
        </w:tc>
      </w:tr>
      <w:tr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Mai/2027</w:t>
            </w:r>
          </w:p>
        </w:tc>
        <w:tc>
          <w:tcPr>
            <w:tcW w:type="dxa" w:w="1191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Escala</w:t>
            </w:r>
          </w:p>
        </w:tc>
        <w:tc>
          <w:tcPr>
            <w:tcW w:type="dxa" w:w="964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5.000</w:t>
            </w:r>
          </w:p>
        </w:tc>
        <w:tc>
          <w:tcPr>
            <w:tcW w:type="dxa" w:w="850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1077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75 / 38</w:t>
            </w:r>
          </w:p>
        </w:tc>
        <w:tc>
          <w:tcPr>
            <w:tcW w:type="dxa" w:w="1077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R$ 2.441</w:t>
            </w:r>
          </w:p>
        </w:tc>
        <w:tc>
          <w:tcPr>
            <w:tcW w:type="dxa" w:w="964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R$ 1.609</w:t>
            </w:r>
          </w:p>
        </w:tc>
        <w:tc>
          <w:tcPr>
            <w:tcW w:type="dxa" w:w="964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R$ 832</w:t>
            </w:r>
          </w:p>
        </w:tc>
        <w:tc>
          <w:tcPr>
            <w:tcW w:type="dxa" w:w="1020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R$ -7.938</w:t>
            </w:r>
          </w:p>
        </w:tc>
      </w:tr>
      <w:tr>
        <w:tc>
          <w:tcPr>
            <w:tcW w:type="dxa" w:w="96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Jun/2027</w:t>
            </w:r>
          </w:p>
        </w:tc>
        <w:tc>
          <w:tcPr>
            <w:tcW w:type="dxa" w:w="1191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Escala</w:t>
            </w:r>
          </w:p>
        </w:tc>
        <w:tc>
          <w:tcPr>
            <w:tcW w:type="dxa" w:w="964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6.000</w:t>
            </w:r>
          </w:p>
        </w:tc>
        <w:tc>
          <w:tcPr>
            <w:tcW w:type="dxa" w:w="850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1077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90 / 45</w:t>
            </w:r>
          </w:p>
        </w:tc>
        <w:tc>
          <w:tcPr>
            <w:tcW w:type="dxa" w:w="1077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R$ 3.068</w:t>
            </w:r>
          </w:p>
        </w:tc>
        <w:tc>
          <w:tcPr>
            <w:tcW w:type="dxa" w:w="964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R$ 1.612</w:t>
            </w:r>
          </w:p>
        </w:tc>
        <w:tc>
          <w:tcPr>
            <w:tcW w:type="dxa" w:w="964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R$ 1.456</w:t>
            </w:r>
          </w:p>
        </w:tc>
        <w:tc>
          <w:tcPr>
            <w:tcW w:type="dxa" w:w="1020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R$ -6.482</w:t>
            </w:r>
          </w:p>
        </w:tc>
      </w:tr>
      <w:tr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Jul/2027</w:t>
            </w:r>
          </w:p>
        </w:tc>
        <w:tc>
          <w:tcPr>
            <w:tcW w:type="dxa" w:w="1191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Escala</w:t>
            </w:r>
          </w:p>
        </w:tc>
        <w:tc>
          <w:tcPr>
            <w:tcW w:type="dxa" w:w="964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7.000</w:t>
            </w:r>
          </w:p>
        </w:tc>
        <w:tc>
          <w:tcPr>
            <w:tcW w:type="dxa" w:w="850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077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105 / 53</w:t>
            </w:r>
          </w:p>
        </w:tc>
        <w:tc>
          <w:tcPr>
            <w:tcW w:type="dxa" w:w="1077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R$ 3.713</w:t>
            </w:r>
          </w:p>
        </w:tc>
        <w:tc>
          <w:tcPr>
            <w:tcW w:type="dxa" w:w="964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R$ 1.615</w:t>
            </w:r>
          </w:p>
        </w:tc>
        <w:tc>
          <w:tcPr>
            <w:tcW w:type="dxa" w:w="964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R$ 2.098</w:t>
            </w:r>
          </w:p>
        </w:tc>
        <w:tc>
          <w:tcPr>
            <w:tcW w:type="dxa" w:w="1020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R$ -4.384</w:t>
            </w:r>
          </w:p>
        </w:tc>
      </w:tr>
      <w:tr>
        <w:tc>
          <w:tcPr>
            <w:tcW w:type="dxa" w:w="96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Ago/2027</w:t>
            </w:r>
          </w:p>
        </w:tc>
        <w:tc>
          <w:tcPr>
            <w:tcW w:type="dxa" w:w="1191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Escala</w:t>
            </w:r>
          </w:p>
        </w:tc>
        <w:tc>
          <w:tcPr>
            <w:tcW w:type="dxa" w:w="964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8.000</w:t>
            </w:r>
          </w:p>
        </w:tc>
        <w:tc>
          <w:tcPr>
            <w:tcW w:type="dxa" w:w="850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1077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120 / 60</w:t>
            </w:r>
          </w:p>
        </w:tc>
        <w:tc>
          <w:tcPr>
            <w:tcW w:type="dxa" w:w="1077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R$ 4.527</w:t>
            </w:r>
          </w:p>
        </w:tc>
        <w:tc>
          <w:tcPr>
            <w:tcW w:type="dxa" w:w="964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R$ 1.619</w:t>
            </w:r>
          </w:p>
        </w:tc>
        <w:tc>
          <w:tcPr>
            <w:tcW w:type="dxa" w:w="964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R$ 2.908</w:t>
            </w:r>
          </w:p>
        </w:tc>
        <w:tc>
          <w:tcPr>
            <w:tcW w:type="dxa" w:w="1020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R$ -1.476</w:t>
            </w:r>
          </w:p>
        </w:tc>
      </w:tr>
      <w:tr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Set/2027</w:t>
            </w:r>
          </w:p>
        </w:tc>
        <w:tc>
          <w:tcPr>
            <w:tcW w:type="dxa" w:w="1191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Escala</w:t>
            </w:r>
          </w:p>
        </w:tc>
        <w:tc>
          <w:tcPr>
            <w:tcW w:type="dxa" w:w="964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9.000</w:t>
            </w:r>
          </w:p>
        </w:tc>
        <w:tc>
          <w:tcPr>
            <w:tcW w:type="dxa" w:w="850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16</w:t>
            </w:r>
          </w:p>
        </w:tc>
        <w:tc>
          <w:tcPr>
            <w:tcW w:type="dxa" w:w="1077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135 / 68</w:t>
            </w:r>
          </w:p>
        </w:tc>
        <w:tc>
          <w:tcPr>
            <w:tcW w:type="dxa" w:w="1077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R$ 5.359</w:t>
            </w:r>
          </w:p>
        </w:tc>
        <w:tc>
          <w:tcPr>
            <w:tcW w:type="dxa" w:w="964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R$ 1.623</w:t>
            </w:r>
          </w:p>
        </w:tc>
        <w:tc>
          <w:tcPr>
            <w:tcW w:type="dxa" w:w="964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R$ 3.736</w:t>
            </w:r>
          </w:p>
        </w:tc>
        <w:tc>
          <w:tcPr>
            <w:tcW w:type="dxa" w:w="1020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R$ 2.260</w:t>
            </w:r>
          </w:p>
        </w:tc>
      </w:tr>
      <w:tr>
        <w:tc>
          <w:tcPr>
            <w:tcW w:type="dxa" w:w="96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Out/2027</w:t>
            </w:r>
          </w:p>
        </w:tc>
        <w:tc>
          <w:tcPr>
            <w:tcW w:type="dxa" w:w="1191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Escala</w:t>
            </w:r>
          </w:p>
        </w:tc>
        <w:tc>
          <w:tcPr>
            <w:tcW w:type="dxa" w:w="964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10.000</w:t>
            </w:r>
          </w:p>
        </w:tc>
        <w:tc>
          <w:tcPr>
            <w:tcW w:type="dxa" w:w="850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20</w:t>
            </w:r>
          </w:p>
        </w:tc>
        <w:tc>
          <w:tcPr>
            <w:tcW w:type="dxa" w:w="1077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150 / 75</w:t>
            </w:r>
          </w:p>
        </w:tc>
        <w:tc>
          <w:tcPr>
            <w:tcW w:type="dxa" w:w="1077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R$ 6.360</w:t>
            </w:r>
          </w:p>
        </w:tc>
        <w:tc>
          <w:tcPr>
            <w:tcW w:type="dxa" w:w="964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R$ 1.629</w:t>
            </w:r>
          </w:p>
        </w:tc>
        <w:tc>
          <w:tcPr>
            <w:tcW w:type="dxa" w:w="964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R$ 4.731</w:t>
            </w:r>
          </w:p>
        </w:tc>
        <w:tc>
          <w:tcPr>
            <w:tcW w:type="dxa" w:w="1020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R$ 6.991</w:t>
            </w:r>
          </w:p>
        </w:tc>
      </w:tr>
    </w:tbl>
    <w:p>
      <w:pPr>
        <w:spacing w:after="80"/>
      </w:pPr>
    </w:p>
    <w:p>
      <w:pPr>
        <w:keepNext/>
        <w:spacing w:after="80" w:before="120" w:line="276" w:lineRule="auto"/>
        <w:jc w:val="center"/>
      </w:pPr>
      <w:r>
        <w:rPr>
          <w:rFonts w:ascii="Calibri" w:hAnsi="Calibri" w:cs="Calibri" w:eastAsia="Calibri"/>
          <w:b w:val="0"/>
          <w:i/>
          <w:color w:val="555555"/>
          <w:sz w:val="20"/>
        </w:rPr>
        <w:t>Tabela 23 — Indicadores da projeção.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</w:tblPr>
      <w:tblGrid>
        <w:gridCol w:w="5670"/>
        <w:gridCol w:w="3402"/>
      </w:tblGrid>
      <w:tr>
        <w:tc>
          <w:tcPr>
            <w:tcW w:type="dxa" w:w="5669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Indicador</w:t>
            </w:r>
          </w:p>
        </w:tc>
        <w:tc>
          <w:tcPr>
            <w:tcW w:type="dxa" w:w="3402"/>
            <w:shd w:val="clear" w:color="auto" w:fill="1F4D40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5669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Receita líquida acumulada em 12 meses</w:t>
            </w:r>
          </w:p>
        </w:tc>
        <w:tc>
          <w:tcPr>
            <w:tcW w:type="dxa" w:w="3402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R$ 28.433</w:t>
            </w:r>
          </w:p>
        </w:tc>
      </w:tr>
      <w:tr>
        <w:tc>
          <w:tcPr>
            <w:tcW w:type="dxa" w:w="5669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Custos acumulados em 12 meses</w:t>
            </w:r>
          </w:p>
        </w:tc>
        <w:tc>
          <w:tcPr>
            <w:tcW w:type="dxa" w:w="3402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R$ 21.443</w:t>
            </w:r>
          </w:p>
        </w:tc>
      </w:tr>
      <w:tr>
        <w:tc>
          <w:tcPr>
            <w:tcW w:type="dxa" w:w="5669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Resultado acumulado em 12 meses</w:t>
            </w:r>
          </w:p>
        </w:tc>
        <w:tc>
          <w:tcPr>
            <w:tcW w:type="dxa" w:w="3402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R$ 6.991</w:t>
            </w:r>
          </w:p>
        </w:tc>
      </w:tr>
      <w:tr>
        <w:tc>
          <w:tcPr>
            <w:tcW w:type="dxa" w:w="5669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Pior ponto do caixa (capital mínimo necessário)</w:t>
            </w:r>
          </w:p>
        </w:tc>
        <w:tc>
          <w:tcPr>
            <w:tcW w:type="dxa" w:w="3402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R$ -8.959</w:t>
            </w:r>
          </w:p>
        </w:tc>
      </w:tr>
      <w:tr>
        <w:tc>
          <w:tcPr>
            <w:tcW w:type="dxa" w:w="5669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Primeiro mês com resultado positivo</w:t>
            </w:r>
          </w:p>
        </w:tc>
        <w:tc>
          <w:tcPr>
            <w:tcW w:type="dxa" w:w="3402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Abr/2027</w:t>
            </w:r>
          </w:p>
        </w:tc>
      </w:tr>
      <w:tr>
        <w:tc>
          <w:tcPr>
            <w:tcW w:type="dxa" w:w="5669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Receita líquida mensal em outubro de 2027</w:t>
            </w:r>
          </w:p>
        </w:tc>
        <w:tc>
          <w:tcPr>
            <w:tcW w:type="dxa" w:w="3402"/>
            <w:shd w:val="clear" w:color="auto" w:fill="F6F1E6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R$ 6.360</w:t>
            </w:r>
          </w:p>
        </w:tc>
      </w:tr>
      <w:tr>
        <w:tc>
          <w:tcPr>
            <w:tcW w:type="dxa" w:w="5669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Participação B2B na receita de outubro de 2027</w:t>
            </w:r>
          </w:p>
        </w:tc>
        <w:tc>
          <w:tcPr>
            <w:tcW w:type="dxa" w:w="3402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58,82%</w:t>
            </w:r>
          </w:p>
        </w:tc>
      </w:tr>
    </w:tbl>
    <w:p>
      <w:pPr>
        <w:spacing w:after="80"/>
      </w:pPr>
    </w:p>
    <w:p>
      <w:pPr>
        <w:spacing w:after="160" w:before="0" w:line="276" w:lineRule="auto"/>
        <w:ind w:firstLine="709"/>
        <w:jc w:val="both"/>
      </w:pPr>
      <w:r>
        <w:rPr>
          <w:rFonts w:ascii="Calibri" w:hAnsi="Calibri" w:cs="Calibri" w:eastAsia="Calibri"/>
          <w:b w:val="0"/>
          <w:i w:val="0"/>
          <w:sz w:val="24"/>
        </w:rPr>
        <w:t>Leitura: o investimento necessário para atravessar o beta e o lançamento é de cerca de R$ 8.959, coberto pelos fundadores no modelo bootstrap — o custo de oportunidade do tempo da equipe não está na conta, e deve ser declarado como tal. A partir do início da monetização o resultado mensal fica positivo e o B2B responde pela maior parte da receita, o que confirma a tese do modelo: o consumidor paga a infraestrutura, o parceiro paga a empresa. A planilha permite testar os cenários pessimista (conversão pela metade, parceiros pela metade) e otimista (conversão do Letterboxd) alterando duas células.</w:t>
      </w:r>
    </w:p>
    <w:p>
      <w:pPr>
        <w:pStyle w:val="Heading2"/>
        <w:keepNext/>
        <w:spacing w:before="280" w:after="160"/>
      </w:pPr>
      <w:r>
        <w:rPr>
          <w:rFonts w:ascii="Calibri" w:hAnsi="Calibri" w:cs="Calibri" w:eastAsia="Calibri"/>
          <w:b/>
          <w:i w:val="0"/>
          <w:color w:val="000000"/>
          <w:sz w:val="24"/>
        </w:rPr>
        <w:t>9.7 Custo da camada de IA do parceiro</w:t>
      </w:r>
    </w:p>
    <w:p>
      <w:pPr>
        <w:spacing w:after="160" w:before="0" w:line="276" w:lineRule="auto"/>
        <w:ind w:firstLine="709"/>
        <w:jc w:val="both"/>
      </w:pPr>
      <w:r>
        <w:rPr>
          <w:rFonts w:ascii="Calibri" w:hAnsi="Calibri" w:cs="Calibri" w:eastAsia="Calibri"/>
          <w:b w:val="0"/>
          <w:i w:val="0"/>
          <w:sz w:val="24"/>
        </w:rPr>
        <w:t>Modelo pequeno (US$ 1,00 por milhão de tokens de entrada e US$ 5,00 por milhão de saída), em lote uma vez por semana por parceiro: ~60 mil tokens de entrada (US$ 0,060) + ~1,5 mil de saída (US$ 0,0075) = US$ 0,0675 por análise ≈ R$ 0,35; quatro semanas ≈ R$ 1,40 por parceiro por mês. Com processamento em lote (−50%) e prompt cacheado (−90% na entrada repetida) cai mais. O custo de entregar a análise está no dado — ter massa de takes no bairro — não no modelo.</w:t>
      </w:r>
    </w:p>
    <w:sectPr w:rsidR="00FC693F" w:rsidRPr="0006063C" w:rsidSect="00034616">
      <w:footerReference w:type="default" r:id="rId9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cs="Calibri" w:eastAsia="Calibri"/>
        <w:b w:val="0"/>
        <w:i w:val="0"/>
        <w:color w:val="555555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