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8550" w14:textId="6CEA4F6E" w:rsidR="00206355" w:rsidRDefault="008C4500" w:rsidP="008C4500">
      <w:pPr>
        <w:tabs>
          <w:tab w:val="left" w:pos="7266"/>
        </w:tabs>
      </w:pPr>
      <w:r>
        <w:rPr>
          <w:noProof/>
        </w:rPr>
        <w:drawing>
          <wp:anchor distT="0" distB="0" distL="114300" distR="114300" simplePos="0" relativeHeight="251658240" behindDoc="1" locked="0" layoutInCell="1" allowOverlap="1" wp14:anchorId="3A03FB68" wp14:editId="73F61C0E">
            <wp:simplePos x="0" y="0"/>
            <wp:positionH relativeFrom="column">
              <wp:posOffset>0</wp:posOffset>
            </wp:positionH>
            <wp:positionV relativeFrom="paragraph">
              <wp:posOffset>0</wp:posOffset>
            </wp:positionV>
            <wp:extent cx="6045773" cy="14169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alphaModFix amt="50000"/>
                      <a:extLst>
                        <a:ext uri="{28A0092B-C50C-407E-A947-70E740481C1C}">
                          <a14:useLocalDpi xmlns:a14="http://schemas.microsoft.com/office/drawing/2010/main" val="0"/>
                        </a:ext>
                      </a:extLst>
                    </a:blip>
                    <a:srcRect/>
                    <a:stretch>
                      <a:fillRect/>
                    </a:stretch>
                  </pic:blipFill>
                  <pic:spPr bwMode="auto">
                    <a:xfrm>
                      <a:off x="0" y="0"/>
                      <a:ext cx="6045773" cy="1416978"/>
                    </a:xfrm>
                    <a:prstGeom prst="rect">
                      <a:avLst/>
                    </a:prstGeom>
                    <a:noFill/>
                  </pic:spPr>
                </pic:pic>
              </a:graphicData>
            </a:graphic>
          </wp:anchor>
        </w:drawing>
      </w:r>
      <w:r>
        <w:tab/>
      </w:r>
    </w:p>
    <w:p w14:paraId="491C07D3" w14:textId="77777777" w:rsidR="008C4500" w:rsidRDefault="008C4500" w:rsidP="008C4500">
      <w:pPr>
        <w:tabs>
          <w:tab w:val="left" w:pos="7222"/>
        </w:tabs>
        <w:rPr>
          <w:rFonts w:ascii="IBM Plex Sans" w:hAnsi="IBM Plex Sans"/>
          <w:b/>
          <w:bCs/>
          <w:color w:val="767171" w:themeColor="background2" w:themeShade="80"/>
          <w:sz w:val="56"/>
          <w:szCs w:val="56"/>
        </w:rPr>
      </w:pPr>
      <w:r w:rsidRPr="008C4500">
        <w:rPr>
          <w:rFonts w:ascii="IBM Plex Sans" w:hAnsi="IBM Plex Sans"/>
          <w:b/>
          <w:bCs/>
          <w:color w:val="767171" w:themeColor="background2" w:themeShade="80"/>
          <w:sz w:val="56"/>
          <w:szCs w:val="56"/>
        </w:rPr>
        <w:t>Doctorat-</w:t>
      </w:r>
    </w:p>
    <w:p w14:paraId="28372EFD" w14:textId="1A81C9AE" w:rsidR="008C4500" w:rsidRDefault="008C4500" w:rsidP="008C4500">
      <w:pPr>
        <w:tabs>
          <w:tab w:val="left" w:pos="7222"/>
        </w:tabs>
        <w:rPr>
          <w:rFonts w:ascii="IBM Plex Sans" w:hAnsi="IBM Plex Sans"/>
          <w:b/>
          <w:bCs/>
          <w:sz w:val="56"/>
          <w:szCs w:val="56"/>
        </w:rPr>
      </w:pPr>
      <w:r w:rsidRPr="008C4500">
        <w:rPr>
          <w:rFonts w:ascii="IBM Plex Sans" w:hAnsi="IBM Plex Sans"/>
          <w:b/>
          <w:bCs/>
          <w:color w:val="767171" w:themeColor="background2" w:themeShade="80"/>
          <w:sz w:val="56"/>
          <w:szCs w:val="56"/>
        </w:rPr>
        <w:t>Admitere 2022</w:t>
      </w:r>
      <w:r w:rsidRPr="008C4500">
        <w:rPr>
          <w:rFonts w:ascii="IBM Plex Sans" w:hAnsi="IBM Plex Sans"/>
          <w:b/>
          <w:bCs/>
          <w:sz w:val="56"/>
          <w:szCs w:val="56"/>
        </w:rPr>
        <w:tab/>
      </w:r>
    </w:p>
    <w:p w14:paraId="5B4E0780" w14:textId="77777777" w:rsidR="000D2B77" w:rsidRPr="000D2B77" w:rsidRDefault="000D2B77" w:rsidP="000D2B77">
      <w:pPr>
        <w:shd w:val="clear" w:color="auto" w:fill="F9F9F9"/>
        <w:spacing w:before="100" w:beforeAutospacing="1" w:after="100" w:afterAutospacing="1" w:line="240" w:lineRule="auto"/>
        <w:outlineLvl w:val="2"/>
        <w:rPr>
          <w:rFonts w:ascii="IBM Plex Serif" w:eastAsia="Times New Roman" w:hAnsi="IBM Plex Serif" w:cs="Times New Roman"/>
          <w:b/>
          <w:bCs/>
          <w:color w:val="42526E"/>
          <w:spacing w:val="-5"/>
          <w:sz w:val="28"/>
          <w:szCs w:val="28"/>
          <w:lang w:eastAsia="en-GB"/>
        </w:rPr>
      </w:pPr>
      <w:r w:rsidRPr="000D2B77">
        <w:rPr>
          <w:rFonts w:ascii="IBM Plex Serif" w:eastAsia="Times New Roman" w:hAnsi="IBM Plex Serif" w:cs="Times New Roman"/>
          <w:b/>
          <w:bCs/>
          <w:color w:val="42526E"/>
          <w:spacing w:val="-5"/>
          <w:sz w:val="28"/>
          <w:szCs w:val="28"/>
          <w:lang w:eastAsia="en-GB"/>
        </w:rPr>
        <w:t>Calendar</w:t>
      </w:r>
    </w:p>
    <w:p w14:paraId="5B82A2FF"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SESIUNEA I</w:t>
      </w:r>
    </w:p>
    <w:p w14:paraId="3DB40740" w14:textId="77777777" w:rsidR="000D2B77" w:rsidRPr="000D2B77" w:rsidRDefault="000D2B77" w:rsidP="000D2B77">
      <w:pPr>
        <w:numPr>
          <w:ilvl w:val="0"/>
          <w:numId w:val="1"/>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Perioada de înscriere: 04.07.2022 – 14.07.2022</w:t>
      </w:r>
      <w:r w:rsidRPr="000D2B77">
        <w:rPr>
          <w:rFonts w:ascii="IBM Plex Sans" w:eastAsia="Times New Roman" w:hAnsi="IBM Plex Sans" w:cs="Times New Roman"/>
          <w:color w:val="42526E"/>
          <w:sz w:val="24"/>
          <w:szCs w:val="24"/>
          <w:lang w:eastAsia="en-GB"/>
        </w:rPr>
        <w:t>;</w:t>
      </w:r>
    </w:p>
    <w:p w14:paraId="3E86EA55" w14:textId="77777777" w:rsidR="000D2B77" w:rsidRPr="000D2B77" w:rsidRDefault="000D2B77" w:rsidP="000D2B77">
      <w:pPr>
        <w:numPr>
          <w:ilvl w:val="0"/>
          <w:numId w:val="1"/>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Testul la limba străină: 15.07.2022, ora 10, </w:t>
      </w:r>
      <w:r w:rsidRPr="000D2B77">
        <w:rPr>
          <w:rFonts w:ascii="IBM Plex Sans" w:eastAsia="Times New Roman" w:hAnsi="IBM Plex Sans" w:cs="Times New Roman"/>
          <w:color w:val="42526E"/>
          <w:sz w:val="24"/>
          <w:szCs w:val="24"/>
          <w:lang w:eastAsia="en-GB"/>
        </w:rPr>
        <w:t>Catedra de Limbi străine, Corp CH, etaj 5 (pentru candidații înscriși în sesiunea I).</w:t>
      </w:r>
    </w:p>
    <w:p w14:paraId="58D88EAD"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SESIUNEA II</w:t>
      </w:r>
    </w:p>
    <w:p w14:paraId="06E66DD9" w14:textId="77777777" w:rsidR="000D2B77" w:rsidRPr="000D2B77" w:rsidRDefault="000D2B77" w:rsidP="000D2B77">
      <w:pPr>
        <w:numPr>
          <w:ilvl w:val="0"/>
          <w:numId w:val="2"/>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Perioada de înscriere: 01.09.2022 – 15.09.2022;</w:t>
      </w:r>
    </w:p>
    <w:p w14:paraId="5110DFFE" w14:textId="77777777" w:rsidR="000D2B77" w:rsidRPr="000D2B77" w:rsidRDefault="000D2B77" w:rsidP="000D2B77">
      <w:pPr>
        <w:numPr>
          <w:ilvl w:val="0"/>
          <w:numId w:val="2"/>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Testul la limba străină:</w:t>
      </w:r>
      <w:r w:rsidRPr="000D2B77">
        <w:rPr>
          <w:rFonts w:ascii="IBM Plex Sans" w:eastAsia="Times New Roman" w:hAnsi="IBM Plex Sans" w:cs="Times New Roman"/>
          <w:color w:val="42526E"/>
          <w:sz w:val="24"/>
          <w:szCs w:val="24"/>
          <w:lang w:eastAsia="en-GB"/>
        </w:rPr>
        <w:t> </w:t>
      </w:r>
      <w:r w:rsidRPr="000D2B77">
        <w:rPr>
          <w:rFonts w:ascii="IBM Plex Sans" w:eastAsia="Times New Roman" w:hAnsi="IBM Plex Sans" w:cs="Times New Roman"/>
          <w:b/>
          <w:bCs/>
          <w:color w:val="42526E"/>
          <w:sz w:val="24"/>
          <w:szCs w:val="24"/>
          <w:lang w:eastAsia="en-GB"/>
        </w:rPr>
        <w:t>16.09.2022, ora 10, </w:t>
      </w:r>
      <w:r w:rsidRPr="000D2B77">
        <w:rPr>
          <w:rFonts w:ascii="IBM Plex Sans" w:eastAsia="Times New Roman" w:hAnsi="IBM Plex Sans" w:cs="Times New Roman"/>
          <w:color w:val="42526E"/>
          <w:sz w:val="24"/>
          <w:szCs w:val="24"/>
          <w:lang w:eastAsia="en-GB"/>
        </w:rPr>
        <w:t>Catedra de Limbi străine, Corp CH, etaj 5 (pentru candidații înscriși în ambele sesiuni).</w:t>
      </w:r>
    </w:p>
    <w:p w14:paraId="0F6DFC07"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SUSŢINEREA COLOCVIULUI</w:t>
      </w:r>
      <w:r w:rsidRPr="000D2B77">
        <w:rPr>
          <w:rFonts w:ascii="IBM Plex Sans" w:eastAsia="Times New Roman" w:hAnsi="IBM Plex Sans" w:cs="Times New Roman"/>
          <w:color w:val="42526E"/>
          <w:sz w:val="24"/>
          <w:szCs w:val="24"/>
          <w:lang w:eastAsia="en-GB"/>
        </w:rPr>
        <w:t> </w:t>
      </w:r>
      <w:r w:rsidRPr="000D2B77">
        <w:rPr>
          <w:rFonts w:ascii="IBM Plex Sans" w:eastAsia="Times New Roman" w:hAnsi="IBM Plex Sans" w:cs="Times New Roman"/>
          <w:b/>
          <w:bCs/>
          <w:color w:val="42526E"/>
          <w:sz w:val="24"/>
          <w:szCs w:val="24"/>
          <w:lang w:eastAsia="en-GB"/>
        </w:rPr>
        <w:t>DE ADMITERE:</w:t>
      </w:r>
      <w:r w:rsidRPr="000D2B77">
        <w:rPr>
          <w:rFonts w:ascii="IBM Plex Sans" w:eastAsia="Times New Roman" w:hAnsi="IBM Plex Sans" w:cs="Times New Roman"/>
          <w:color w:val="42526E"/>
          <w:sz w:val="24"/>
          <w:szCs w:val="24"/>
          <w:lang w:eastAsia="en-GB"/>
        </w:rPr>
        <w:t> </w:t>
      </w:r>
      <w:r w:rsidRPr="000D2B77">
        <w:rPr>
          <w:rFonts w:ascii="IBM Plex Sans" w:eastAsia="Times New Roman" w:hAnsi="IBM Plex Sans" w:cs="Times New Roman"/>
          <w:b/>
          <w:bCs/>
          <w:color w:val="42526E"/>
          <w:sz w:val="24"/>
          <w:szCs w:val="24"/>
          <w:lang w:eastAsia="en-GB"/>
        </w:rPr>
        <w:t>19.09.2022 – 22.09.2022</w:t>
      </w:r>
      <w:r w:rsidRPr="000D2B77">
        <w:rPr>
          <w:rFonts w:ascii="IBM Plex Sans" w:eastAsia="Times New Roman" w:hAnsi="IBM Plex Sans" w:cs="Times New Roman"/>
          <w:color w:val="42526E"/>
          <w:sz w:val="24"/>
          <w:szCs w:val="24"/>
          <w:lang w:eastAsia="en-GB"/>
        </w:rPr>
        <w:t>, respectând planificarea transmisă de facultăți.</w:t>
      </w:r>
    </w:p>
    <w:p w14:paraId="096A497A" w14:textId="3BA01B76" w:rsid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8"/>
          <w:szCs w:val="28"/>
          <w:lang w:eastAsia="en-GB"/>
        </w:rPr>
      </w:pPr>
      <w:hyperlink r:id="rId6" w:history="1">
        <w:r w:rsidRPr="000D2B77">
          <w:rPr>
            <w:rFonts w:ascii="IBM Plex Sans" w:eastAsia="Times New Roman" w:hAnsi="IBM Plex Sans" w:cs="Times New Roman"/>
            <w:color w:val="2962FF"/>
            <w:sz w:val="28"/>
            <w:szCs w:val="28"/>
            <w:u w:val="single"/>
            <w:lang w:eastAsia="en-GB"/>
          </w:rPr>
          <w:t>Taxe</w:t>
        </w:r>
      </w:hyperlink>
    </w:p>
    <w:p w14:paraId="50CF3902"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Dosarul cu acte va fi încărcat inițial online în cele două perioade de înscriere și ulterior depus și în original.</w:t>
      </w:r>
    </w:p>
    <w:p w14:paraId="38CAD319"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Termenul limită pentru depunerea actelor în original </w:t>
      </w:r>
      <w:r w:rsidRPr="000D2B77">
        <w:rPr>
          <w:rFonts w:ascii="IBM Plex Sans" w:eastAsia="Times New Roman" w:hAnsi="IBM Plex Sans" w:cs="Times New Roman"/>
          <w:color w:val="42526E"/>
          <w:sz w:val="24"/>
          <w:szCs w:val="24"/>
          <w:lang w:eastAsia="en-GB"/>
        </w:rPr>
        <w:t>pentru studenții doctoranzi admiși pe locurile finanțate de la buget:</w:t>
      </w:r>
      <w:r w:rsidRPr="000D2B77">
        <w:rPr>
          <w:rFonts w:ascii="IBM Plex Sans" w:eastAsia="Times New Roman" w:hAnsi="IBM Plex Sans" w:cs="Times New Roman"/>
          <w:b/>
          <w:bCs/>
          <w:color w:val="42526E"/>
          <w:sz w:val="24"/>
          <w:szCs w:val="24"/>
          <w:lang w:eastAsia="en-GB"/>
        </w:rPr>
        <w:t> 28.09.2022.</w:t>
      </w:r>
    </w:p>
    <w:p w14:paraId="581149F6" w14:textId="77777777" w:rsidR="000D2B77" w:rsidRPr="000D2B77" w:rsidRDefault="000D2B77" w:rsidP="000D2B77">
      <w:pPr>
        <w:shd w:val="clear" w:color="auto" w:fill="F9F9F9"/>
        <w:spacing w:before="100" w:beforeAutospacing="1" w:after="100" w:afterAutospacing="1" w:line="240" w:lineRule="auto"/>
        <w:outlineLvl w:val="2"/>
        <w:rPr>
          <w:rFonts w:ascii="IBM Plex Serif" w:eastAsia="Times New Roman" w:hAnsi="IBM Plex Serif" w:cs="Times New Roman"/>
          <w:color w:val="42526E"/>
          <w:spacing w:val="-5"/>
          <w:sz w:val="27"/>
          <w:szCs w:val="27"/>
          <w:lang w:eastAsia="en-GB"/>
        </w:rPr>
      </w:pPr>
      <w:r w:rsidRPr="000D2B77">
        <w:rPr>
          <w:rFonts w:ascii="IBM Plex Serif" w:eastAsia="Times New Roman" w:hAnsi="IBM Plex Serif" w:cs="Times New Roman"/>
          <w:color w:val="42526E"/>
          <w:spacing w:val="-5"/>
          <w:sz w:val="27"/>
          <w:szCs w:val="27"/>
          <w:lang w:eastAsia="en-GB"/>
        </w:rPr>
        <w:t>Testul de competență lingvistică</w:t>
      </w:r>
    </w:p>
    <w:p w14:paraId="2A4F4114"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b/>
          <w:bCs/>
          <w:color w:val="42526E"/>
          <w:sz w:val="24"/>
          <w:szCs w:val="24"/>
          <w:lang w:eastAsia="en-GB"/>
        </w:rPr>
        <w:t>Testul de competenta lingvistică</w:t>
      </w:r>
      <w:r w:rsidRPr="000D2B77">
        <w:rPr>
          <w:rFonts w:ascii="IBM Plex Sans" w:eastAsia="Times New Roman" w:hAnsi="IBM Plex Sans" w:cs="Times New Roman"/>
          <w:color w:val="42526E"/>
          <w:sz w:val="24"/>
          <w:szCs w:val="24"/>
          <w:lang w:eastAsia="en-GB"/>
        </w:rPr>
        <w:t> va fi susținut de către:</w:t>
      </w:r>
    </w:p>
    <w:p w14:paraId="3D806685" w14:textId="77777777" w:rsidR="000D2B77" w:rsidRPr="000D2B77" w:rsidRDefault="000D2B77" w:rsidP="000D2B77">
      <w:pPr>
        <w:numPr>
          <w:ilvl w:val="0"/>
          <w:numId w:val="3"/>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color w:val="42526E"/>
          <w:sz w:val="24"/>
          <w:szCs w:val="24"/>
          <w:lang w:eastAsia="en-GB"/>
        </w:rPr>
        <w:t>absolvenții de lungă durată ai universității noastre (5 ani);</w:t>
      </w:r>
    </w:p>
    <w:p w14:paraId="01E9D662" w14:textId="77777777" w:rsidR="000D2B77" w:rsidRPr="000D2B77" w:rsidRDefault="000D2B77" w:rsidP="000D2B77">
      <w:pPr>
        <w:numPr>
          <w:ilvl w:val="0"/>
          <w:numId w:val="3"/>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0D2B77">
        <w:rPr>
          <w:rFonts w:ascii="IBM Plex Sans" w:eastAsia="Times New Roman" w:hAnsi="IBM Plex Sans" w:cs="Times New Roman"/>
          <w:color w:val="42526E"/>
          <w:sz w:val="24"/>
          <w:szCs w:val="24"/>
          <w:lang w:eastAsia="en-GB"/>
        </w:rPr>
        <w:t>absolvenții altor universități, care nu au un certificat internațional de limbă engleză, franceză, germană sau eliberat de centrele culturale sau de cele care funcționeazaă în cadrul unversităților acreditate, dacă sunt în termen de valabilitate.</w:t>
      </w:r>
    </w:p>
    <w:p w14:paraId="02D22DD2" w14:textId="77777777" w:rsidR="000D2B77" w:rsidRPr="000D2B77" w:rsidRDefault="000D2B77" w:rsidP="000D2B77">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hyperlink r:id="rId7" w:history="1">
        <w:r w:rsidRPr="000D2B77">
          <w:rPr>
            <w:rFonts w:ascii="IBM Plex Sans" w:eastAsia="Times New Roman" w:hAnsi="IBM Plex Sans" w:cs="Times New Roman"/>
            <w:color w:val="2962FF"/>
            <w:sz w:val="24"/>
            <w:szCs w:val="24"/>
            <w:u w:val="single"/>
            <w:lang w:eastAsia="en-GB"/>
          </w:rPr>
          <w:t>Informații privind modalitatea de susținere a testului de limbă străină</w:t>
        </w:r>
      </w:hyperlink>
    </w:p>
    <w:p w14:paraId="084A52FD" w14:textId="382A4ECD" w:rsidR="000D2B77" w:rsidRPr="001B2392" w:rsidRDefault="000D2B77" w:rsidP="000D2B77">
      <w:pPr>
        <w:shd w:val="clear" w:color="auto" w:fill="F9F9F9"/>
        <w:spacing w:beforeAutospacing="1" w:after="0" w:afterAutospacing="1" w:line="240" w:lineRule="auto"/>
        <w:jc w:val="both"/>
        <w:rPr>
          <w:rFonts w:ascii="IBM Plex Sans" w:eastAsia="Times New Roman" w:hAnsi="IBM Plex Sans" w:cs="Times New Roman"/>
          <w:sz w:val="24"/>
          <w:szCs w:val="24"/>
          <w:lang w:eastAsia="en-GB"/>
        </w:rPr>
      </w:pPr>
      <w:r w:rsidRPr="001B2392">
        <w:rPr>
          <w:rStyle w:val="Strong"/>
          <w:rFonts w:ascii="IBM Plex Sans" w:hAnsi="IBM Plex Sans"/>
          <w:sz w:val="24"/>
          <w:szCs w:val="24"/>
          <w:shd w:val="clear" w:color="auto" w:fill="F9F9F9"/>
        </w:rPr>
        <w:lastRenderedPageBreak/>
        <w:t>Taxa</w:t>
      </w:r>
      <w:r w:rsidRPr="001B2392">
        <w:rPr>
          <w:rFonts w:ascii="IBM Plex Sans" w:hAnsi="IBM Plex Sans"/>
          <w:sz w:val="24"/>
          <w:szCs w:val="24"/>
          <w:shd w:val="clear" w:color="auto" w:fill="F9F9F9"/>
        </w:rPr>
        <w:t> se va achita in contul </w:t>
      </w:r>
      <w:r w:rsidRPr="001B2392">
        <w:rPr>
          <w:rStyle w:val="Strong"/>
          <w:rFonts w:ascii="IBM Plex Sans" w:hAnsi="IBM Plex Sans"/>
          <w:sz w:val="24"/>
          <w:szCs w:val="24"/>
          <w:shd w:val="clear" w:color="auto" w:fill="F9F9F9"/>
        </w:rPr>
        <w:t>RO44TREZ40620F330500XXXX – Cod fiscal 4701606</w:t>
      </w:r>
      <w:r w:rsidRPr="001B2392">
        <w:rPr>
          <w:rStyle w:val="Strong"/>
          <w:rFonts w:ascii="IBM Plex Sans" w:hAnsi="IBM Plex Sans"/>
          <w:sz w:val="24"/>
          <w:szCs w:val="24"/>
          <w:shd w:val="clear" w:color="auto" w:fill="F9F9F9"/>
        </w:rPr>
        <w:t xml:space="preserve"> </w:t>
      </w:r>
      <w:r w:rsidRPr="001B2392">
        <w:rPr>
          <w:rFonts w:ascii="IBM Plex Sans" w:hAnsi="IBM Plex Sans"/>
          <w:sz w:val="24"/>
          <w:szCs w:val="24"/>
          <w:shd w:val="clear" w:color="auto" w:fill="F9F9F9"/>
        </w:rPr>
        <w:t>(Beneficiar – Universitatea Tehnică ,,Gheorghe Asachi” din Iași; Obiectul plății – Taxă susținere test limbă straină doctorat – LINGUATEK)</w:t>
      </w:r>
      <w:r w:rsidRPr="001B2392">
        <w:rPr>
          <w:rStyle w:val="Emphasis"/>
          <w:rFonts w:ascii="IBM Plex Sans" w:hAnsi="IBM Plex Sans"/>
          <w:sz w:val="24"/>
          <w:szCs w:val="24"/>
          <w:shd w:val="clear" w:color="auto" w:fill="F9F9F9"/>
        </w:rPr>
        <w:t>. </w:t>
      </w:r>
      <w:r w:rsidRPr="001B2392">
        <w:rPr>
          <w:rFonts w:ascii="IBM Plex Sans" w:hAnsi="IBM Plex Sans"/>
          <w:sz w:val="24"/>
          <w:szCs w:val="24"/>
          <w:shd w:val="clear" w:color="auto" w:fill="F9F9F9"/>
        </w:rPr>
        <w:t>La susținerea testului, veți face dovada plății acestei taxe.</w:t>
      </w:r>
    </w:p>
    <w:p w14:paraId="2C8C1F11" w14:textId="45AB3BE5" w:rsidR="001B2392" w:rsidRDefault="001B2392" w:rsidP="001B2392">
      <w:pPr>
        <w:shd w:val="clear" w:color="auto" w:fill="F9F9F9"/>
        <w:spacing w:before="100" w:beforeAutospacing="1" w:after="100" w:afterAutospacing="1" w:line="240" w:lineRule="auto"/>
        <w:jc w:val="both"/>
        <w:outlineLvl w:val="2"/>
        <w:rPr>
          <w:rFonts w:ascii="IBM Plex Serif" w:eastAsia="Times New Roman" w:hAnsi="IBM Plex Serif" w:cs="Times New Roman"/>
          <w:spacing w:val="-5"/>
          <w:sz w:val="27"/>
          <w:szCs w:val="27"/>
          <w:lang w:eastAsia="en-GB"/>
        </w:rPr>
      </w:pPr>
      <w:r w:rsidRPr="001B2392">
        <w:rPr>
          <w:rFonts w:ascii="IBM Plex Serif" w:eastAsia="Times New Roman" w:hAnsi="IBM Plex Serif" w:cs="Times New Roman"/>
          <w:spacing w:val="-5"/>
          <w:sz w:val="27"/>
          <w:szCs w:val="27"/>
          <w:lang w:eastAsia="en-GB"/>
        </w:rPr>
        <w:t>Admiterea cetățenilor români, a cetățenilor din statele membre ale Uniunii Europene și statele aparținând spațiului economic european și ai Confederației Elvețiene</w:t>
      </w:r>
      <w:r>
        <w:rPr>
          <w:rFonts w:ascii="IBM Plex Serif" w:eastAsia="Times New Roman" w:hAnsi="IBM Plex Serif" w:cs="Times New Roman"/>
          <w:spacing w:val="-5"/>
          <w:sz w:val="27"/>
          <w:szCs w:val="27"/>
          <w:lang w:eastAsia="en-GB"/>
        </w:rPr>
        <w:t>.</w:t>
      </w:r>
    </w:p>
    <w:p w14:paraId="1613A9A7" w14:textId="77777777" w:rsidR="001B2392" w:rsidRPr="001B2392" w:rsidRDefault="001B2392" w:rsidP="001B2392">
      <w:pPr>
        <w:shd w:val="clear" w:color="auto" w:fill="F9F9F9"/>
        <w:spacing w:beforeAutospacing="1" w:after="0" w:afterAutospacing="1" w:line="240" w:lineRule="auto"/>
        <w:jc w:val="both"/>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I. Acte necesare</w:t>
      </w:r>
    </w:p>
    <w:p w14:paraId="0B602657" w14:textId="77777777" w:rsidR="001B2392" w:rsidRPr="001B2392" w:rsidRDefault="001B2392" w:rsidP="001B2392">
      <w:pPr>
        <w:numPr>
          <w:ilvl w:val="0"/>
          <w:numId w:val="4"/>
        </w:numPr>
        <w:shd w:val="clear" w:color="auto" w:fill="F9F9F9"/>
        <w:spacing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b/>
          <w:bCs/>
          <w:color w:val="42526E"/>
          <w:sz w:val="24"/>
          <w:szCs w:val="24"/>
          <w:lang w:eastAsia="en-GB"/>
        </w:rPr>
        <w:t> </w:t>
      </w:r>
      <w:hyperlink r:id="rId8" w:history="1">
        <w:r w:rsidRPr="001B2392">
          <w:rPr>
            <w:rFonts w:ascii="IBM Plex Sans" w:eastAsia="Times New Roman" w:hAnsi="IBM Plex Sans" w:cs="Times New Roman"/>
            <w:color w:val="2962FF"/>
            <w:sz w:val="24"/>
            <w:szCs w:val="24"/>
            <w:u w:val="single"/>
            <w:lang w:eastAsia="en-GB"/>
          </w:rPr>
          <w:t>Cerere de înscriere</w:t>
        </w:r>
      </w:hyperlink>
      <w:r w:rsidRPr="001B2392">
        <w:rPr>
          <w:rFonts w:ascii="IBM Plex Sans" w:eastAsia="Times New Roman" w:hAnsi="IBM Plex Sans" w:cs="Times New Roman"/>
          <w:color w:val="42526E"/>
          <w:sz w:val="24"/>
          <w:szCs w:val="24"/>
          <w:lang w:eastAsia="en-GB"/>
        </w:rPr>
        <w:t xml:space="preserve">, </w:t>
      </w:r>
      <w:r w:rsidRPr="001B2392">
        <w:rPr>
          <w:rFonts w:ascii="IBM Plex Sans" w:eastAsia="Times New Roman" w:hAnsi="IBM Plex Sans" w:cs="Times New Roman"/>
          <w:sz w:val="24"/>
          <w:szCs w:val="24"/>
          <w:lang w:eastAsia="en-GB"/>
        </w:rPr>
        <w:t>înregistată la Registratura universității;</w:t>
      </w:r>
    </w:p>
    <w:p w14:paraId="02AB93B4" w14:textId="77777777" w:rsidR="001B2392" w:rsidRPr="001B2392" w:rsidRDefault="001B2392" w:rsidP="001B2392">
      <w:pPr>
        <w:numPr>
          <w:ilvl w:val="0"/>
          <w:numId w:val="4"/>
        </w:numPr>
        <w:shd w:val="clear" w:color="auto" w:fill="F9F9F9"/>
        <w:spacing w:before="100" w:beforeAutospacing="1" w:after="100" w:afterAutospacing="1" w:line="240" w:lineRule="auto"/>
        <w:jc w:val="both"/>
        <w:rPr>
          <w:rFonts w:ascii="IBM Plex Sans" w:eastAsia="Times New Roman" w:hAnsi="IBM Plex Sans" w:cs="Times New Roman"/>
          <w:color w:val="42526E"/>
          <w:sz w:val="24"/>
          <w:szCs w:val="24"/>
          <w:lang w:eastAsia="en-GB"/>
        </w:rPr>
      </w:pPr>
      <w:hyperlink r:id="rId9" w:history="1">
        <w:r w:rsidRPr="001B2392">
          <w:rPr>
            <w:rFonts w:ascii="IBM Plex Sans" w:eastAsia="Times New Roman" w:hAnsi="IBM Plex Sans" w:cs="Times New Roman"/>
            <w:color w:val="2962FF"/>
            <w:sz w:val="24"/>
            <w:szCs w:val="24"/>
            <w:u w:val="single"/>
            <w:lang w:eastAsia="en-GB"/>
          </w:rPr>
          <w:t>Fișa de înscriere</w:t>
        </w:r>
      </w:hyperlink>
    </w:p>
    <w:p w14:paraId="0B4E076F" w14:textId="77777777" w:rsidR="001B2392" w:rsidRPr="001B2392" w:rsidRDefault="001B2392" w:rsidP="001B2392">
      <w:pPr>
        <w:numPr>
          <w:ilvl w:val="0"/>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Copii xerox (nelegalizate) după următoarele acte, pe care se va menționa cu majuscule pe fiecare pagină, în dreapta jos: CONFORM CU ORIGINALUL</w:t>
      </w:r>
      <w:r w:rsidRPr="001B2392">
        <w:rPr>
          <w:rFonts w:ascii="IBM Plex Sans" w:eastAsia="Times New Roman" w:hAnsi="IBM Plex Sans" w:cs="Times New Roman"/>
          <w:i/>
          <w:iCs/>
          <w:sz w:val="24"/>
          <w:szCs w:val="24"/>
          <w:lang w:eastAsia="en-GB"/>
        </w:rPr>
        <w:t>, </w:t>
      </w:r>
      <w:r w:rsidRPr="001B2392">
        <w:rPr>
          <w:rFonts w:ascii="IBM Plex Sans" w:eastAsia="Times New Roman" w:hAnsi="IBM Plex Sans" w:cs="Times New Roman"/>
          <w:sz w:val="24"/>
          <w:szCs w:val="24"/>
          <w:lang w:eastAsia="en-GB"/>
        </w:rPr>
        <w:t>data, numele și prenumele candidatului și semnătura acestuia:</w:t>
      </w:r>
    </w:p>
    <w:p w14:paraId="4B7FD2CA"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certificat de naștere;</w:t>
      </w:r>
    </w:p>
    <w:p w14:paraId="01C67953"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actul de identitate;</w:t>
      </w:r>
    </w:p>
    <w:p w14:paraId="36292990"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certificat de căsătorie sau de schimbare a numelui (dacă este cazul);</w:t>
      </w:r>
    </w:p>
    <w:p w14:paraId="642C4CEF"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diploma de bacalaureat sau echivalentă cu aceasta, însoțită de anexe (foaie matricolă, supliment de diplomă etc);</w:t>
      </w:r>
    </w:p>
    <w:p w14:paraId="12905294"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diploma de absolvire a unei instituții de învățământ superior sau echivalentă cu aceasta, însoțită de anexe (foaie matricolă, supliment de diplomă etc);</w:t>
      </w:r>
    </w:p>
    <w:p w14:paraId="45BCC4DE"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pentru absolvenții Bologna (admiși la studiile universitare de licență începând cu 2005): diploma/adeverință de master sau echivalentă cu aceasta, însoțită de anexe (foaie matricolă, supliment de diplomă etc.)</w:t>
      </w:r>
    </w:p>
    <w:p w14:paraId="75D94EF6" w14:textId="77777777" w:rsidR="001B2392" w:rsidRPr="001B2392" w:rsidRDefault="001B2392" w:rsidP="001B2392">
      <w:pPr>
        <w:numPr>
          <w:ilvl w:val="1"/>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Candidații care se înscriu la formele de doctorat cu frecvență sau cu frecvență redusă fără bursă vor depune la dosar, în locul copiilor xerox, urmatoarele documente în original:</w:t>
      </w:r>
    </w:p>
    <w:p w14:paraId="2CB73D29" w14:textId="77777777" w:rsidR="001B2392" w:rsidRPr="001B2392" w:rsidRDefault="001B2392" w:rsidP="001B2392">
      <w:pPr>
        <w:numPr>
          <w:ilvl w:val="2"/>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 diploma de licență cu foaia matricolă / supliment de diploma;</w:t>
      </w:r>
    </w:p>
    <w:p w14:paraId="0CB2293C" w14:textId="77777777" w:rsidR="001B2392" w:rsidRPr="001B2392" w:rsidRDefault="001B2392" w:rsidP="001B2392">
      <w:pPr>
        <w:numPr>
          <w:ilvl w:val="2"/>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diploma/adeverința de master cu foaia matricolă/supliment de diploma.</w:t>
      </w:r>
    </w:p>
    <w:p w14:paraId="29E4A662" w14:textId="77777777" w:rsidR="001B2392" w:rsidRPr="001B2392" w:rsidRDefault="001B2392" w:rsidP="001B2392">
      <w:pPr>
        <w:numPr>
          <w:ilvl w:val="0"/>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Adeverință medicală tip – emisă de medicul de familie, în care să se precizeze că nu este în evidență cu boli psihice și infecto-contagioase;</w:t>
      </w:r>
    </w:p>
    <w:p w14:paraId="43CFD14C" w14:textId="77777777" w:rsidR="001B2392" w:rsidRPr="001B2392" w:rsidRDefault="001B2392" w:rsidP="001B2392">
      <w:pPr>
        <w:numPr>
          <w:ilvl w:val="0"/>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Memoriul de activitate științifică și lista lucrărilor științifice elaborate și publicate de către candidat (dacă este cazul);</w:t>
      </w:r>
    </w:p>
    <w:p w14:paraId="169D2655" w14:textId="77777777" w:rsidR="001B2392" w:rsidRPr="001B2392" w:rsidRDefault="001B2392" w:rsidP="001B2392">
      <w:pPr>
        <w:numPr>
          <w:ilvl w:val="0"/>
          <w:numId w:val="4"/>
        </w:numPr>
        <w:shd w:val="clear" w:color="auto" w:fill="F9F9F9"/>
        <w:spacing w:before="100" w:beforeAutospacing="1" w:after="100" w:afterAutospacing="1"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CV-ul în format </w:t>
      </w:r>
      <w:hyperlink r:id="rId10" w:history="1">
        <w:r w:rsidRPr="001B2392">
          <w:rPr>
            <w:rFonts w:ascii="IBM Plex Sans" w:eastAsia="Times New Roman" w:hAnsi="IBM Plex Sans" w:cs="Times New Roman"/>
            <w:sz w:val="24"/>
            <w:szCs w:val="24"/>
            <w:u w:val="single"/>
            <w:lang w:eastAsia="en-GB"/>
          </w:rPr>
          <w:t>EUROPASS</w:t>
        </w:r>
      </w:hyperlink>
      <w:r w:rsidRPr="001B2392">
        <w:rPr>
          <w:rFonts w:ascii="IBM Plex Sans" w:eastAsia="Times New Roman" w:hAnsi="IBM Plex Sans" w:cs="Times New Roman"/>
          <w:sz w:val="24"/>
          <w:szCs w:val="24"/>
          <w:lang w:eastAsia="en-GB"/>
        </w:rPr>
        <w:t>;</w:t>
      </w:r>
    </w:p>
    <w:p w14:paraId="25D43690" w14:textId="77777777" w:rsidR="001B2392" w:rsidRPr="001B2392" w:rsidRDefault="001B2392" w:rsidP="001B2392">
      <w:pPr>
        <w:numPr>
          <w:ilvl w:val="0"/>
          <w:numId w:val="4"/>
        </w:numPr>
        <w:shd w:val="clear" w:color="auto" w:fill="F9F9F9"/>
        <w:spacing w:before="100" w:beforeAutospacing="1" w:after="0" w:line="240" w:lineRule="auto"/>
        <w:jc w:val="both"/>
        <w:rPr>
          <w:rFonts w:ascii="IBM Plex Sans" w:eastAsia="Times New Roman" w:hAnsi="IBM Plex Sans" w:cs="Times New Roman"/>
          <w:sz w:val="24"/>
          <w:szCs w:val="24"/>
          <w:lang w:eastAsia="en-GB"/>
        </w:rPr>
      </w:pPr>
      <w:r w:rsidRPr="001B2392">
        <w:rPr>
          <w:rFonts w:ascii="IBM Plex Sans" w:eastAsia="Times New Roman" w:hAnsi="IBM Plex Sans" w:cs="Times New Roman"/>
          <w:sz w:val="24"/>
          <w:szCs w:val="24"/>
          <w:lang w:eastAsia="en-GB"/>
        </w:rPr>
        <w:t>Chitanța de achitare a taxei de înscriere în valoare de 100 lei. Excepție fac angajații TUIASI, care vor prezenta adeverința de salariat și pentru care taxa de înscriere la concursul de admitere este 50 lei. Taxa se achită la casieria universității (Corp T, parter) sau în contul </w:t>
      </w:r>
      <w:r w:rsidRPr="001B2392">
        <w:rPr>
          <w:rFonts w:ascii="IBM Plex Sans" w:eastAsia="Times New Roman" w:hAnsi="IBM Plex Sans" w:cs="Times New Roman"/>
          <w:b/>
          <w:bCs/>
          <w:sz w:val="24"/>
          <w:szCs w:val="24"/>
          <w:lang w:eastAsia="en-GB"/>
        </w:rPr>
        <w:t>RO44TREZ40620F330500XXXX – Cod fiscal 4701606</w:t>
      </w:r>
      <w:r w:rsidRPr="001B2392">
        <w:rPr>
          <w:rFonts w:ascii="IBM Plex Sans" w:eastAsia="Times New Roman" w:hAnsi="IBM Plex Sans" w:cs="Times New Roman"/>
          <w:i/>
          <w:iCs/>
          <w:sz w:val="24"/>
          <w:szCs w:val="24"/>
          <w:lang w:eastAsia="en-GB"/>
        </w:rPr>
        <w:t> (</w:t>
      </w:r>
      <w:r w:rsidRPr="001B2392">
        <w:rPr>
          <w:rFonts w:ascii="IBM Plex Sans" w:eastAsia="Times New Roman" w:hAnsi="IBM Plex Sans" w:cs="Times New Roman"/>
          <w:sz w:val="24"/>
          <w:szCs w:val="24"/>
          <w:lang w:eastAsia="en-GB"/>
        </w:rPr>
        <w:t xml:space="preserve">Beneficiar – Universitatea Tehnică ,,Gheorghe Asachi” din Iași; Obiectul plății – Taxă admitere doctorat). De asemenea, copiii </w:t>
      </w:r>
      <w:r w:rsidRPr="001B2392">
        <w:rPr>
          <w:rFonts w:ascii="IBM Plex Sans" w:eastAsia="Times New Roman" w:hAnsi="IBM Plex Sans" w:cs="Times New Roman"/>
          <w:sz w:val="24"/>
          <w:szCs w:val="24"/>
          <w:lang w:eastAsia="en-GB"/>
        </w:rPr>
        <w:lastRenderedPageBreak/>
        <w:t>personalului didactic și didactic auxiliar aflat în activitate sau orfanii de unul sau ambii părinți care au activat în sistemul de învățământ sunt scutiți de plata taxei de înscriere. Aceștia vor include în dosarul de înscriere adeverința doveditoare.</w:t>
      </w:r>
    </w:p>
    <w:p w14:paraId="40EA2A11"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Diplomele de studii obținute în strainatate trebuie sa fie echivalate/recunoscute la M.E.N./CNRED înainte de depunerea dosarului de înscriere. Pentru informa</w:t>
      </w:r>
      <w:r w:rsidRPr="001B2392">
        <w:rPr>
          <w:rFonts w:ascii="IBM Plex Sans" w:eastAsia="Times New Roman" w:hAnsi="IBM Plex Sans" w:cs="Times New Roman"/>
          <w:color w:val="42526E"/>
          <w:sz w:val="24"/>
          <w:szCs w:val="24"/>
          <w:lang w:eastAsia="en-GB"/>
        </w:rPr>
        <w:t>ț</w:t>
      </w:r>
      <w:r w:rsidRPr="001B2392">
        <w:rPr>
          <w:rFonts w:ascii="IBM Plex Sans" w:eastAsia="Times New Roman" w:hAnsi="IBM Plex Sans" w:cs="Times New Roman"/>
          <w:b/>
          <w:bCs/>
          <w:color w:val="42526E"/>
          <w:sz w:val="24"/>
          <w:szCs w:val="24"/>
          <w:lang w:eastAsia="en-GB"/>
        </w:rPr>
        <w:t>ii, accesați pagina – </w:t>
      </w:r>
      <w:hyperlink r:id="rId11" w:history="1">
        <w:r w:rsidRPr="001B2392">
          <w:rPr>
            <w:rFonts w:ascii="IBM Plex Sans" w:eastAsia="Times New Roman" w:hAnsi="IBM Plex Sans" w:cs="Times New Roman"/>
            <w:b/>
            <w:bCs/>
            <w:color w:val="2962FF"/>
            <w:sz w:val="24"/>
            <w:szCs w:val="24"/>
            <w:u w:val="single"/>
            <w:lang w:eastAsia="en-GB"/>
          </w:rPr>
          <w:t>https://cnred.edu.ro/ro/studii-universitare</w:t>
        </w:r>
      </w:hyperlink>
      <w:r w:rsidRPr="001B2392">
        <w:rPr>
          <w:rFonts w:ascii="IBM Plex Sans" w:eastAsia="Times New Roman" w:hAnsi="IBM Plex Sans" w:cs="Times New Roman"/>
          <w:color w:val="42526E"/>
          <w:sz w:val="24"/>
          <w:szCs w:val="24"/>
          <w:lang w:eastAsia="en-GB"/>
        </w:rPr>
        <w:t>.</w:t>
      </w:r>
    </w:p>
    <w:p w14:paraId="725CAE88"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Pentru verificarea corectitudinii copiilor documentelor menționate mai sus, candidații trebuie să aibă asupra lor și originalele acestora atunci când depun dosarele.</w:t>
      </w:r>
    </w:p>
    <w:p w14:paraId="68A087DF"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Actele solicitate mai sus se vor pune într-un dosar de carton plic și depune la Rectorat Corp T, etaj I, camera B105, la dna ing. Cristina Nagîț.</w:t>
      </w:r>
      <w:r w:rsidRPr="001B2392">
        <w:rPr>
          <w:rFonts w:ascii="IBM Plex Sans" w:eastAsia="Times New Roman" w:hAnsi="IBM Plex Sans" w:cs="Times New Roman"/>
          <w:color w:val="42526E"/>
          <w:sz w:val="24"/>
          <w:szCs w:val="24"/>
          <w:lang w:eastAsia="en-GB"/>
        </w:rPr>
        <w:br/>
        <w:t>Pe dosar se vor menționa următoarele date:</w:t>
      </w:r>
    </w:p>
    <w:p w14:paraId="71896893" w14:textId="77777777" w:rsidR="001B2392" w:rsidRPr="001B2392" w:rsidRDefault="001B2392" w:rsidP="001B2392">
      <w:pPr>
        <w:numPr>
          <w:ilvl w:val="0"/>
          <w:numId w:val="5"/>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numele și prenumele candidatului cu inițiala tatălui (candidatele casătorite vor scrie mai întâi numele din certificatul de naștere, iar la sfârșit, în paranteză, cel de căsătorie);</w:t>
      </w:r>
    </w:p>
    <w:p w14:paraId="3F7DC531" w14:textId="77777777" w:rsidR="001B2392" w:rsidRPr="001B2392" w:rsidRDefault="001B2392" w:rsidP="001B2392">
      <w:pPr>
        <w:numPr>
          <w:ilvl w:val="0"/>
          <w:numId w:val="5"/>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conducătorul de doctorat;</w:t>
      </w:r>
    </w:p>
    <w:p w14:paraId="5702B0F5" w14:textId="77777777" w:rsidR="001B2392" w:rsidRPr="001B2392" w:rsidRDefault="001B2392" w:rsidP="001B2392">
      <w:pPr>
        <w:numPr>
          <w:ilvl w:val="0"/>
          <w:numId w:val="5"/>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facultatea;</w:t>
      </w:r>
    </w:p>
    <w:p w14:paraId="1D4B7DC6" w14:textId="77777777" w:rsidR="001B2392" w:rsidRPr="001B2392" w:rsidRDefault="001B2392" w:rsidP="001B2392">
      <w:pPr>
        <w:numPr>
          <w:ilvl w:val="0"/>
          <w:numId w:val="5"/>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domeniul de doctorat;</w:t>
      </w:r>
    </w:p>
    <w:p w14:paraId="304FA51F" w14:textId="77777777" w:rsidR="001B2392" w:rsidRDefault="001B2392" w:rsidP="001B2392">
      <w:pPr>
        <w:numPr>
          <w:ilvl w:val="0"/>
          <w:numId w:val="5"/>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forma de învățământ: cu frecvență cu bursă-BUGET/cu frecvență fără bursă-BUGET/cu frecvență redusă fără bursă-BUGET/cu frecvență cu TAXA.</w:t>
      </w:r>
    </w:p>
    <w:p w14:paraId="5673412D" w14:textId="77777777" w:rsidR="001B2392" w:rsidRDefault="001B2392" w:rsidP="001B2392">
      <w:p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II. </w:t>
      </w:r>
      <w:hyperlink r:id="rId12" w:history="1">
        <w:r w:rsidRPr="001B2392">
          <w:rPr>
            <w:rFonts w:ascii="IBM Plex Sans" w:eastAsia="Times New Roman" w:hAnsi="IBM Plex Sans" w:cs="Times New Roman"/>
            <w:b/>
            <w:bCs/>
            <w:color w:val="2962FF"/>
            <w:sz w:val="24"/>
            <w:szCs w:val="24"/>
            <w:u w:val="single"/>
            <w:lang w:eastAsia="en-GB"/>
          </w:rPr>
          <w:t>Locuri pentru admitere</w:t>
        </w:r>
      </w:hyperlink>
    </w:p>
    <w:p w14:paraId="728994F6" w14:textId="5C918A4B" w:rsidR="001B2392" w:rsidRPr="001B2392" w:rsidRDefault="001B2392" w:rsidP="001B2392">
      <w:p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III.</w:t>
      </w:r>
      <w:r w:rsidRPr="001B2392">
        <w:rPr>
          <w:rFonts w:ascii="IBM Plex Sans" w:eastAsia="Times New Roman" w:hAnsi="IBM Plex Sans" w:cs="Times New Roman"/>
          <w:color w:val="42526E"/>
          <w:sz w:val="24"/>
          <w:szCs w:val="24"/>
          <w:lang w:eastAsia="en-GB"/>
        </w:rPr>
        <w:t> </w:t>
      </w:r>
      <w:hyperlink r:id="rId13" w:history="1">
        <w:r w:rsidRPr="001B2392">
          <w:rPr>
            <w:rFonts w:ascii="IBM Plex Sans" w:eastAsia="Times New Roman" w:hAnsi="IBM Plex Sans" w:cs="Times New Roman"/>
            <w:b/>
            <w:bCs/>
            <w:color w:val="2962FF"/>
            <w:sz w:val="24"/>
            <w:szCs w:val="24"/>
            <w:u w:val="single"/>
            <w:lang w:eastAsia="en-GB"/>
          </w:rPr>
          <w:t>Cuantumul actual al burselor</w:t>
        </w:r>
      </w:hyperlink>
    </w:p>
    <w:p w14:paraId="63347CCC"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IV. Colocviul de admitere (planificare, comisii, tematică și bibliografie, criterii selecție)</w:t>
      </w:r>
    </w:p>
    <w:p w14:paraId="6FA49ACA" w14:textId="77777777" w:rsidR="001B2392" w:rsidRPr="001B2392" w:rsidRDefault="001B2392" w:rsidP="001B2392">
      <w:pPr>
        <w:numPr>
          <w:ilvl w:val="0"/>
          <w:numId w:val="6"/>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Automatică și Calculatoare</w:t>
      </w:r>
    </w:p>
    <w:p w14:paraId="18D31AD1"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4" w:history="1">
        <w:r w:rsidRPr="001B2392">
          <w:rPr>
            <w:rFonts w:ascii="IBM Plex Sans" w:eastAsia="Times New Roman" w:hAnsi="IBM Plex Sans" w:cs="Times New Roman"/>
            <w:color w:val="2962FF"/>
            <w:sz w:val="24"/>
            <w:szCs w:val="24"/>
            <w:u w:val="single"/>
            <w:lang w:eastAsia="en-GB"/>
          </w:rPr>
          <w:t>Planificare colocviu, comisii</w:t>
        </w:r>
      </w:hyperlink>
    </w:p>
    <w:p w14:paraId="75B878E6"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5"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4102F981"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Construcții și Instalații</w:t>
      </w:r>
    </w:p>
    <w:p w14:paraId="2A2A9DB6"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6" w:history="1">
        <w:r w:rsidRPr="001B2392">
          <w:rPr>
            <w:rFonts w:ascii="IBM Plex Sans" w:eastAsia="Times New Roman" w:hAnsi="IBM Plex Sans" w:cs="Times New Roman"/>
            <w:color w:val="2962FF"/>
            <w:sz w:val="24"/>
            <w:szCs w:val="24"/>
            <w:u w:val="single"/>
            <w:lang w:eastAsia="en-GB"/>
          </w:rPr>
          <w:t>Planificare colocviu, comisii</w:t>
        </w:r>
      </w:hyperlink>
    </w:p>
    <w:p w14:paraId="3FF10C69"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7"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1D75E1F4"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Construcții de Mașini și Management Industrial</w:t>
      </w:r>
    </w:p>
    <w:p w14:paraId="4E69FDE5"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8" w:history="1">
        <w:r w:rsidRPr="001B2392">
          <w:rPr>
            <w:rFonts w:ascii="IBM Plex Sans" w:eastAsia="Times New Roman" w:hAnsi="IBM Plex Sans" w:cs="Times New Roman"/>
            <w:color w:val="2962FF"/>
            <w:sz w:val="24"/>
            <w:szCs w:val="24"/>
            <w:u w:val="single"/>
            <w:lang w:eastAsia="en-GB"/>
          </w:rPr>
          <w:t>Planificare colocviu, comisii</w:t>
        </w:r>
      </w:hyperlink>
    </w:p>
    <w:p w14:paraId="533E1321"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19"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0F70CA22"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Design Industrial și Managementul Afacerilor</w:t>
      </w:r>
    </w:p>
    <w:p w14:paraId="75073877"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0" w:history="1">
        <w:r w:rsidRPr="001B2392">
          <w:rPr>
            <w:rFonts w:ascii="IBM Plex Sans" w:eastAsia="Times New Roman" w:hAnsi="IBM Plex Sans" w:cs="Times New Roman"/>
            <w:color w:val="2962FF"/>
            <w:sz w:val="24"/>
            <w:szCs w:val="24"/>
            <w:u w:val="single"/>
            <w:lang w:eastAsia="en-GB"/>
          </w:rPr>
          <w:t>Planificare colocviu, comisii</w:t>
        </w:r>
      </w:hyperlink>
    </w:p>
    <w:p w14:paraId="310E1D53"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1"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0587C8CE"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Electronică, Telecomunicații și Tehnologia Informației</w:t>
      </w:r>
    </w:p>
    <w:p w14:paraId="452F3D89"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2" w:history="1">
        <w:r w:rsidRPr="001B2392">
          <w:rPr>
            <w:rFonts w:ascii="IBM Plex Sans" w:eastAsia="Times New Roman" w:hAnsi="IBM Plex Sans" w:cs="Times New Roman"/>
            <w:color w:val="2962FF"/>
            <w:sz w:val="24"/>
            <w:szCs w:val="24"/>
            <w:u w:val="single"/>
            <w:lang w:eastAsia="en-GB"/>
          </w:rPr>
          <w:t>Planificare colocviu, comisii</w:t>
        </w:r>
      </w:hyperlink>
    </w:p>
    <w:p w14:paraId="40587B2C"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3"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1D7A2EFD"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Hidrotehnică, Geodezie și Ingineria Mediului</w:t>
      </w:r>
    </w:p>
    <w:p w14:paraId="736957E1"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4" w:history="1">
        <w:r w:rsidRPr="001B2392">
          <w:rPr>
            <w:rFonts w:ascii="IBM Plex Sans" w:eastAsia="Times New Roman" w:hAnsi="IBM Plex Sans" w:cs="Times New Roman"/>
            <w:color w:val="2962FF"/>
            <w:sz w:val="24"/>
            <w:szCs w:val="24"/>
            <w:u w:val="single"/>
            <w:lang w:eastAsia="en-GB"/>
          </w:rPr>
          <w:t>Planificare colocviu, comisii</w:t>
        </w:r>
      </w:hyperlink>
    </w:p>
    <w:p w14:paraId="2B5D46E1"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5"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3474EE32"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Inginerie Chimică și Protecția Mediului ,,Cristofor Simionescu”</w:t>
      </w:r>
    </w:p>
    <w:p w14:paraId="04E2C072"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6" w:history="1">
        <w:r w:rsidRPr="001B2392">
          <w:rPr>
            <w:rFonts w:ascii="IBM Plex Sans" w:eastAsia="Times New Roman" w:hAnsi="IBM Plex Sans" w:cs="Times New Roman"/>
            <w:color w:val="2962FF"/>
            <w:sz w:val="24"/>
            <w:szCs w:val="24"/>
            <w:u w:val="single"/>
            <w:lang w:eastAsia="en-GB"/>
          </w:rPr>
          <w:t>Planificare colocviu, comisii</w:t>
        </w:r>
      </w:hyperlink>
    </w:p>
    <w:p w14:paraId="09FD8572"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7"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5DF52A73"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Inginerie Electrică, Energetică și Informatică Aplicată</w:t>
      </w:r>
    </w:p>
    <w:p w14:paraId="216A54EC"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8" w:history="1">
        <w:r w:rsidRPr="001B2392">
          <w:rPr>
            <w:rFonts w:ascii="IBM Plex Sans" w:eastAsia="Times New Roman" w:hAnsi="IBM Plex Sans" w:cs="Times New Roman"/>
            <w:color w:val="2962FF"/>
            <w:sz w:val="24"/>
            <w:szCs w:val="24"/>
            <w:u w:val="single"/>
            <w:lang w:eastAsia="en-GB"/>
          </w:rPr>
          <w:t>Planificare colocviu, comisii</w:t>
        </w:r>
      </w:hyperlink>
    </w:p>
    <w:p w14:paraId="07489EBB"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29"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07FE19DE" w14:textId="77777777" w:rsidR="001B2392" w:rsidRPr="001B2392" w:rsidRDefault="001B2392" w:rsidP="001B2392">
      <w:pPr>
        <w:numPr>
          <w:ilvl w:val="0"/>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Mecanică</w:t>
      </w:r>
    </w:p>
    <w:p w14:paraId="3A331A63"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30" w:history="1">
        <w:r w:rsidRPr="001B2392">
          <w:rPr>
            <w:rFonts w:ascii="IBM Plex Sans" w:eastAsia="Times New Roman" w:hAnsi="IBM Plex Sans" w:cs="Times New Roman"/>
            <w:color w:val="2962FF"/>
            <w:sz w:val="24"/>
            <w:szCs w:val="24"/>
            <w:u w:val="single"/>
            <w:lang w:eastAsia="en-GB"/>
          </w:rPr>
          <w:t>Planificare colocviu, comisii</w:t>
        </w:r>
      </w:hyperlink>
    </w:p>
    <w:p w14:paraId="55881F68"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31"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6229B1A5" w14:textId="77777777" w:rsidR="001B2392" w:rsidRPr="001B2392" w:rsidRDefault="001B2392" w:rsidP="001B2392">
      <w:pPr>
        <w:numPr>
          <w:ilvl w:val="0"/>
          <w:numId w:val="6"/>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Facultatea de Știința și Ingineria Materialelor</w:t>
      </w:r>
    </w:p>
    <w:p w14:paraId="7490F11D" w14:textId="77777777" w:rsidR="001B2392" w:rsidRPr="001B2392"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32" w:history="1">
        <w:r w:rsidRPr="001B2392">
          <w:rPr>
            <w:rFonts w:ascii="IBM Plex Sans" w:eastAsia="Times New Roman" w:hAnsi="IBM Plex Sans" w:cs="Times New Roman"/>
            <w:color w:val="2962FF"/>
            <w:sz w:val="24"/>
            <w:szCs w:val="24"/>
            <w:u w:val="single"/>
            <w:lang w:eastAsia="en-GB"/>
          </w:rPr>
          <w:t>Planificare colocviu, comisii</w:t>
        </w:r>
      </w:hyperlink>
    </w:p>
    <w:p w14:paraId="57DC5B1C" w14:textId="7912BA95" w:rsidR="000D2B77" w:rsidRPr="000D2B77" w:rsidRDefault="001B2392" w:rsidP="001B2392">
      <w:pPr>
        <w:numPr>
          <w:ilvl w:val="1"/>
          <w:numId w:val="6"/>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hyperlink r:id="rId33" w:history="1">
        <w:r w:rsidRPr="001B2392">
          <w:rPr>
            <w:rFonts w:ascii="IBM Plex Sans" w:eastAsia="Times New Roman" w:hAnsi="IBM Plex Sans" w:cs="Times New Roman"/>
            <w:color w:val="2962FF"/>
            <w:sz w:val="24"/>
            <w:szCs w:val="24"/>
            <w:u w:val="single"/>
            <w:lang w:eastAsia="en-GB"/>
          </w:rPr>
          <w:t>Tematică și bibliografie, criterii selecție</w:t>
        </w:r>
      </w:hyperlink>
    </w:p>
    <w:p w14:paraId="2FEC2075"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b/>
          <w:bCs/>
          <w:color w:val="42526E"/>
          <w:sz w:val="24"/>
          <w:szCs w:val="24"/>
          <w:lang w:eastAsia="en-GB"/>
        </w:rPr>
        <w:t>Calendar</w:t>
      </w:r>
    </w:p>
    <w:p w14:paraId="10A5EABE" w14:textId="77777777" w:rsidR="001B2392" w:rsidRPr="001B2392" w:rsidRDefault="001B2392" w:rsidP="001B2392">
      <w:pPr>
        <w:numPr>
          <w:ilvl w:val="0"/>
          <w:numId w:val="7"/>
        </w:numPr>
        <w:shd w:val="clear" w:color="auto" w:fill="F9F9F9"/>
        <w:spacing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Perioada de depunere a dosarelor pentru transmiterea la Ministerul Educației și Cercetării, în vederea emiterii scrisorii de acceptare la studii: </w:t>
      </w:r>
      <w:r w:rsidRPr="001B2392">
        <w:rPr>
          <w:rFonts w:ascii="IBM Plex Sans" w:eastAsia="Times New Roman" w:hAnsi="IBM Plex Sans" w:cs="Times New Roman"/>
          <w:b/>
          <w:bCs/>
          <w:color w:val="42526E"/>
          <w:sz w:val="24"/>
          <w:szCs w:val="24"/>
          <w:lang w:eastAsia="en-GB"/>
        </w:rPr>
        <w:t>07.02 – 22.07.2022</w:t>
      </w:r>
      <w:r w:rsidRPr="001B2392">
        <w:rPr>
          <w:rFonts w:ascii="IBM Plex Sans" w:eastAsia="Times New Roman" w:hAnsi="IBM Plex Sans" w:cs="Times New Roman"/>
          <w:color w:val="42526E"/>
          <w:sz w:val="24"/>
          <w:szCs w:val="24"/>
          <w:lang w:eastAsia="en-GB"/>
        </w:rPr>
        <w:t>;</w:t>
      </w:r>
    </w:p>
    <w:p w14:paraId="482B4461" w14:textId="77777777" w:rsidR="001B2392" w:rsidRPr="001B2392" w:rsidRDefault="001B2392" w:rsidP="001B2392">
      <w:pPr>
        <w:numPr>
          <w:ilvl w:val="0"/>
          <w:numId w:val="7"/>
        </w:num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Perioada de înscriere:</w:t>
      </w:r>
      <w:r w:rsidRPr="001B2392">
        <w:rPr>
          <w:rFonts w:ascii="IBM Plex Sans" w:eastAsia="Times New Roman" w:hAnsi="IBM Plex Sans" w:cs="Times New Roman"/>
          <w:b/>
          <w:bCs/>
          <w:color w:val="42526E"/>
          <w:sz w:val="24"/>
          <w:szCs w:val="24"/>
          <w:lang w:eastAsia="en-GB"/>
        </w:rPr>
        <w:t> 01.09.2022 – 15.09.2022;</w:t>
      </w:r>
    </w:p>
    <w:p w14:paraId="3EEB1069" w14:textId="77777777" w:rsidR="001B2392" w:rsidRPr="001B2392" w:rsidRDefault="001B2392" w:rsidP="001B2392">
      <w:pPr>
        <w:numPr>
          <w:ilvl w:val="0"/>
          <w:numId w:val="7"/>
        </w:numPr>
        <w:shd w:val="clear" w:color="auto" w:fill="F9F9F9"/>
        <w:spacing w:before="100" w:beforeAutospacing="1" w:after="0"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Susținerea colocviului de admitere: </w:t>
      </w:r>
      <w:r w:rsidRPr="001B2392">
        <w:rPr>
          <w:rFonts w:ascii="IBM Plex Sans" w:eastAsia="Times New Roman" w:hAnsi="IBM Plex Sans" w:cs="Times New Roman"/>
          <w:b/>
          <w:bCs/>
          <w:color w:val="42526E"/>
          <w:sz w:val="24"/>
          <w:szCs w:val="24"/>
          <w:lang w:eastAsia="en-GB"/>
        </w:rPr>
        <w:t>19.09.2022 – 22.09.2022</w:t>
      </w:r>
      <w:r w:rsidRPr="001B2392">
        <w:rPr>
          <w:rFonts w:ascii="IBM Plex Sans" w:eastAsia="Times New Roman" w:hAnsi="IBM Plex Sans" w:cs="Times New Roman"/>
          <w:color w:val="42526E"/>
          <w:sz w:val="24"/>
          <w:szCs w:val="24"/>
          <w:lang w:eastAsia="en-GB"/>
        </w:rPr>
        <w:t>, respectând planificarea transmisă de CCPD-uri.</w:t>
      </w:r>
    </w:p>
    <w:p w14:paraId="5AE15772" w14:textId="77777777" w:rsidR="001B2392" w:rsidRPr="001B2392" w:rsidRDefault="001B2392" w:rsidP="001B2392">
      <w:pPr>
        <w:shd w:val="clear" w:color="auto" w:fill="F9F9F9"/>
        <w:spacing w:before="100" w:beforeAutospacing="1" w:after="100" w:afterAutospacing="1" w:line="240" w:lineRule="auto"/>
        <w:rPr>
          <w:rFonts w:ascii="IBM Plex Sans" w:eastAsia="Times New Roman" w:hAnsi="IBM Plex Sans" w:cs="Times New Roman"/>
          <w:color w:val="42526E"/>
          <w:sz w:val="24"/>
          <w:szCs w:val="24"/>
          <w:lang w:eastAsia="en-GB"/>
        </w:rPr>
      </w:pPr>
      <w:r w:rsidRPr="001B2392">
        <w:rPr>
          <w:rFonts w:ascii="IBM Plex Sans" w:eastAsia="Times New Roman" w:hAnsi="IBM Plex Sans" w:cs="Times New Roman"/>
          <w:color w:val="42526E"/>
          <w:sz w:val="24"/>
          <w:szCs w:val="24"/>
          <w:lang w:eastAsia="en-GB"/>
        </w:rPr>
        <w:t>Susținerea colocviului de admitere și a testului de limbă străină se realizează în aceleași condiții ca la cetățenii români.</w:t>
      </w:r>
    </w:p>
    <w:p w14:paraId="11E49F50" w14:textId="77777777" w:rsidR="001B2392" w:rsidRPr="001B2392" w:rsidRDefault="001B2392" w:rsidP="001B2392">
      <w:pPr>
        <w:shd w:val="clear" w:color="auto" w:fill="F9F9F9"/>
        <w:spacing w:beforeAutospacing="1" w:after="0" w:afterAutospacing="1" w:line="240" w:lineRule="auto"/>
        <w:rPr>
          <w:rFonts w:ascii="IBM Plex Sans" w:eastAsia="Times New Roman" w:hAnsi="IBM Plex Sans" w:cs="Times New Roman"/>
          <w:color w:val="42526E"/>
          <w:sz w:val="24"/>
          <w:szCs w:val="24"/>
          <w:lang w:eastAsia="en-GB"/>
        </w:rPr>
      </w:pPr>
      <w:hyperlink r:id="rId34" w:history="1">
        <w:r w:rsidRPr="001B2392">
          <w:rPr>
            <w:rFonts w:ascii="IBM Plex Sans" w:eastAsia="Times New Roman" w:hAnsi="IBM Plex Sans" w:cs="Times New Roman"/>
            <w:color w:val="2962FF"/>
            <w:sz w:val="24"/>
            <w:szCs w:val="24"/>
            <w:u w:val="single"/>
            <w:lang w:eastAsia="en-GB"/>
          </w:rPr>
          <w:t>Ad</w:t>
        </w:r>
        <w:r w:rsidRPr="001B2392">
          <w:rPr>
            <w:rFonts w:ascii="IBM Plex Sans" w:eastAsia="Times New Roman" w:hAnsi="IBM Plex Sans" w:cs="Times New Roman"/>
            <w:color w:val="2962FF"/>
            <w:sz w:val="24"/>
            <w:szCs w:val="24"/>
            <w:u w:val="single"/>
            <w:lang w:eastAsia="en-GB"/>
          </w:rPr>
          <w:t>m</w:t>
        </w:r>
        <w:r w:rsidRPr="001B2392">
          <w:rPr>
            <w:rFonts w:ascii="IBM Plex Sans" w:eastAsia="Times New Roman" w:hAnsi="IBM Plex Sans" w:cs="Times New Roman"/>
            <w:color w:val="2962FF"/>
            <w:sz w:val="24"/>
            <w:szCs w:val="24"/>
            <w:u w:val="single"/>
            <w:lang w:eastAsia="en-GB"/>
          </w:rPr>
          <w:t>itere</w:t>
        </w:r>
      </w:hyperlink>
    </w:p>
    <w:p w14:paraId="0022DAD4" w14:textId="77777777" w:rsidR="00591A3C" w:rsidRPr="00591A3C" w:rsidRDefault="00591A3C" w:rsidP="008C4500">
      <w:pPr>
        <w:tabs>
          <w:tab w:val="left" w:pos="7222"/>
        </w:tabs>
        <w:rPr>
          <w:rFonts w:ascii="IBM Plex Sans" w:hAnsi="IBM Plex Sans"/>
          <w:sz w:val="24"/>
          <w:szCs w:val="24"/>
        </w:rPr>
      </w:pPr>
    </w:p>
    <w:sectPr w:rsidR="00591A3C" w:rsidRPr="00591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Serif">
    <w:charset w:val="00"/>
    <w:family w:val="roman"/>
    <w:pitch w:val="variable"/>
    <w:sig w:usb0="A000026F" w:usb1="500020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9F8"/>
    <w:multiLevelType w:val="multilevel"/>
    <w:tmpl w:val="E416B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527FA"/>
    <w:multiLevelType w:val="multilevel"/>
    <w:tmpl w:val="9EC68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F3B86"/>
    <w:multiLevelType w:val="multilevel"/>
    <w:tmpl w:val="86A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E4E24"/>
    <w:multiLevelType w:val="multilevel"/>
    <w:tmpl w:val="FC1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13D8"/>
    <w:multiLevelType w:val="multilevel"/>
    <w:tmpl w:val="FC42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F2EF0"/>
    <w:multiLevelType w:val="multilevel"/>
    <w:tmpl w:val="F07C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67490"/>
    <w:multiLevelType w:val="multilevel"/>
    <w:tmpl w:val="01AC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5"/>
    <w:rsid w:val="000D2B77"/>
    <w:rsid w:val="001B2392"/>
    <w:rsid w:val="00206355"/>
    <w:rsid w:val="00591A3C"/>
    <w:rsid w:val="008C4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796E"/>
  <w15:chartTrackingRefBased/>
  <w15:docId w15:val="{D4B4AF81-AC1D-4711-87D2-50C90D29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2B77"/>
    <w:rPr>
      <w:b/>
      <w:bCs/>
    </w:rPr>
  </w:style>
  <w:style w:type="character" w:styleId="Emphasis">
    <w:name w:val="Emphasis"/>
    <w:basedOn w:val="DefaultParagraphFont"/>
    <w:uiPriority w:val="20"/>
    <w:qFormat/>
    <w:rsid w:val="000D2B77"/>
    <w:rPr>
      <w:i/>
      <w:iCs/>
    </w:rPr>
  </w:style>
  <w:style w:type="paragraph" w:styleId="NormalWeb">
    <w:name w:val="Normal (Web)"/>
    <w:basedOn w:val="Normal"/>
    <w:uiPriority w:val="99"/>
    <w:semiHidden/>
    <w:unhideWhenUsed/>
    <w:rsid w:val="001B23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2392"/>
    <w:rPr>
      <w:color w:val="0000FF"/>
      <w:u w:val="single"/>
    </w:rPr>
  </w:style>
  <w:style w:type="paragraph" w:styleId="ListParagraph">
    <w:name w:val="List Paragraph"/>
    <w:basedOn w:val="Normal"/>
    <w:uiPriority w:val="34"/>
    <w:qFormat/>
    <w:rsid w:val="001B2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407">
      <w:bodyDiv w:val="1"/>
      <w:marLeft w:val="0"/>
      <w:marRight w:val="0"/>
      <w:marTop w:val="0"/>
      <w:marBottom w:val="0"/>
      <w:divBdr>
        <w:top w:val="none" w:sz="0" w:space="0" w:color="auto"/>
        <w:left w:val="none" w:sz="0" w:space="0" w:color="auto"/>
        <w:bottom w:val="none" w:sz="0" w:space="0" w:color="auto"/>
        <w:right w:val="none" w:sz="0" w:space="0" w:color="auto"/>
      </w:divBdr>
    </w:div>
    <w:div w:id="272321825">
      <w:bodyDiv w:val="1"/>
      <w:marLeft w:val="0"/>
      <w:marRight w:val="0"/>
      <w:marTop w:val="0"/>
      <w:marBottom w:val="0"/>
      <w:divBdr>
        <w:top w:val="none" w:sz="0" w:space="0" w:color="auto"/>
        <w:left w:val="none" w:sz="0" w:space="0" w:color="auto"/>
        <w:bottom w:val="none" w:sz="0" w:space="0" w:color="auto"/>
        <w:right w:val="none" w:sz="0" w:space="0" w:color="auto"/>
      </w:divBdr>
    </w:div>
    <w:div w:id="317928366">
      <w:bodyDiv w:val="1"/>
      <w:marLeft w:val="0"/>
      <w:marRight w:val="0"/>
      <w:marTop w:val="0"/>
      <w:marBottom w:val="0"/>
      <w:divBdr>
        <w:top w:val="none" w:sz="0" w:space="0" w:color="auto"/>
        <w:left w:val="none" w:sz="0" w:space="0" w:color="auto"/>
        <w:bottom w:val="none" w:sz="0" w:space="0" w:color="auto"/>
        <w:right w:val="none" w:sz="0" w:space="0" w:color="auto"/>
      </w:divBdr>
    </w:div>
    <w:div w:id="1000230534">
      <w:bodyDiv w:val="1"/>
      <w:marLeft w:val="0"/>
      <w:marRight w:val="0"/>
      <w:marTop w:val="0"/>
      <w:marBottom w:val="0"/>
      <w:divBdr>
        <w:top w:val="none" w:sz="0" w:space="0" w:color="auto"/>
        <w:left w:val="none" w:sz="0" w:space="0" w:color="auto"/>
        <w:bottom w:val="none" w:sz="0" w:space="0" w:color="auto"/>
        <w:right w:val="none" w:sz="0" w:space="0" w:color="auto"/>
      </w:divBdr>
    </w:div>
    <w:div w:id="1109734791">
      <w:bodyDiv w:val="1"/>
      <w:marLeft w:val="0"/>
      <w:marRight w:val="0"/>
      <w:marTop w:val="0"/>
      <w:marBottom w:val="0"/>
      <w:divBdr>
        <w:top w:val="none" w:sz="0" w:space="0" w:color="auto"/>
        <w:left w:val="none" w:sz="0" w:space="0" w:color="auto"/>
        <w:bottom w:val="none" w:sz="0" w:space="0" w:color="auto"/>
        <w:right w:val="none" w:sz="0" w:space="0" w:color="auto"/>
      </w:divBdr>
    </w:div>
    <w:div w:id="1170607052">
      <w:bodyDiv w:val="1"/>
      <w:marLeft w:val="0"/>
      <w:marRight w:val="0"/>
      <w:marTop w:val="0"/>
      <w:marBottom w:val="0"/>
      <w:divBdr>
        <w:top w:val="none" w:sz="0" w:space="0" w:color="auto"/>
        <w:left w:val="none" w:sz="0" w:space="0" w:color="auto"/>
        <w:bottom w:val="none" w:sz="0" w:space="0" w:color="auto"/>
        <w:right w:val="none" w:sz="0" w:space="0" w:color="auto"/>
      </w:divBdr>
    </w:div>
    <w:div w:id="1799951870">
      <w:bodyDiv w:val="1"/>
      <w:marLeft w:val="0"/>
      <w:marRight w:val="0"/>
      <w:marTop w:val="0"/>
      <w:marBottom w:val="0"/>
      <w:divBdr>
        <w:top w:val="none" w:sz="0" w:space="0" w:color="auto"/>
        <w:left w:val="none" w:sz="0" w:space="0" w:color="auto"/>
        <w:bottom w:val="none" w:sz="0" w:space="0" w:color="auto"/>
        <w:right w:val="none" w:sz="0" w:space="0" w:color="auto"/>
      </w:divBdr>
    </w:div>
    <w:div w:id="19488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torat.tuiasi.ro/wp-content/uploads/2022/02/OMEN-3329_cuantum-burse.pdf" TargetMode="External"/><Relationship Id="rId18" Type="http://schemas.openxmlformats.org/officeDocument/2006/relationships/hyperlink" Target="https://doctorat.tuiasi.ro/wp-content/uploads/2022/06/CMMI1.pdf" TargetMode="External"/><Relationship Id="rId26" Type="http://schemas.openxmlformats.org/officeDocument/2006/relationships/hyperlink" Target="https://doctorat.tuiasi.ro/wp-content/uploads/2022/06/ICPM1-1.pdf" TargetMode="External"/><Relationship Id="rId3" Type="http://schemas.openxmlformats.org/officeDocument/2006/relationships/settings" Target="settings.xml"/><Relationship Id="rId21" Type="http://schemas.openxmlformats.org/officeDocument/2006/relationships/hyperlink" Target="https://doctorat.tuiasi.ro/wp-content/uploads/2022/06/DIMA2.pdf" TargetMode="External"/><Relationship Id="rId34" Type="http://schemas.openxmlformats.org/officeDocument/2006/relationships/hyperlink" Target="https://doctorat.tuiasi.ro/wp-content/uploads/2022/02/Admission.pdf" TargetMode="External"/><Relationship Id="rId7" Type="http://schemas.openxmlformats.org/officeDocument/2006/relationships/hyperlink" Target="https://doctorat.tuiasi.ro/wp-content/uploads/2022/06/Anunt-testare-lingvistica-doctorat-2022.pdf" TargetMode="External"/><Relationship Id="rId12" Type="http://schemas.openxmlformats.org/officeDocument/2006/relationships/hyperlink" Target="https://doctorat.tuiasi.ro/wp-content/uploads/2022/06/Situatie_locuri_alocate_2022_domenii-1.pdf" TargetMode="External"/><Relationship Id="rId17" Type="http://schemas.openxmlformats.org/officeDocument/2006/relationships/hyperlink" Target="https://doctorat.tuiasi.ro/wp-content/uploads/2022/06/CI2.pdf" TargetMode="External"/><Relationship Id="rId25" Type="http://schemas.openxmlformats.org/officeDocument/2006/relationships/hyperlink" Target="https://doctorat.tuiasi.ro/wp-content/uploads/2022/06/HGIM2.pdf" TargetMode="External"/><Relationship Id="rId33" Type="http://schemas.openxmlformats.org/officeDocument/2006/relationships/hyperlink" Target="https://doctorat.tuiasi.ro/wp-content/uploads/2022/06/SIM2.pdf" TargetMode="External"/><Relationship Id="rId2" Type="http://schemas.openxmlformats.org/officeDocument/2006/relationships/styles" Target="styles.xml"/><Relationship Id="rId16" Type="http://schemas.openxmlformats.org/officeDocument/2006/relationships/hyperlink" Target="https://doctorat.tuiasi.ro/wp-content/uploads/2022/06/CI1.pdf" TargetMode="External"/><Relationship Id="rId20" Type="http://schemas.openxmlformats.org/officeDocument/2006/relationships/hyperlink" Target="https://doctorat.tuiasi.ro/wp-content/uploads/2022/06/DIMA1-1.pdf" TargetMode="External"/><Relationship Id="rId29" Type="http://schemas.openxmlformats.org/officeDocument/2006/relationships/hyperlink" Target="https://doctorat.tuiasi.ro/wp-content/uploads/2022/06/IEEIA2.pdf" TargetMode="External"/><Relationship Id="rId1" Type="http://schemas.openxmlformats.org/officeDocument/2006/relationships/numbering" Target="numbering.xml"/><Relationship Id="rId6" Type="http://schemas.openxmlformats.org/officeDocument/2006/relationships/hyperlink" Target="https://doctorat.tuiasi.ro/wp-content/uploads/2022/05/HS-62_17.02.2022_TAXE-2022-2023_Doctorat.pdf" TargetMode="External"/><Relationship Id="rId11" Type="http://schemas.openxmlformats.org/officeDocument/2006/relationships/hyperlink" Target="https://cnred.edu.ro/ro/studii-universitare" TargetMode="External"/><Relationship Id="rId24" Type="http://schemas.openxmlformats.org/officeDocument/2006/relationships/hyperlink" Target="https://doctorat.tuiasi.ro/wp-content/uploads/2022/06/HGIM1-1.pdf" TargetMode="External"/><Relationship Id="rId32" Type="http://schemas.openxmlformats.org/officeDocument/2006/relationships/hyperlink" Target="https://doctorat.tuiasi.ro/wp-content/uploads/2022/06/SIM1.pdf" TargetMode="External"/><Relationship Id="rId5" Type="http://schemas.openxmlformats.org/officeDocument/2006/relationships/image" Target="media/image1.jpeg"/><Relationship Id="rId15" Type="http://schemas.openxmlformats.org/officeDocument/2006/relationships/hyperlink" Target="https://doctorat.tuiasi.ro/wp-content/uploads/2022/06/AC2.pdf" TargetMode="External"/><Relationship Id="rId23" Type="http://schemas.openxmlformats.org/officeDocument/2006/relationships/hyperlink" Target="https://doctorat.tuiasi.ro/wp-content/uploads/2022/06/ETTI2.pdf" TargetMode="External"/><Relationship Id="rId28" Type="http://schemas.openxmlformats.org/officeDocument/2006/relationships/hyperlink" Target="https://doctorat.tuiasi.ro/wp-content/uploads/2022/06/IEEIA1-1.pdf" TargetMode="External"/><Relationship Id="rId36" Type="http://schemas.openxmlformats.org/officeDocument/2006/relationships/theme" Target="theme/theme1.xml"/><Relationship Id="rId10" Type="http://schemas.openxmlformats.org/officeDocument/2006/relationships/hyperlink" Target="https://europa.eu/europass/ro/create-europass-cv" TargetMode="External"/><Relationship Id="rId19" Type="http://schemas.openxmlformats.org/officeDocument/2006/relationships/hyperlink" Target="https://doctorat.tuiasi.ro/wp-content/uploads/2022/06/CMMI2.pdf" TargetMode="External"/><Relationship Id="rId31" Type="http://schemas.openxmlformats.org/officeDocument/2006/relationships/hyperlink" Target="https://doctorat.tuiasi.ro/wp-content/uploads/2022/06/M2.pdf" TargetMode="External"/><Relationship Id="rId4" Type="http://schemas.openxmlformats.org/officeDocument/2006/relationships/webSettings" Target="webSettings.xml"/><Relationship Id="rId9" Type="http://schemas.openxmlformats.org/officeDocument/2006/relationships/hyperlink" Target="https://doctorat.tuiasi.ro/wp-content/uploads/2022/02/Fisa-inscriere.pdf" TargetMode="External"/><Relationship Id="rId14" Type="http://schemas.openxmlformats.org/officeDocument/2006/relationships/hyperlink" Target="https://doctorat.tuiasi.ro/wp-content/uploads/2022/06/AC1.pdf" TargetMode="External"/><Relationship Id="rId22" Type="http://schemas.openxmlformats.org/officeDocument/2006/relationships/hyperlink" Target="https://doctorat.tuiasi.ro/wp-content/uploads/2022/06/ETTI1.pdf" TargetMode="External"/><Relationship Id="rId27" Type="http://schemas.openxmlformats.org/officeDocument/2006/relationships/hyperlink" Target="https://doctorat.tuiasi.ro/wp-content/uploads/2022/06/ICPM2.pdf" TargetMode="External"/><Relationship Id="rId30" Type="http://schemas.openxmlformats.org/officeDocument/2006/relationships/hyperlink" Target="https://doctorat.tuiasi.ro/wp-content/uploads/2022/06/M1.pdf" TargetMode="External"/><Relationship Id="rId35" Type="http://schemas.openxmlformats.org/officeDocument/2006/relationships/fontTable" Target="fontTable.xml"/><Relationship Id="rId8" Type="http://schemas.openxmlformats.org/officeDocument/2006/relationships/hyperlink" Target="https://doctorat.tuiasi.ro/wp-content/uploads/2022/02/Cerere-inscrie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Radu-Gabriel Danila</dc:creator>
  <cp:keywords/>
  <dc:description/>
  <cp:lastModifiedBy>Radu-Gabriel Danila</cp:lastModifiedBy>
  <cp:revision>10</cp:revision>
  <dcterms:created xsi:type="dcterms:W3CDTF">2022-08-07T15:45:00Z</dcterms:created>
  <dcterms:modified xsi:type="dcterms:W3CDTF">2022-08-07T16:05:00Z</dcterms:modified>
</cp:coreProperties>
</file>