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C9A0A" w14:textId="77777777" w:rsidR="00CF3DEF" w:rsidRPr="00CF3DEF" w:rsidRDefault="00CF3DEF" w:rsidP="00CF3DEF">
      <w:pPr>
        <w:suppressAutoHyphens/>
        <w:spacing w:after="0" w:line="240" w:lineRule="auto"/>
        <w:jc w:val="right"/>
        <w:rPr>
          <w:rFonts w:ascii="Calibri" w:eastAsia="Calibri" w:hAnsi="Calibri" w:cs="Times New Roman"/>
          <w:b/>
          <w:bCs/>
          <w:kern w:val="0"/>
          <w:lang w:val="en-GB"/>
          <w14:ligatures w14:val="none"/>
        </w:rPr>
      </w:pPr>
      <w:r w:rsidRPr="00CF3DEF">
        <w:rPr>
          <w:rFonts w:ascii="Calibri" w:eastAsia="Calibri" w:hAnsi="Calibri" w:cs="Times New Roman"/>
          <w:b/>
          <w:bCs/>
          <w:kern w:val="0"/>
          <w:lang w:val="en-GB"/>
          <w14:ligatures w14:val="none"/>
        </w:rPr>
        <w:t>Academic Year</w:t>
      </w:r>
    </w:p>
    <w:p w14:paraId="111E77E8" w14:textId="77777777" w:rsidR="00CF3DEF" w:rsidRPr="00CF3DEF" w:rsidRDefault="00CF3DEF" w:rsidP="00CF3DEF">
      <w:pPr>
        <w:suppressAutoHyphens/>
        <w:spacing w:after="0" w:line="240" w:lineRule="auto"/>
        <w:jc w:val="right"/>
        <w:rPr>
          <w:rFonts w:ascii="Calibri" w:eastAsia="Calibri" w:hAnsi="Calibri" w:cs="Times New Roman"/>
          <w:kern w:val="0"/>
          <w:sz w:val="28"/>
          <w:szCs w:val="28"/>
          <w:lang w:val="en-GB"/>
          <w14:ligatures w14:val="none"/>
        </w:rPr>
      </w:pPr>
      <w:r w:rsidRPr="00CF3DEF">
        <w:rPr>
          <w:rFonts w:ascii="Calibri" w:eastAsia="Calibri" w:hAnsi="Calibri" w:cs="Times New Roman"/>
          <w:kern w:val="0"/>
          <w:sz w:val="28"/>
          <w:szCs w:val="28"/>
          <w:lang w:val="en-GB"/>
          <w14:ligatures w14:val="none"/>
        </w:rPr>
        <w:t>2025 - 2026</w:t>
      </w:r>
    </w:p>
    <w:p w14:paraId="58EAC5F0" w14:textId="77777777" w:rsidR="00CF3DEF" w:rsidRPr="00CF3DEF" w:rsidRDefault="00CF3DEF" w:rsidP="00CF3DEF">
      <w:pPr>
        <w:suppressAutoHyphens/>
        <w:spacing w:after="320" w:line="256" w:lineRule="auto"/>
        <w:rPr>
          <w:rFonts w:ascii="Calibri" w:eastAsia="Calibri" w:hAnsi="Calibri" w:cs="Times New Roman"/>
          <w:color w:val="323232"/>
          <w:kern w:val="0"/>
          <w:sz w:val="36"/>
          <w:szCs w:val="36"/>
          <w:lang w:val="en-GB"/>
          <w14:ligatures w14:val="none"/>
        </w:rPr>
      </w:pPr>
    </w:p>
    <w:p w14:paraId="41B86D0B" w14:textId="77777777" w:rsidR="00CF3DEF" w:rsidRPr="00CF3DEF" w:rsidRDefault="00CF3DEF" w:rsidP="00CF3DEF">
      <w:pPr>
        <w:suppressAutoHyphens/>
        <w:spacing w:after="320" w:line="256" w:lineRule="auto"/>
        <w:rPr>
          <w:rFonts w:ascii="Calibri" w:eastAsia="Calibri" w:hAnsi="Calibri" w:cs="Times New Roman"/>
          <w:color w:val="323232"/>
          <w:kern w:val="0"/>
          <w:sz w:val="36"/>
          <w:szCs w:val="36"/>
          <w:lang w:val="en-GB"/>
          <w14:ligatures w14:val="none"/>
        </w:rPr>
      </w:pPr>
    </w:p>
    <w:p w14:paraId="5B3C0534" w14:textId="3A1DE756" w:rsidR="00CF3DEF" w:rsidRPr="00CF3DEF" w:rsidRDefault="00CF3DEF" w:rsidP="00CF3DEF">
      <w:pPr>
        <w:pBdr>
          <w:top w:val="single" w:sz="36" w:space="0" w:color="E66208"/>
          <w:left w:val="single" w:sz="36" w:space="0" w:color="E66208"/>
          <w:bottom w:val="single" w:sz="36" w:space="0" w:color="E66208"/>
          <w:right w:val="single" w:sz="36" w:space="0" w:color="E66208"/>
        </w:pBdr>
        <w:shd w:val="clear" w:color="auto" w:fill="E66208"/>
        <w:spacing w:after="0" w:line="240" w:lineRule="auto"/>
        <w:rPr>
          <w:rFonts w:ascii="Calibri" w:eastAsia="Calibri" w:hAnsi="Calibri" w:cs="Calibri"/>
          <w:b/>
          <w:bCs/>
          <w:color w:val="FFFFFF"/>
          <w:kern w:val="0"/>
          <w:sz w:val="56"/>
          <w:szCs w:val="56"/>
          <w:lang w:val="en-GB"/>
          <w14:ligatures w14:val="none"/>
        </w:rPr>
      </w:pPr>
      <w:r>
        <w:rPr>
          <w:rFonts w:ascii="Calibri" w:eastAsia="Calibri" w:hAnsi="Calibri" w:cs="Calibri"/>
          <w:b/>
          <w:bCs/>
          <w:color w:val="FFFFFF"/>
          <w:kern w:val="0"/>
          <w:sz w:val="56"/>
          <w:szCs w:val="56"/>
          <w:lang w:val="en-GB"/>
          <w14:ligatures w14:val="none"/>
        </w:rPr>
        <w:t>Coping with climate shocks</w:t>
      </w:r>
    </w:p>
    <w:p w14:paraId="28A07D4D" w14:textId="46A1D24B" w:rsidR="00CF3DEF" w:rsidRPr="00CF3DEF" w:rsidRDefault="00CF3DEF" w:rsidP="00CF3DEF">
      <w:pPr>
        <w:pBdr>
          <w:top w:val="single" w:sz="36" w:space="0" w:color="E66208"/>
          <w:left w:val="single" w:sz="36" w:space="0" w:color="E66208"/>
          <w:bottom w:val="single" w:sz="36" w:space="0" w:color="E66208"/>
          <w:right w:val="single" w:sz="36" w:space="0" w:color="E66208"/>
        </w:pBdr>
        <w:shd w:val="clear" w:color="auto" w:fill="E66208"/>
        <w:spacing w:after="0" w:line="240" w:lineRule="auto"/>
        <w:rPr>
          <w:rFonts w:ascii="Calibri" w:eastAsia="Calibri" w:hAnsi="Calibri" w:cs="Times New Roman"/>
          <w:bCs/>
          <w:color w:val="FFFFFF"/>
          <w:kern w:val="0"/>
          <w:sz w:val="56"/>
          <w:szCs w:val="56"/>
          <w:lang w:val="en-GB"/>
          <w14:ligatures w14:val="none"/>
        </w:rPr>
      </w:pPr>
      <w:r>
        <w:rPr>
          <w:rFonts w:ascii="Calibri" w:eastAsia="Calibri" w:hAnsi="Calibri" w:cs="Times New Roman"/>
          <w:bCs/>
          <w:color w:val="FFFFFF"/>
          <w:kern w:val="0"/>
          <w:sz w:val="56"/>
          <w:szCs w:val="56"/>
          <w:lang w:val="en-GB"/>
          <w14:ligatures w14:val="none"/>
        </w:rPr>
        <w:t xml:space="preserve">A review of </w:t>
      </w:r>
      <w:r w:rsidRPr="00CF3DEF">
        <w:rPr>
          <w:rFonts w:ascii="Calibri" w:eastAsia="Calibri" w:hAnsi="Calibri" w:cs="Times New Roman"/>
          <w:bCs/>
          <w:color w:val="FFFFFF"/>
          <w:kern w:val="0"/>
          <w:sz w:val="56"/>
          <w:szCs w:val="56"/>
          <w:lang w:val="en-GB"/>
          <w14:ligatures w14:val="none"/>
        </w:rPr>
        <w:t>operationalizations of (im)mobility capabilities</w:t>
      </w:r>
    </w:p>
    <w:p w14:paraId="2FF3AB8B" w14:textId="77777777" w:rsidR="00CF3DEF" w:rsidRPr="00CF3DEF" w:rsidRDefault="00CF3DEF" w:rsidP="00CF3DEF">
      <w:pPr>
        <w:spacing w:after="0" w:line="240" w:lineRule="auto"/>
        <w:rPr>
          <w:rFonts w:ascii="Calibri" w:eastAsia="Calibri" w:hAnsi="Calibri" w:cs="Times New Roman"/>
          <w:kern w:val="0"/>
          <w:sz w:val="20"/>
          <w:szCs w:val="22"/>
          <w14:ligatures w14:val="none"/>
        </w:rPr>
      </w:pPr>
    </w:p>
    <w:p w14:paraId="3208D2A8" w14:textId="318D4137" w:rsidR="00CF3DEF" w:rsidRPr="00CF3DEF" w:rsidRDefault="00CF3DEF" w:rsidP="00CF3DEF">
      <w:pPr>
        <w:keepNext/>
        <w:keepLines/>
        <w:spacing w:after="320" w:line="240" w:lineRule="auto"/>
        <w:ind w:left="851" w:hanging="851"/>
        <w:rPr>
          <w:rFonts w:ascii="Calibri" w:eastAsia="Calibri" w:hAnsi="Calibri" w:cs="Times New Roman"/>
          <w:b/>
          <w:kern w:val="0"/>
          <w:sz w:val="36"/>
          <w:szCs w:val="48"/>
          <w:lang w:val="en-GB"/>
          <w14:ligatures w14:val="none"/>
        </w:rPr>
      </w:pPr>
      <w:r>
        <w:rPr>
          <w:rFonts w:ascii="Calibri" w:eastAsia="Calibri" w:hAnsi="Calibri" w:cs="Times New Roman"/>
          <w:b/>
          <w:kern w:val="0"/>
          <w:sz w:val="36"/>
          <w:szCs w:val="48"/>
          <w:lang w:val="en-GB"/>
          <w14:ligatures w14:val="none"/>
        </w:rPr>
        <w:t>Gabriela López</w:t>
      </w:r>
    </w:p>
    <w:p w14:paraId="178644BC" w14:textId="77777777" w:rsidR="00CF3DEF" w:rsidRPr="00CF3DEF" w:rsidRDefault="00CF3DEF" w:rsidP="00CF3DEF">
      <w:pPr>
        <w:suppressAutoHyphens/>
        <w:spacing w:line="256" w:lineRule="auto"/>
        <w:rPr>
          <w:rFonts w:ascii="Calibri" w:eastAsia="Calibri" w:hAnsi="Calibri" w:cs="Times New Roman"/>
          <w:color w:val="323232"/>
          <w:kern w:val="0"/>
          <w:sz w:val="20"/>
          <w:szCs w:val="22"/>
          <w:lang w:val="en-GB"/>
          <w14:ligatures w14:val="none"/>
        </w:rPr>
      </w:pPr>
    </w:p>
    <w:p w14:paraId="1507A1A3" w14:textId="77777777" w:rsidR="00CF3DEF" w:rsidRPr="00CF3DEF" w:rsidRDefault="00CF3DEF" w:rsidP="00CF3DEF">
      <w:pPr>
        <w:suppressAutoHyphens/>
        <w:spacing w:line="256" w:lineRule="auto"/>
        <w:rPr>
          <w:rFonts w:ascii="Calibri" w:eastAsia="Calibri" w:hAnsi="Calibri" w:cs="Times New Roman"/>
          <w:color w:val="323232"/>
          <w:kern w:val="0"/>
          <w:sz w:val="20"/>
          <w:szCs w:val="22"/>
          <w:lang w:val="en-GB"/>
          <w14:ligatures w14:val="none"/>
        </w:rPr>
      </w:pPr>
    </w:p>
    <w:p w14:paraId="60D0ACAD" w14:textId="77777777" w:rsidR="00CF3DEF" w:rsidRPr="00CF3DEF" w:rsidRDefault="00CF3DEF" w:rsidP="00CF3DEF">
      <w:pPr>
        <w:suppressAutoHyphens/>
        <w:spacing w:line="256" w:lineRule="auto"/>
        <w:rPr>
          <w:rFonts w:ascii="Calibri" w:eastAsia="Calibri" w:hAnsi="Calibri" w:cs="Times New Roman"/>
          <w:color w:val="323232"/>
          <w:kern w:val="0"/>
          <w:sz w:val="20"/>
          <w:szCs w:val="22"/>
          <w:lang w:val="en-GB"/>
          <w14:ligatures w14:val="none"/>
        </w:rPr>
      </w:pPr>
    </w:p>
    <w:p w14:paraId="407D471C" w14:textId="77777777" w:rsidR="00CF3DEF" w:rsidRPr="00CF3DEF" w:rsidRDefault="00CF3DEF" w:rsidP="00CF3DEF">
      <w:pPr>
        <w:suppressAutoHyphens/>
        <w:spacing w:line="256" w:lineRule="auto"/>
        <w:rPr>
          <w:rFonts w:ascii="Calibri" w:eastAsia="Calibri" w:hAnsi="Calibri" w:cs="Times New Roman"/>
          <w:color w:val="323232"/>
          <w:kern w:val="0"/>
          <w:sz w:val="20"/>
          <w:szCs w:val="22"/>
          <w:lang w:val="en-GB"/>
          <w14:ligatures w14:val="none"/>
        </w:rPr>
      </w:pPr>
    </w:p>
    <w:p w14:paraId="211DC3FB" w14:textId="77777777" w:rsidR="00CF3DEF" w:rsidRPr="00CF3DEF" w:rsidRDefault="00CF3DEF" w:rsidP="00CF3DEF">
      <w:pPr>
        <w:suppressAutoHyphens/>
        <w:spacing w:after="320" w:line="256" w:lineRule="auto"/>
        <w:rPr>
          <w:rFonts w:ascii="Calibri" w:eastAsia="Calibri" w:hAnsi="Calibri" w:cs="Times New Roman"/>
          <w:color w:val="323232"/>
          <w:kern w:val="0"/>
          <w:sz w:val="36"/>
          <w:szCs w:val="36"/>
          <w:lang w:val="en-GB"/>
          <w14:ligatures w14:val="none"/>
        </w:rPr>
      </w:pPr>
    </w:p>
    <w:p w14:paraId="0DF4409D" w14:textId="77777777" w:rsidR="00CF3DEF" w:rsidRPr="00CF3DEF" w:rsidRDefault="00CF3DEF" w:rsidP="00CF3DEF">
      <w:pPr>
        <w:suppressAutoHyphens/>
        <w:spacing w:after="320" w:line="240" w:lineRule="auto"/>
        <w:rPr>
          <w:rFonts w:ascii="Calibri" w:eastAsia="Calibri" w:hAnsi="Calibri" w:cs="Times New Roman"/>
          <w:b/>
          <w:kern w:val="0"/>
          <w:sz w:val="28"/>
          <w:szCs w:val="28"/>
          <w:lang w:val="en-GB"/>
          <w14:ligatures w14:val="none"/>
        </w:rPr>
      </w:pPr>
    </w:p>
    <w:p w14:paraId="6E5F8500" w14:textId="77777777" w:rsidR="00CF3DEF" w:rsidRPr="00CF3DEF" w:rsidRDefault="00CF3DEF" w:rsidP="00CF3DEF">
      <w:pPr>
        <w:suppressAutoHyphens/>
        <w:spacing w:after="0" w:line="256" w:lineRule="auto"/>
        <w:rPr>
          <w:rFonts w:ascii="Calibri" w:eastAsia="Calibri" w:hAnsi="Calibri" w:cs="Times New Roman"/>
          <w:kern w:val="0"/>
          <w:lang w:val="en-GB"/>
          <w14:ligatures w14:val="none"/>
        </w:rPr>
      </w:pPr>
      <w:r w:rsidRPr="00CF3DEF">
        <w:rPr>
          <w:rFonts w:ascii="Calibri" w:eastAsia="Calibri" w:hAnsi="Calibri" w:cs="Times New Roman"/>
          <w:kern w:val="0"/>
          <w:lang w:val="en-GB"/>
          <w14:ligatures w14:val="none"/>
        </w:rPr>
        <w:t>EOMP Module III</w:t>
      </w:r>
    </w:p>
    <w:p w14:paraId="617E3328" w14:textId="40FFA6AA" w:rsidR="00CF3DEF" w:rsidRPr="00CF3DEF" w:rsidRDefault="00000000" w:rsidP="00CF3DEF">
      <w:pPr>
        <w:suppressAutoHyphens/>
        <w:spacing w:after="0" w:line="256" w:lineRule="auto"/>
        <w:rPr>
          <w:rFonts w:ascii="Calibri" w:eastAsia="Calibri" w:hAnsi="Calibri" w:cs="Times New Roman"/>
          <w:b/>
          <w:bCs/>
          <w:kern w:val="0"/>
          <w:lang w:val="en-GB"/>
          <w14:ligatures w14:val="none"/>
        </w:rPr>
      </w:pPr>
      <w:sdt>
        <w:sdtPr>
          <w:rPr>
            <w:rFonts w:ascii="Calibri" w:eastAsia="Calibri" w:hAnsi="Calibri" w:cs="Times New Roman"/>
            <w:b/>
            <w:bCs/>
            <w:kern w:val="0"/>
            <w:lang w:val="en-GB"/>
            <w14:ligatures w14:val="none"/>
          </w:rPr>
          <w:id w:val="-1012523832"/>
          <w:placeholder>
            <w:docPart w:val="94C256D7341E4EAF9F5C30E483DB88B4"/>
          </w:placeholder>
          <w:dropDownList>
            <w:listItem w:displayText="[Choose Module]" w:value="[Choose Module]"/>
            <w:listItem w:displayText="Local institutions and poverty reduction" w:value="Local institutions and poverty reduction"/>
            <w:listItem w:displayText="National institutions, poverty reduction strategies and aid" w:value="National institutions, poverty reduction strategies and aid"/>
            <w:listItem w:displayText="From violent conflict to peace and state reconstruction" w:value="From violent conflict to peace and state reconstruction"/>
          </w:dropDownList>
        </w:sdtPr>
        <w:sdtContent>
          <w:r w:rsidR="00CF3DEF">
            <w:rPr>
              <w:rFonts w:ascii="Calibri" w:eastAsia="Calibri" w:hAnsi="Calibri" w:cs="Times New Roman"/>
              <w:b/>
              <w:bCs/>
              <w:kern w:val="0"/>
              <w:lang w:val="en-GB"/>
              <w14:ligatures w14:val="none"/>
            </w:rPr>
            <w:t>Local institutions and poverty reduction</w:t>
          </w:r>
        </w:sdtContent>
      </w:sdt>
    </w:p>
    <w:p w14:paraId="417D5D92" w14:textId="77777777" w:rsidR="00CF3DEF" w:rsidRPr="00CF3DEF" w:rsidRDefault="00CF3DEF" w:rsidP="00CF3DEF">
      <w:pPr>
        <w:suppressAutoHyphens/>
        <w:spacing w:line="256" w:lineRule="auto"/>
        <w:rPr>
          <w:rFonts w:ascii="Calibri" w:eastAsia="Calibri" w:hAnsi="Calibri" w:cs="Times New Roman"/>
          <w:kern w:val="0"/>
          <w:sz w:val="20"/>
          <w:szCs w:val="22"/>
          <w:lang w:val="en-GB"/>
          <w14:ligatures w14:val="none"/>
        </w:rPr>
      </w:pPr>
    </w:p>
    <w:p w14:paraId="017B944B" w14:textId="77777777" w:rsidR="00CF3DEF" w:rsidRPr="00CF3DEF" w:rsidRDefault="00CF3DEF" w:rsidP="00CF3DEF">
      <w:pPr>
        <w:suppressAutoHyphens/>
        <w:spacing w:line="256" w:lineRule="auto"/>
        <w:rPr>
          <w:rFonts w:ascii="Calibri" w:eastAsia="Calibri" w:hAnsi="Calibri" w:cs="Times New Roman"/>
          <w:kern w:val="0"/>
          <w:sz w:val="20"/>
          <w:szCs w:val="22"/>
          <w:lang w:val="en-GB"/>
          <w14:ligatures w14:val="none"/>
        </w:rPr>
      </w:pPr>
    </w:p>
    <w:p w14:paraId="5047CB97" w14:textId="0E589D85" w:rsidR="00CF3DEF" w:rsidRPr="00CF3DEF" w:rsidRDefault="00CF3DEF" w:rsidP="00CF3DEF">
      <w:pPr>
        <w:suppressAutoHyphens/>
        <w:spacing w:line="256" w:lineRule="auto"/>
        <w:rPr>
          <w:rFonts w:ascii="Calibri" w:eastAsia="Calibri" w:hAnsi="Calibri" w:cs="Times New Roman"/>
          <w:kern w:val="0"/>
          <w:sz w:val="20"/>
          <w:szCs w:val="22"/>
          <w:lang w:val="en-GB"/>
          <w14:ligatures w14:val="none"/>
        </w:rPr>
      </w:pPr>
      <w:r w:rsidRPr="00CF3DEF">
        <w:rPr>
          <w:rFonts w:ascii="Calibri" w:eastAsia="Calibri" w:hAnsi="Calibri" w:cs="Times New Roman"/>
          <w:b/>
          <w:kern w:val="0"/>
          <w:lang w:val="en-GB"/>
          <w14:ligatures w14:val="none"/>
        </w:rPr>
        <w:t>Word count</w:t>
      </w:r>
      <w:r w:rsidRPr="00CF3DEF">
        <w:rPr>
          <w:rFonts w:ascii="Calibri" w:eastAsia="Calibri" w:hAnsi="Calibri" w:cs="Times New Roman"/>
          <w:kern w:val="0"/>
          <w:lang w:val="en-GB"/>
          <w14:ligatures w14:val="none"/>
        </w:rPr>
        <w:t xml:space="preserve">: </w:t>
      </w:r>
      <w:r>
        <w:rPr>
          <w:rFonts w:ascii="Calibri" w:eastAsia="Calibri" w:hAnsi="Calibri" w:cs="Times New Roman"/>
          <w:kern w:val="0"/>
          <w:lang w:val="en-GB"/>
          <w14:ligatures w14:val="none"/>
        </w:rPr>
        <w:t xml:space="preserve">4,510 (excluding references and annexes) </w:t>
      </w:r>
    </w:p>
    <w:p w14:paraId="6D5A3EF0" w14:textId="77777777" w:rsidR="00CF3DEF" w:rsidRDefault="00CF3DEF" w:rsidP="00CF3DEF">
      <w:pPr>
        <w:suppressAutoHyphens/>
        <w:spacing w:line="256" w:lineRule="auto"/>
        <w:rPr>
          <w:rFonts w:ascii="Calibri" w:eastAsia="Calibri" w:hAnsi="Calibri" w:cs="Times New Roman"/>
          <w:kern w:val="0"/>
          <w:sz w:val="20"/>
          <w:szCs w:val="22"/>
          <w:lang w:val="en-GB"/>
          <w14:ligatures w14:val="none"/>
        </w:rPr>
      </w:pPr>
    </w:p>
    <w:p w14:paraId="2250A96F" w14:textId="77777777" w:rsidR="00CF3DEF" w:rsidRPr="00CF3DEF" w:rsidRDefault="00CF3DEF" w:rsidP="00CF3DEF">
      <w:pPr>
        <w:suppressAutoHyphens/>
        <w:spacing w:line="256" w:lineRule="auto"/>
        <w:rPr>
          <w:rFonts w:ascii="Calibri" w:eastAsia="Calibri" w:hAnsi="Calibri" w:cs="Times New Roman"/>
          <w:kern w:val="0"/>
          <w:sz w:val="20"/>
          <w:szCs w:val="22"/>
          <w:lang w:val="en-GB"/>
          <w14:ligatures w14:val="none"/>
        </w:rPr>
      </w:pPr>
    </w:p>
    <w:p w14:paraId="3A2D6A49" w14:textId="77777777" w:rsidR="00CF3DEF" w:rsidRPr="00CF3DEF" w:rsidRDefault="00CF3DEF" w:rsidP="00CF3DEF">
      <w:pPr>
        <w:suppressAutoHyphens/>
        <w:spacing w:after="0" w:line="256" w:lineRule="auto"/>
        <w:rPr>
          <w:rFonts w:ascii="Calibri" w:eastAsia="Calibri" w:hAnsi="Calibri" w:cs="Times New Roman"/>
          <w:kern w:val="0"/>
          <w:lang w:val="en-GB"/>
          <w14:ligatures w14:val="none"/>
        </w:rPr>
      </w:pPr>
      <w:r w:rsidRPr="00CF3DEF">
        <w:rPr>
          <w:rFonts w:ascii="Calibri" w:eastAsia="Calibri" w:hAnsi="Calibri" w:cs="Times New Roman"/>
          <w:kern w:val="0"/>
          <w:lang w:val="en-GB"/>
          <w14:ligatures w14:val="none"/>
        </w:rPr>
        <w:t>Supervisor</w:t>
      </w:r>
    </w:p>
    <w:p w14:paraId="7B5337FA" w14:textId="60D31D39" w:rsidR="00CF3DEF" w:rsidRPr="00CF3DEF" w:rsidRDefault="00CF3DEF" w:rsidP="00CF3DEF">
      <w:pPr>
        <w:suppressAutoHyphens/>
        <w:spacing w:after="0" w:line="240" w:lineRule="auto"/>
        <w:rPr>
          <w:rFonts w:ascii="Calibri" w:eastAsia="Calibri" w:hAnsi="Calibri" w:cs="Times New Roman"/>
          <w:b/>
          <w:bCs/>
          <w:kern w:val="0"/>
          <w:lang w:val="nl-BE"/>
          <w14:ligatures w14:val="none"/>
        </w:rPr>
      </w:pPr>
      <w:r w:rsidRPr="00CF3DEF">
        <w:rPr>
          <w:rFonts w:ascii="Calibri" w:eastAsia="Calibri" w:hAnsi="Calibri" w:cs="Times New Roman"/>
          <w:b/>
          <w:bCs/>
          <w:kern w:val="0"/>
          <w:lang w:val="en-GB"/>
          <w14:ligatures w14:val="none"/>
        </w:rPr>
        <w:t xml:space="preserve">Prof. dr. </w:t>
      </w:r>
      <w:r w:rsidRPr="00CF3DEF">
        <w:rPr>
          <w:rFonts w:ascii="Calibri" w:eastAsia="Calibri" w:hAnsi="Calibri" w:cs="Times New Roman"/>
          <w:b/>
          <w:bCs/>
          <w:kern w:val="0"/>
          <w:lang w:val="nl-BE"/>
          <w14:ligatures w14:val="none"/>
        </w:rPr>
        <w:t>Olivier Ste</w:t>
      </w:r>
      <w:r>
        <w:rPr>
          <w:rFonts w:ascii="Calibri" w:eastAsia="Calibri" w:hAnsi="Calibri" w:cs="Times New Roman"/>
          <w:b/>
          <w:bCs/>
          <w:kern w:val="0"/>
          <w:lang w:val="nl-BE"/>
          <w14:ligatures w14:val="none"/>
        </w:rPr>
        <w:t>rck</w:t>
      </w:r>
    </w:p>
    <w:p w14:paraId="3C12B74A" w14:textId="77777777" w:rsidR="003D07A1" w:rsidRPr="00163C1E" w:rsidRDefault="003D07A1" w:rsidP="00CF3DEF">
      <w:pPr>
        <w:spacing w:line="360" w:lineRule="auto"/>
        <w:rPr>
          <w:rFonts w:ascii="Garamond" w:hAnsi="Garamond" w:cs="Times New Roman"/>
          <w:b/>
          <w:bCs/>
        </w:rPr>
      </w:pPr>
    </w:p>
    <w:p w14:paraId="090FD305" w14:textId="77777777" w:rsidR="003D07A1" w:rsidRDefault="003D07A1" w:rsidP="00D539EF">
      <w:pPr>
        <w:spacing w:line="360" w:lineRule="auto"/>
        <w:rPr>
          <w:rFonts w:ascii="Garamond" w:hAnsi="Garamond" w:cs="Times New Roman"/>
          <w:b/>
          <w:bCs/>
        </w:rPr>
      </w:pPr>
    </w:p>
    <w:p w14:paraId="042CBD04" w14:textId="77777777" w:rsidR="00CF3DEF" w:rsidRPr="00CF3DEF" w:rsidRDefault="00CF3DEF" w:rsidP="00CF3DEF">
      <w:pPr>
        <w:suppressAutoHyphens/>
        <w:spacing w:after="0" w:line="240" w:lineRule="auto"/>
        <w:rPr>
          <w:rFonts w:ascii="Calibri" w:eastAsia="Calibri" w:hAnsi="Calibri" w:cs="Times New Roman"/>
          <w:b/>
          <w:bCs/>
          <w:kern w:val="0"/>
          <w:lang w:val="en-GB"/>
          <w14:ligatures w14:val="none"/>
        </w:rPr>
      </w:pPr>
    </w:p>
    <w:p w14:paraId="435BF6C1" w14:textId="77777777" w:rsidR="00CF3DEF" w:rsidRPr="00CF3DEF" w:rsidRDefault="00CF3DEF" w:rsidP="00CF3DEF">
      <w:pPr>
        <w:spacing w:after="320" w:line="256" w:lineRule="auto"/>
        <w:rPr>
          <w:rFonts w:ascii="Calibri" w:eastAsia="Calibri" w:hAnsi="Calibri" w:cs="Times New Roman"/>
          <w:b/>
          <w:bCs/>
          <w:color w:val="002E65"/>
          <w:kern w:val="0"/>
          <w:sz w:val="32"/>
          <w:szCs w:val="32"/>
          <w:lang w:val="en-GB"/>
          <w14:ligatures w14:val="none"/>
        </w:rPr>
      </w:pPr>
      <w:r w:rsidRPr="00CF3DEF">
        <w:rPr>
          <w:rFonts w:ascii="Calibri" w:eastAsia="Calibri" w:hAnsi="Calibri" w:cs="Times New Roman"/>
          <w:b/>
          <w:bCs/>
          <w:color w:val="002E65"/>
          <w:kern w:val="0"/>
          <w:sz w:val="32"/>
          <w:szCs w:val="32"/>
          <w:u w:val="single"/>
          <w:lang w:val="en-GB"/>
          <w14:ligatures w14:val="none"/>
        </w:rPr>
        <w:t>Use of AI</w:t>
      </w:r>
      <w:r w:rsidRPr="00CF3DEF">
        <w:rPr>
          <w:rFonts w:ascii="Calibri" w:eastAsia="Calibri" w:hAnsi="Calibri" w:cs="Times New Roman"/>
          <w:b/>
          <w:bCs/>
          <w:color w:val="002E65"/>
          <w:kern w:val="0"/>
          <w:sz w:val="32"/>
          <w:szCs w:val="32"/>
          <w:lang w:val="en-GB"/>
          <w14:ligatures w14:val="none"/>
        </w:rPr>
        <w:t xml:space="preserve">: indicate whether or not you have used any form of Artificial intelligence in drafting your EOMP. </w:t>
      </w:r>
    </w:p>
    <w:p w14:paraId="3A161BB6" w14:textId="77777777" w:rsidR="00CF3DEF" w:rsidRPr="00CF3DEF" w:rsidRDefault="00CF3DEF" w:rsidP="00CF3DEF">
      <w:pPr>
        <w:spacing w:after="320" w:line="256" w:lineRule="auto"/>
        <w:rPr>
          <w:rFonts w:ascii="Calibri" w:eastAsia="Calibri" w:hAnsi="Calibri" w:cs="Times New Roman"/>
          <w:b/>
          <w:bCs/>
          <w:color w:val="002E65"/>
          <w:kern w:val="0"/>
          <w:sz w:val="32"/>
          <w:szCs w:val="32"/>
          <w:lang w:val="en-GB"/>
          <w14:ligatures w14:val="none"/>
        </w:rPr>
      </w:pPr>
      <w:r w:rsidRPr="00CF3DEF">
        <w:rPr>
          <w:rFonts w:ascii="Calibri" w:eastAsia="Calibri" w:hAnsi="Calibri" w:cs="Times New Roman"/>
          <w:b/>
          <w:bCs/>
          <w:color w:val="002E65"/>
          <w:kern w:val="0"/>
          <w:sz w:val="32"/>
          <w:szCs w:val="32"/>
          <w:lang w:val="en-GB"/>
          <w14:ligatures w14:val="none"/>
        </w:rPr>
        <w:t>I declare that I have used AI tools in the preparation of this EOMP for the following purposes (tick all that apply):</w:t>
      </w:r>
    </w:p>
    <w:p w14:paraId="7D31E789" w14:textId="0BC04186" w:rsidR="00CF3DEF" w:rsidRPr="00CF3DEF" w:rsidRDefault="00CF3DEF" w:rsidP="00CF3DEF">
      <w:pPr>
        <w:spacing w:after="320" w:line="256" w:lineRule="auto"/>
        <w:rPr>
          <w:rFonts w:ascii="Calibri" w:eastAsia="Calibri" w:hAnsi="Calibri" w:cs="Times New Roman"/>
          <w:b/>
          <w:bCs/>
          <w:color w:val="002E65"/>
          <w:kern w:val="0"/>
          <w:sz w:val="32"/>
          <w:szCs w:val="32"/>
          <w:lang w:val="en-GB"/>
          <w14:ligatures w14:val="none"/>
        </w:rPr>
      </w:pPr>
      <w:r>
        <w:rPr>
          <w:rFonts w:ascii="Segoe UI Symbol" w:eastAsia="Calibri" w:hAnsi="Segoe UI Symbol" w:cs="Segoe UI Symbol"/>
          <w:b/>
          <w:bCs/>
          <w:noProof/>
          <w:color w:val="002E65"/>
          <w:kern w:val="0"/>
          <w:sz w:val="32"/>
          <w:szCs w:val="32"/>
          <w:lang w:val="en-GB"/>
        </w:rPr>
        <mc:AlternateContent>
          <mc:Choice Requires="wps">
            <w:drawing>
              <wp:anchor distT="0" distB="0" distL="114300" distR="114300" simplePos="0" relativeHeight="251685888" behindDoc="0" locked="0" layoutInCell="1" allowOverlap="1" wp14:anchorId="699E799C" wp14:editId="1FE367D5">
                <wp:simplePos x="0" y="0"/>
                <wp:positionH relativeFrom="column">
                  <wp:posOffset>-41910</wp:posOffset>
                </wp:positionH>
                <wp:positionV relativeFrom="paragraph">
                  <wp:posOffset>30480</wp:posOffset>
                </wp:positionV>
                <wp:extent cx="219075" cy="228600"/>
                <wp:effectExtent l="0" t="0" r="28575" b="19050"/>
                <wp:wrapNone/>
                <wp:docPr id="1713522189" name="Oval 17"/>
                <wp:cNvGraphicFramePr/>
                <a:graphic xmlns:a="http://schemas.openxmlformats.org/drawingml/2006/main">
                  <a:graphicData uri="http://schemas.microsoft.com/office/word/2010/wordprocessingShape">
                    <wps:wsp>
                      <wps:cNvSpPr/>
                      <wps:spPr>
                        <a:xfrm>
                          <a:off x="0" y="0"/>
                          <a:ext cx="219075" cy="2286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11EA379" id="Oval 17" o:spid="_x0000_s1026" style="position:absolute;margin-left:-3.3pt;margin-top:2.4pt;width:17.25pt;height:18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" fillcolor="#156082 [3204]" strokecolor="#030e13 [484]" strokeweight="1.5pt">
                <v:stroke joinstyle="miter"/>
              </v:oval>
            </w:pict>
          </mc:Fallback>
        </mc:AlternateContent>
      </w:r>
      <w:r w:rsidRPr="00CF3DEF">
        <w:rPr>
          <w:rFonts w:ascii="Segoe UI Symbol" w:eastAsia="Calibri" w:hAnsi="Segoe UI Symbol" w:cs="Segoe UI Symbol"/>
          <w:b/>
          <w:bCs/>
          <w:color w:val="002E65"/>
          <w:kern w:val="0"/>
          <w:sz w:val="32"/>
          <w:szCs w:val="32"/>
          <w:lang w:val="en-GB"/>
          <w14:ligatures w14:val="none"/>
        </w:rPr>
        <w:t>☐</w:t>
      </w:r>
      <w:r w:rsidRPr="00CF3DEF">
        <w:rPr>
          <w:rFonts w:ascii="Calibri" w:eastAsia="Calibri" w:hAnsi="Calibri" w:cs="Times New Roman"/>
          <w:b/>
          <w:bCs/>
          <w:color w:val="002E65"/>
          <w:kern w:val="0"/>
          <w:sz w:val="32"/>
          <w:szCs w:val="32"/>
          <w:lang w:val="en-GB"/>
          <w14:ligatures w14:val="none"/>
        </w:rPr>
        <w:t xml:space="preserve"> Language support (grammar, spelling, readability)</w:t>
      </w:r>
    </w:p>
    <w:p w14:paraId="7E8C6B7A" w14:textId="77777777" w:rsidR="00CF3DEF" w:rsidRPr="00CF3DEF" w:rsidRDefault="00CF3DEF" w:rsidP="00CF3DEF">
      <w:pPr>
        <w:spacing w:after="320" w:line="256" w:lineRule="auto"/>
        <w:rPr>
          <w:rFonts w:ascii="Calibri" w:eastAsia="Calibri" w:hAnsi="Calibri" w:cs="Times New Roman"/>
          <w:b/>
          <w:bCs/>
          <w:color w:val="002E65"/>
          <w:kern w:val="0"/>
          <w:sz w:val="32"/>
          <w:szCs w:val="32"/>
          <w:lang w:val="en-GB"/>
          <w14:ligatures w14:val="none"/>
        </w:rPr>
      </w:pPr>
      <w:r w:rsidRPr="00CF3DEF">
        <w:rPr>
          <w:rFonts w:ascii="Segoe UI Symbol" w:eastAsia="Calibri" w:hAnsi="Segoe UI Symbol" w:cs="Segoe UI Symbol"/>
          <w:b/>
          <w:bCs/>
          <w:color w:val="002E65"/>
          <w:kern w:val="0"/>
          <w:sz w:val="32"/>
          <w:szCs w:val="32"/>
          <w:lang w:val="en-GB"/>
          <w14:ligatures w14:val="none"/>
        </w:rPr>
        <w:t>☐</w:t>
      </w:r>
      <w:r w:rsidRPr="00CF3DEF">
        <w:rPr>
          <w:rFonts w:ascii="Calibri" w:eastAsia="Calibri" w:hAnsi="Calibri" w:cs="Times New Roman"/>
          <w:b/>
          <w:bCs/>
          <w:color w:val="002E65"/>
          <w:kern w:val="0"/>
          <w:sz w:val="32"/>
          <w:szCs w:val="32"/>
          <w:lang w:val="en-GB"/>
          <w14:ligatures w14:val="none"/>
        </w:rPr>
        <w:t xml:space="preserve"> Rephrasing or summarising my own text</w:t>
      </w:r>
    </w:p>
    <w:p w14:paraId="6C041922" w14:textId="77777777" w:rsidR="00CF3DEF" w:rsidRPr="00CF3DEF" w:rsidRDefault="00CF3DEF" w:rsidP="00CF3DEF">
      <w:pPr>
        <w:spacing w:after="320" w:line="256" w:lineRule="auto"/>
        <w:rPr>
          <w:rFonts w:ascii="Calibri" w:eastAsia="Calibri" w:hAnsi="Calibri" w:cs="Times New Roman"/>
          <w:b/>
          <w:bCs/>
          <w:color w:val="002E65"/>
          <w:kern w:val="0"/>
          <w:sz w:val="32"/>
          <w:szCs w:val="32"/>
          <w:lang w:val="en-GB"/>
          <w14:ligatures w14:val="none"/>
        </w:rPr>
      </w:pPr>
      <w:r w:rsidRPr="00CF3DEF">
        <w:rPr>
          <w:rFonts w:ascii="Segoe UI Symbol" w:eastAsia="Calibri" w:hAnsi="Segoe UI Symbol" w:cs="Segoe UI Symbol"/>
          <w:b/>
          <w:bCs/>
          <w:color w:val="002E65"/>
          <w:kern w:val="0"/>
          <w:sz w:val="32"/>
          <w:szCs w:val="32"/>
          <w:lang w:val="en-GB"/>
          <w14:ligatures w14:val="none"/>
        </w:rPr>
        <w:t>☐</w:t>
      </w:r>
      <w:r w:rsidRPr="00CF3DEF">
        <w:rPr>
          <w:rFonts w:ascii="Calibri" w:eastAsia="Calibri" w:hAnsi="Calibri" w:cs="Times New Roman"/>
          <w:b/>
          <w:bCs/>
          <w:color w:val="002E65"/>
          <w:kern w:val="0"/>
          <w:sz w:val="32"/>
          <w:szCs w:val="32"/>
          <w:lang w:val="en-GB"/>
          <w14:ligatures w14:val="none"/>
        </w:rPr>
        <w:t xml:space="preserve"> Brainstorming or refining research questions</w:t>
      </w:r>
    </w:p>
    <w:p w14:paraId="74452A41" w14:textId="77777777" w:rsidR="00CF3DEF" w:rsidRPr="00CF3DEF" w:rsidRDefault="00CF3DEF" w:rsidP="00CF3DEF">
      <w:pPr>
        <w:spacing w:after="320" w:line="256" w:lineRule="auto"/>
        <w:rPr>
          <w:rFonts w:ascii="Calibri" w:eastAsia="Calibri" w:hAnsi="Calibri" w:cs="Times New Roman"/>
          <w:b/>
          <w:bCs/>
          <w:color w:val="002E65"/>
          <w:kern w:val="0"/>
          <w:sz w:val="32"/>
          <w:szCs w:val="32"/>
          <w:lang w:val="en-GB"/>
          <w14:ligatures w14:val="none"/>
        </w:rPr>
      </w:pPr>
      <w:r w:rsidRPr="00CF3DEF">
        <w:rPr>
          <w:rFonts w:ascii="Segoe UI Symbol" w:eastAsia="Calibri" w:hAnsi="Segoe UI Symbol" w:cs="Segoe UI Symbol"/>
          <w:b/>
          <w:bCs/>
          <w:color w:val="002E65"/>
          <w:kern w:val="0"/>
          <w:sz w:val="32"/>
          <w:szCs w:val="32"/>
          <w:lang w:val="en-GB"/>
          <w14:ligatures w14:val="none"/>
        </w:rPr>
        <w:t>☐</w:t>
      </w:r>
      <w:r w:rsidRPr="00CF3DEF">
        <w:rPr>
          <w:rFonts w:ascii="Calibri" w:eastAsia="Calibri" w:hAnsi="Calibri" w:cs="Times New Roman"/>
          <w:b/>
          <w:bCs/>
          <w:color w:val="002E65"/>
          <w:kern w:val="0"/>
          <w:sz w:val="32"/>
          <w:szCs w:val="32"/>
          <w:lang w:val="en-GB"/>
          <w14:ligatures w14:val="none"/>
        </w:rPr>
        <w:t xml:space="preserve"> Structuring outlines or chapter plans</w:t>
      </w:r>
    </w:p>
    <w:p w14:paraId="1C72F807" w14:textId="77777777" w:rsidR="00CF3DEF" w:rsidRPr="00CF3DEF" w:rsidRDefault="00CF3DEF" w:rsidP="00CF3DEF">
      <w:pPr>
        <w:spacing w:after="320" w:line="256" w:lineRule="auto"/>
        <w:rPr>
          <w:rFonts w:ascii="Calibri" w:eastAsia="Calibri" w:hAnsi="Calibri" w:cs="Times New Roman"/>
          <w:b/>
          <w:bCs/>
          <w:color w:val="002E65"/>
          <w:kern w:val="0"/>
          <w:sz w:val="32"/>
          <w:szCs w:val="32"/>
          <w:lang w:val="en-GB"/>
          <w14:ligatures w14:val="none"/>
        </w:rPr>
      </w:pPr>
      <w:r w:rsidRPr="00CF3DEF">
        <w:rPr>
          <w:rFonts w:ascii="Segoe UI Symbol" w:eastAsia="Calibri" w:hAnsi="Segoe UI Symbol" w:cs="Segoe UI Symbol"/>
          <w:b/>
          <w:bCs/>
          <w:color w:val="002E65"/>
          <w:kern w:val="0"/>
          <w:sz w:val="32"/>
          <w:szCs w:val="32"/>
          <w:lang w:val="en-GB"/>
          <w14:ligatures w14:val="none"/>
        </w:rPr>
        <w:t>☐</w:t>
      </w:r>
      <w:r w:rsidRPr="00CF3DEF">
        <w:rPr>
          <w:rFonts w:ascii="Calibri" w:eastAsia="Calibri" w:hAnsi="Calibri" w:cs="Times New Roman"/>
          <w:b/>
          <w:bCs/>
          <w:color w:val="002E65"/>
          <w:kern w:val="0"/>
          <w:sz w:val="32"/>
          <w:szCs w:val="32"/>
          <w:lang w:val="en-GB"/>
          <w14:ligatures w14:val="none"/>
        </w:rPr>
        <w:t xml:space="preserve"> Support in coding, data cleaning, or transcription</w:t>
      </w:r>
    </w:p>
    <w:p w14:paraId="01A1D420" w14:textId="77777777" w:rsidR="00CF3DEF" w:rsidRPr="00CF3DEF" w:rsidRDefault="00CF3DEF" w:rsidP="00CF3DEF">
      <w:pPr>
        <w:spacing w:after="320" w:line="256" w:lineRule="auto"/>
        <w:rPr>
          <w:rFonts w:ascii="Calibri" w:eastAsia="Calibri" w:hAnsi="Calibri" w:cs="Times New Roman"/>
          <w:b/>
          <w:bCs/>
          <w:color w:val="002E65"/>
          <w:kern w:val="0"/>
          <w:sz w:val="32"/>
          <w:szCs w:val="32"/>
          <w:lang w:val="en-GB"/>
          <w14:ligatures w14:val="none"/>
        </w:rPr>
      </w:pPr>
      <w:r w:rsidRPr="00CF3DEF">
        <w:rPr>
          <w:rFonts w:ascii="Segoe UI Symbol" w:eastAsia="Calibri" w:hAnsi="Segoe UI Symbol" w:cs="Segoe UI Symbol"/>
          <w:b/>
          <w:bCs/>
          <w:color w:val="002E65"/>
          <w:kern w:val="0"/>
          <w:sz w:val="32"/>
          <w:szCs w:val="32"/>
          <w:lang w:val="en-GB"/>
          <w14:ligatures w14:val="none"/>
        </w:rPr>
        <w:t>☐</w:t>
      </w:r>
      <w:r w:rsidRPr="00CF3DEF">
        <w:rPr>
          <w:rFonts w:ascii="Calibri" w:eastAsia="Calibri" w:hAnsi="Calibri" w:cs="Times New Roman"/>
          <w:b/>
          <w:bCs/>
          <w:color w:val="002E65"/>
          <w:kern w:val="0"/>
          <w:sz w:val="32"/>
          <w:szCs w:val="32"/>
          <w:lang w:val="en-GB"/>
          <w14:ligatures w14:val="none"/>
        </w:rPr>
        <w:t xml:space="preserve"> Exploring alternative formulations or counter-arguments</w:t>
      </w:r>
    </w:p>
    <w:p w14:paraId="38539037" w14:textId="77777777" w:rsidR="00CF3DEF" w:rsidRPr="00CF3DEF" w:rsidRDefault="00CF3DEF" w:rsidP="00CF3DEF">
      <w:pPr>
        <w:spacing w:after="320" w:line="256" w:lineRule="auto"/>
        <w:rPr>
          <w:rFonts w:ascii="Calibri" w:eastAsia="Calibri" w:hAnsi="Calibri" w:cs="Times New Roman"/>
          <w:b/>
          <w:bCs/>
          <w:color w:val="002E65"/>
          <w:kern w:val="0"/>
          <w:sz w:val="32"/>
          <w:szCs w:val="32"/>
          <w:lang w:val="en-GB"/>
          <w14:ligatures w14:val="none"/>
        </w:rPr>
      </w:pPr>
      <w:r w:rsidRPr="00CF3DEF">
        <w:rPr>
          <w:rFonts w:ascii="Segoe UI Symbol" w:eastAsia="Calibri" w:hAnsi="Segoe UI Symbol" w:cs="Segoe UI Symbol"/>
          <w:b/>
          <w:bCs/>
          <w:color w:val="002E65"/>
          <w:kern w:val="0"/>
          <w:sz w:val="32"/>
          <w:szCs w:val="32"/>
          <w:lang w:val="en-GB"/>
          <w14:ligatures w14:val="none"/>
        </w:rPr>
        <w:t>☐</w:t>
      </w:r>
      <w:r w:rsidRPr="00CF3DEF">
        <w:rPr>
          <w:rFonts w:ascii="Calibri" w:eastAsia="Calibri" w:hAnsi="Calibri" w:cs="Times New Roman"/>
          <w:b/>
          <w:bCs/>
          <w:color w:val="002E65"/>
          <w:kern w:val="0"/>
          <w:sz w:val="32"/>
          <w:szCs w:val="32"/>
          <w:lang w:val="en-GB"/>
          <w14:ligatures w14:val="none"/>
        </w:rPr>
        <w:t xml:space="preserve"> Assistance with formatting and organising references in accordance with the required citation style</w:t>
      </w:r>
    </w:p>
    <w:p w14:paraId="78D0577C" w14:textId="77777777" w:rsidR="00CF3DEF" w:rsidRPr="00CF3DEF" w:rsidRDefault="00CF3DEF" w:rsidP="00CF3DEF">
      <w:pPr>
        <w:spacing w:after="320" w:line="256" w:lineRule="auto"/>
        <w:rPr>
          <w:rFonts w:ascii="Calibri" w:eastAsia="Calibri" w:hAnsi="Calibri" w:cs="Times New Roman"/>
          <w:b/>
          <w:bCs/>
          <w:color w:val="002E65"/>
          <w:kern w:val="0"/>
          <w:sz w:val="32"/>
          <w:szCs w:val="32"/>
          <w:lang w:val="en-GB"/>
          <w14:ligatures w14:val="none"/>
        </w:rPr>
      </w:pPr>
      <w:r w:rsidRPr="00CF3DEF">
        <w:rPr>
          <w:rFonts w:ascii="Segoe UI Symbol" w:eastAsia="Calibri" w:hAnsi="Segoe UI Symbol" w:cs="Segoe UI Symbol"/>
          <w:b/>
          <w:bCs/>
          <w:color w:val="002E65"/>
          <w:kern w:val="0"/>
          <w:sz w:val="32"/>
          <w:szCs w:val="32"/>
          <w:lang w:val="en-GB"/>
          <w14:ligatures w14:val="none"/>
        </w:rPr>
        <w:t>☐</w:t>
      </w:r>
      <w:r w:rsidRPr="00CF3DEF">
        <w:rPr>
          <w:rFonts w:ascii="Calibri" w:eastAsia="Calibri" w:hAnsi="Calibri" w:cs="Times New Roman"/>
          <w:b/>
          <w:bCs/>
          <w:color w:val="002E65"/>
          <w:kern w:val="0"/>
          <w:sz w:val="32"/>
          <w:szCs w:val="32"/>
          <w:lang w:val="en-GB"/>
          <w14:ligatures w14:val="none"/>
        </w:rPr>
        <w:t xml:space="preserve"> No AI tools were used</w:t>
      </w:r>
    </w:p>
    <w:p w14:paraId="6BB91C9E" w14:textId="63FCF3B9" w:rsidR="00CF3DEF" w:rsidRDefault="00CF3DEF" w:rsidP="00CF3DEF">
      <w:pPr>
        <w:spacing w:after="320" w:line="256" w:lineRule="auto"/>
        <w:rPr>
          <w:rFonts w:ascii="Calibri" w:eastAsia="Calibri" w:hAnsi="Calibri" w:cs="Times New Roman"/>
          <w:b/>
          <w:bCs/>
          <w:color w:val="002E65"/>
          <w:kern w:val="0"/>
          <w:sz w:val="32"/>
          <w:szCs w:val="32"/>
          <w:lang w:val="en-GB"/>
          <w14:ligatures w14:val="none"/>
        </w:rPr>
      </w:pPr>
      <w:r>
        <w:rPr>
          <w:rFonts w:ascii="Calibri" w:eastAsia="Calibri" w:hAnsi="Calibri" w:cs="Times New Roman"/>
          <w:b/>
          <w:bCs/>
          <w:noProof/>
          <w:color w:val="002E65"/>
          <w:kern w:val="0"/>
          <w:sz w:val="32"/>
          <w:szCs w:val="32"/>
          <w:lang w:val="en-GB"/>
        </w:rPr>
        <mc:AlternateContent>
          <mc:Choice Requires="wps">
            <w:drawing>
              <wp:anchor distT="0" distB="0" distL="114300" distR="114300" simplePos="0" relativeHeight="251686912" behindDoc="0" locked="0" layoutInCell="1" allowOverlap="1" wp14:anchorId="7A1EE86E" wp14:editId="79ED811F">
                <wp:simplePos x="0" y="0"/>
                <wp:positionH relativeFrom="column">
                  <wp:posOffset>701040</wp:posOffset>
                </wp:positionH>
                <wp:positionV relativeFrom="paragraph">
                  <wp:posOffset>844550</wp:posOffset>
                </wp:positionV>
                <wp:extent cx="171450" cy="219075"/>
                <wp:effectExtent l="0" t="0" r="19050" b="28575"/>
                <wp:wrapNone/>
                <wp:docPr id="103900899" name="Oval 18"/>
                <wp:cNvGraphicFramePr/>
                <a:graphic xmlns:a="http://schemas.openxmlformats.org/drawingml/2006/main">
                  <a:graphicData uri="http://schemas.microsoft.com/office/word/2010/wordprocessingShape">
                    <wps:wsp>
                      <wps:cNvSpPr/>
                      <wps:spPr>
                        <a:xfrm>
                          <a:off x="0" y="0"/>
                          <a:ext cx="171450" cy="2190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C591422" id="Oval 18" o:spid="_x0000_s1026" style="position:absolute;margin-left:55.2pt;margin-top:66.5pt;width:13.5pt;height:17.2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" fillcolor="#156082 [3204]" strokecolor="#030e13 [484]" strokeweight="1.5pt">
                <v:stroke joinstyle="miter"/>
              </v:oval>
            </w:pict>
          </mc:Fallback>
        </mc:AlternateContent>
      </w:r>
      <w:r w:rsidRPr="00CF3DEF">
        <w:rPr>
          <w:rFonts w:ascii="Calibri" w:eastAsia="Calibri" w:hAnsi="Calibri" w:cs="Times New Roman"/>
          <w:b/>
          <w:bCs/>
          <w:color w:val="002E65"/>
          <w:kern w:val="0"/>
          <w:sz w:val="32"/>
          <w:szCs w:val="32"/>
          <w:lang w:val="en-GB"/>
          <w14:ligatures w14:val="none"/>
        </w:rPr>
        <w:t xml:space="preserve">I declare that AI tools were </w:t>
      </w:r>
      <w:r w:rsidRPr="00CF3DEF">
        <w:rPr>
          <w:rFonts w:ascii="Calibri" w:eastAsia="Calibri" w:hAnsi="Calibri" w:cs="Times New Roman"/>
          <w:b/>
          <w:bCs/>
          <w:color w:val="002E65"/>
          <w:kern w:val="0"/>
          <w:sz w:val="32"/>
          <w:szCs w:val="32"/>
          <w:u w:val="single"/>
          <w:lang w:val="en-GB"/>
          <w14:ligatures w14:val="none"/>
        </w:rPr>
        <w:t>not</w:t>
      </w:r>
      <w:r w:rsidRPr="00CF3DEF">
        <w:rPr>
          <w:rFonts w:ascii="Calibri" w:eastAsia="Calibri" w:hAnsi="Calibri" w:cs="Times New Roman"/>
          <w:b/>
          <w:bCs/>
          <w:color w:val="002E65"/>
          <w:kern w:val="0"/>
          <w:sz w:val="32"/>
          <w:szCs w:val="32"/>
          <w:lang w:val="en-GB"/>
          <w14:ligatures w14:val="none"/>
        </w:rPr>
        <w:t xml:space="preserve"> used to generate empirical data, not used to fabricate sources or references, and that I remain fully responsible for the content, analysis, and interpretation of this EOMP.   </w:t>
      </w:r>
      <w:r w:rsidRPr="00CF3DEF">
        <w:rPr>
          <w:rFonts w:ascii="Segoe UI Symbol" w:eastAsia="Calibri" w:hAnsi="Segoe UI Symbol" w:cs="Segoe UI Symbol"/>
          <w:b/>
          <w:bCs/>
          <w:color w:val="002E65"/>
          <w:kern w:val="0"/>
          <w:sz w:val="32"/>
          <w:szCs w:val="32"/>
          <w:lang w:val="en-GB"/>
          <w14:ligatures w14:val="none"/>
        </w:rPr>
        <w:t>☐</w:t>
      </w:r>
      <w:r w:rsidRPr="00CF3DEF">
        <w:rPr>
          <w:rFonts w:ascii="Calibri" w:eastAsia="Calibri" w:hAnsi="Calibri" w:cs="Times New Roman"/>
          <w:b/>
          <w:bCs/>
          <w:color w:val="002E65"/>
          <w:kern w:val="0"/>
          <w:sz w:val="32"/>
          <w:szCs w:val="32"/>
          <w:lang w:val="en-GB"/>
          <w14:ligatures w14:val="none"/>
        </w:rPr>
        <w:t xml:space="preserve"> Yes      </w:t>
      </w:r>
      <w:r w:rsidRPr="00CF3DEF">
        <w:rPr>
          <w:rFonts w:ascii="Segoe UI Symbol" w:eastAsia="Calibri" w:hAnsi="Segoe UI Symbol" w:cs="Segoe UI Symbol"/>
          <w:b/>
          <w:bCs/>
          <w:color w:val="002E65"/>
          <w:kern w:val="0"/>
          <w:sz w:val="32"/>
          <w:szCs w:val="32"/>
          <w:lang w:val="en-GB"/>
          <w14:ligatures w14:val="none"/>
        </w:rPr>
        <w:t>☐</w:t>
      </w:r>
      <w:r w:rsidRPr="00CF3DEF">
        <w:rPr>
          <w:rFonts w:ascii="Calibri" w:eastAsia="Calibri" w:hAnsi="Calibri" w:cs="Times New Roman"/>
          <w:b/>
          <w:bCs/>
          <w:color w:val="002E65"/>
          <w:kern w:val="0"/>
          <w:sz w:val="32"/>
          <w:szCs w:val="32"/>
          <w:lang w:val="en-GB"/>
          <w14:ligatures w14:val="none"/>
        </w:rPr>
        <w:t xml:space="preserve"> No</w:t>
      </w:r>
    </w:p>
    <w:p w14:paraId="16542174" w14:textId="77777777" w:rsidR="00E045C4" w:rsidRPr="00CF3DEF" w:rsidRDefault="00E045C4" w:rsidP="00CF3DEF">
      <w:pPr>
        <w:spacing w:after="320" w:line="256" w:lineRule="auto"/>
        <w:rPr>
          <w:rFonts w:ascii="Calibri" w:eastAsia="Calibri" w:hAnsi="Calibri" w:cs="Times New Roman"/>
          <w:b/>
          <w:bCs/>
          <w:color w:val="002E65"/>
          <w:kern w:val="0"/>
          <w:sz w:val="32"/>
          <w:szCs w:val="32"/>
          <w:lang w:val="en-GB"/>
          <w14:ligatures w14:val="none"/>
        </w:rPr>
      </w:pPr>
    </w:p>
    <w:p w14:paraId="4C6CA84A" w14:textId="77777777" w:rsidR="00CF3DEF" w:rsidRPr="00163C1E" w:rsidRDefault="00CF3DEF" w:rsidP="00D539EF">
      <w:pPr>
        <w:spacing w:line="360" w:lineRule="auto"/>
        <w:rPr>
          <w:rFonts w:ascii="Garamond" w:hAnsi="Garamond" w:cs="Times New Roman"/>
          <w:b/>
          <w:bCs/>
        </w:rPr>
      </w:pPr>
    </w:p>
    <w:sdt>
      <w:sdtPr>
        <w:rPr>
          <w:rFonts w:ascii="Garamond" w:eastAsiaTheme="minorHAnsi" w:hAnsi="Garamond" w:cs="Times New Roman"/>
          <w:color w:val="auto"/>
          <w:kern w:val="2"/>
          <w:sz w:val="24"/>
          <w:szCs w:val="24"/>
          <w:lang w:val="en-CA"/>
          <w14:ligatures w14:val="standardContextual"/>
        </w:rPr>
        <w:id w:val="343372879"/>
        <w:docPartObj>
          <w:docPartGallery w:val="Table of Contents"/>
          <w:docPartUnique/>
        </w:docPartObj>
      </w:sdtPr>
      <w:sdtEndPr>
        <w:rPr>
          <w:b/>
          <w:bCs/>
          <w:noProof/>
        </w:rPr>
      </w:sdtEndPr>
      <w:sdtContent>
        <w:p w14:paraId="4EE05A71" w14:textId="6A67ED7D" w:rsidR="003D07A1" w:rsidRPr="00163C1E" w:rsidRDefault="003D07A1" w:rsidP="002D1204">
          <w:pPr>
            <w:pStyle w:val="TOCHeading"/>
            <w:spacing w:line="276" w:lineRule="auto"/>
            <w:jc w:val="center"/>
            <w:rPr>
              <w:rFonts w:ascii="Garamond" w:hAnsi="Garamond" w:cs="Times New Roman"/>
              <w:b/>
              <w:bCs/>
              <w:sz w:val="24"/>
              <w:szCs w:val="24"/>
            </w:rPr>
          </w:pPr>
          <w:r w:rsidRPr="00163C1E">
            <w:rPr>
              <w:rFonts w:ascii="Garamond" w:hAnsi="Garamond" w:cs="Times New Roman"/>
              <w:b/>
              <w:bCs/>
              <w:sz w:val="24"/>
              <w:szCs w:val="24"/>
            </w:rPr>
            <w:t>Table of contents</w:t>
          </w:r>
        </w:p>
        <w:p w14:paraId="002DD519" w14:textId="2ECE3670" w:rsidR="009B7800" w:rsidRDefault="003D07A1">
          <w:pPr>
            <w:pStyle w:val="TOC1"/>
            <w:tabs>
              <w:tab w:val="right" w:leader="dot" w:pos="8828"/>
            </w:tabs>
            <w:rPr>
              <w:rFonts w:eastAsiaTheme="minorEastAsia"/>
              <w:noProof/>
              <w:lang w:eastAsia="en-CA"/>
            </w:rPr>
          </w:pPr>
          <w:r w:rsidRPr="00163C1E">
            <w:rPr>
              <w:rFonts w:ascii="Garamond" w:hAnsi="Garamond" w:cs="Times New Roman"/>
              <w:b/>
              <w:bCs/>
            </w:rPr>
            <w:fldChar w:fldCharType="begin"/>
          </w:r>
          <w:r w:rsidRPr="00163C1E">
            <w:rPr>
              <w:rFonts w:ascii="Garamond" w:hAnsi="Garamond" w:cs="Times New Roman"/>
              <w:b/>
              <w:bCs/>
            </w:rPr>
            <w:instrText xml:space="preserve"> TOC \o "1-3" \h \z \u </w:instrText>
          </w:r>
          <w:r w:rsidRPr="00163C1E">
            <w:rPr>
              <w:rFonts w:ascii="Garamond" w:hAnsi="Garamond" w:cs="Times New Roman"/>
              <w:b/>
              <w:bCs/>
            </w:rPr>
            <w:fldChar w:fldCharType="separate"/>
          </w:r>
          <w:hyperlink w:anchor="_Toc230511831" w:history="1">
            <w:r w:rsidR="009B7800" w:rsidRPr="004377A7">
              <w:rPr>
                <w:rStyle w:val="Hyperlink"/>
                <w:rFonts w:ascii="Garamond" w:hAnsi="Garamond" w:cs="Times New Roman"/>
                <w:b/>
                <w:bCs/>
                <w:noProof/>
              </w:rPr>
              <w:t>Abstract</w:t>
            </w:r>
            <w:r w:rsidR="009B7800">
              <w:rPr>
                <w:noProof/>
                <w:webHidden/>
              </w:rPr>
              <w:tab/>
            </w:r>
            <w:r w:rsidR="009B7800">
              <w:rPr>
                <w:noProof/>
                <w:webHidden/>
              </w:rPr>
              <w:fldChar w:fldCharType="begin"/>
            </w:r>
            <w:r w:rsidR="009B7800">
              <w:rPr>
                <w:noProof/>
                <w:webHidden/>
              </w:rPr>
              <w:instrText xml:space="preserve"> PAGEREF _Toc230511831 \h </w:instrText>
            </w:r>
            <w:r w:rsidR="009B7800">
              <w:rPr>
                <w:noProof/>
                <w:webHidden/>
              </w:rPr>
            </w:r>
            <w:r w:rsidR="009B7800">
              <w:rPr>
                <w:noProof/>
                <w:webHidden/>
              </w:rPr>
              <w:fldChar w:fldCharType="separate"/>
            </w:r>
            <w:r w:rsidR="009B7800">
              <w:rPr>
                <w:noProof/>
                <w:webHidden/>
              </w:rPr>
              <w:t>4</w:t>
            </w:r>
            <w:r w:rsidR="009B7800">
              <w:rPr>
                <w:noProof/>
                <w:webHidden/>
              </w:rPr>
              <w:fldChar w:fldCharType="end"/>
            </w:r>
          </w:hyperlink>
        </w:p>
        <w:p w14:paraId="7954E16B" w14:textId="1E871CF5" w:rsidR="009B7800" w:rsidRDefault="009B7800">
          <w:pPr>
            <w:pStyle w:val="TOC1"/>
            <w:tabs>
              <w:tab w:val="left" w:pos="480"/>
              <w:tab w:val="right" w:leader="dot" w:pos="8828"/>
            </w:tabs>
            <w:rPr>
              <w:rFonts w:eastAsiaTheme="minorEastAsia"/>
              <w:noProof/>
              <w:lang w:eastAsia="en-CA"/>
            </w:rPr>
          </w:pPr>
          <w:hyperlink w:anchor="_Toc230511832" w:history="1">
            <w:r w:rsidRPr="004377A7">
              <w:rPr>
                <w:rStyle w:val="Hyperlink"/>
                <w:rFonts w:ascii="Garamond" w:hAnsi="Garamond" w:cs="Times New Roman"/>
                <w:b/>
                <w:bCs/>
                <w:noProof/>
              </w:rPr>
              <w:t>1.</w:t>
            </w:r>
            <w:r>
              <w:rPr>
                <w:rFonts w:eastAsiaTheme="minorEastAsia"/>
                <w:noProof/>
                <w:lang w:eastAsia="en-CA"/>
              </w:rPr>
              <w:tab/>
            </w:r>
            <w:r w:rsidRPr="004377A7">
              <w:rPr>
                <w:rStyle w:val="Hyperlink"/>
                <w:rFonts w:ascii="Garamond" w:hAnsi="Garamond" w:cs="Times New Roman"/>
                <w:b/>
                <w:bCs/>
                <w:noProof/>
              </w:rPr>
              <w:t>Introduction</w:t>
            </w:r>
            <w:r>
              <w:rPr>
                <w:noProof/>
                <w:webHidden/>
              </w:rPr>
              <w:tab/>
            </w:r>
            <w:r>
              <w:rPr>
                <w:noProof/>
                <w:webHidden/>
              </w:rPr>
              <w:fldChar w:fldCharType="begin"/>
            </w:r>
            <w:r>
              <w:rPr>
                <w:noProof/>
                <w:webHidden/>
              </w:rPr>
              <w:instrText xml:space="preserve"> PAGEREF _Toc230511832 \h </w:instrText>
            </w:r>
            <w:r>
              <w:rPr>
                <w:noProof/>
                <w:webHidden/>
              </w:rPr>
            </w:r>
            <w:r>
              <w:rPr>
                <w:noProof/>
                <w:webHidden/>
              </w:rPr>
              <w:fldChar w:fldCharType="separate"/>
            </w:r>
            <w:r>
              <w:rPr>
                <w:noProof/>
                <w:webHidden/>
              </w:rPr>
              <w:t>5</w:t>
            </w:r>
            <w:r>
              <w:rPr>
                <w:noProof/>
                <w:webHidden/>
              </w:rPr>
              <w:fldChar w:fldCharType="end"/>
            </w:r>
          </w:hyperlink>
        </w:p>
        <w:p w14:paraId="4858AEB2" w14:textId="6DE31A9A" w:rsidR="009B7800" w:rsidRDefault="009B7800">
          <w:pPr>
            <w:pStyle w:val="TOC1"/>
            <w:tabs>
              <w:tab w:val="left" w:pos="480"/>
              <w:tab w:val="right" w:leader="dot" w:pos="8828"/>
            </w:tabs>
            <w:rPr>
              <w:rFonts w:eastAsiaTheme="minorEastAsia"/>
              <w:noProof/>
              <w:lang w:eastAsia="en-CA"/>
            </w:rPr>
          </w:pPr>
          <w:hyperlink w:anchor="_Toc230511833" w:history="1">
            <w:r w:rsidRPr="004377A7">
              <w:rPr>
                <w:rStyle w:val="Hyperlink"/>
                <w:rFonts w:ascii="Garamond" w:hAnsi="Garamond" w:cs="Times New Roman"/>
                <w:b/>
                <w:bCs/>
                <w:noProof/>
              </w:rPr>
              <w:t>2.</w:t>
            </w:r>
            <w:r>
              <w:rPr>
                <w:rFonts w:eastAsiaTheme="minorEastAsia"/>
                <w:noProof/>
                <w:lang w:eastAsia="en-CA"/>
              </w:rPr>
              <w:tab/>
            </w:r>
            <w:r w:rsidRPr="004377A7">
              <w:rPr>
                <w:rStyle w:val="Hyperlink"/>
                <w:rFonts w:ascii="Garamond" w:hAnsi="Garamond" w:cs="Times New Roman"/>
                <w:b/>
                <w:bCs/>
                <w:noProof/>
              </w:rPr>
              <w:t>Review methodology and research questions</w:t>
            </w:r>
            <w:r>
              <w:rPr>
                <w:noProof/>
                <w:webHidden/>
              </w:rPr>
              <w:tab/>
            </w:r>
            <w:r>
              <w:rPr>
                <w:noProof/>
                <w:webHidden/>
              </w:rPr>
              <w:fldChar w:fldCharType="begin"/>
            </w:r>
            <w:r>
              <w:rPr>
                <w:noProof/>
                <w:webHidden/>
              </w:rPr>
              <w:instrText xml:space="preserve"> PAGEREF _Toc230511833 \h </w:instrText>
            </w:r>
            <w:r>
              <w:rPr>
                <w:noProof/>
                <w:webHidden/>
              </w:rPr>
            </w:r>
            <w:r>
              <w:rPr>
                <w:noProof/>
                <w:webHidden/>
              </w:rPr>
              <w:fldChar w:fldCharType="separate"/>
            </w:r>
            <w:r>
              <w:rPr>
                <w:noProof/>
                <w:webHidden/>
              </w:rPr>
              <w:t>7</w:t>
            </w:r>
            <w:r>
              <w:rPr>
                <w:noProof/>
                <w:webHidden/>
              </w:rPr>
              <w:fldChar w:fldCharType="end"/>
            </w:r>
          </w:hyperlink>
        </w:p>
        <w:p w14:paraId="0D32CF63" w14:textId="28EC5A09" w:rsidR="009B7800" w:rsidRDefault="009B7800">
          <w:pPr>
            <w:pStyle w:val="TOC1"/>
            <w:tabs>
              <w:tab w:val="left" w:pos="480"/>
              <w:tab w:val="right" w:leader="dot" w:pos="8828"/>
            </w:tabs>
            <w:rPr>
              <w:rFonts w:eastAsiaTheme="minorEastAsia"/>
              <w:noProof/>
              <w:lang w:eastAsia="en-CA"/>
            </w:rPr>
          </w:pPr>
          <w:hyperlink w:anchor="_Toc230511834" w:history="1">
            <w:r w:rsidRPr="004377A7">
              <w:rPr>
                <w:rStyle w:val="Hyperlink"/>
                <w:rFonts w:ascii="Garamond" w:hAnsi="Garamond" w:cs="Times New Roman"/>
                <w:b/>
                <w:bCs/>
                <w:noProof/>
              </w:rPr>
              <w:t>3.</w:t>
            </w:r>
            <w:r>
              <w:rPr>
                <w:rFonts w:eastAsiaTheme="minorEastAsia"/>
                <w:noProof/>
                <w:lang w:eastAsia="en-CA"/>
              </w:rPr>
              <w:tab/>
            </w:r>
            <w:r w:rsidRPr="004377A7">
              <w:rPr>
                <w:rStyle w:val="Hyperlink"/>
                <w:rFonts w:ascii="Garamond" w:hAnsi="Garamond" w:cs="Times New Roman"/>
                <w:b/>
                <w:bCs/>
                <w:noProof/>
              </w:rPr>
              <w:t>Limitations of the paper</w:t>
            </w:r>
            <w:r>
              <w:rPr>
                <w:noProof/>
                <w:webHidden/>
              </w:rPr>
              <w:tab/>
            </w:r>
            <w:r>
              <w:rPr>
                <w:noProof/>
                <w:webHidden/>
              </w:rPr>
              <w:fldChar w:fldCharType="begin"/>
            </w:r>
            <w:r>
              <w:rPr>
                <w:noProof/>
                <w:webHidden/>
              </w:rPr>
              <w:instrText xml:space="preserve"> PAGEREF _Toc230511834 \h </w:instrText>
            </w:r>
            <w:r>
              <w:rPr>
                <w:noProof/>
                <w:webHidden/>
              </w:rPr>
            </w:r>
            <w:r>
              <w:rPr>
                <w:noProof/>
                <w:webHidden/>
              </w:rPr>
              <w:fldChar w:fldCharType="separate"/>
            </w:r>
            <w:r>
              <w:rPr>
                <w:noProof/>
                <w:webHidden/>
              </w:rPr>
              <w:t>8</w:t>
            </w:r>
            <w:r>
              <w:rPr>
                <w:noProof/>
                <w:webHidden/>
              </w:rPr>
              <w:fldChar w:fldCharType="end"/>
            </w:r>
          </w:hyperlink>
        </w:p>
        <w:p w14:paraId="714AD1F1" w14:textId="4CFC00F2" w:rsidR="009B7800" w:rsidRDefault="009B7800">
          <w:pPr>
            <w:pStyle w:val="TOC1"/>
            <w:tabs>
              <w:tab w:val="left" w:pos="480"/>
              <w:tab w:val="right" w:leader="dot" w:pos="8828"/>
            </w:tabs>
            <w:rPr>
              <w:rFonts w:eastAsiaTheme="minorEastAsia"/>
              <w:noProof/>
              <w:lang w:eastAsia="en-CA"/>
            </w:rPr>
          </w:pPr>
          <w:hyperlink w:anchor="_Toc230511835" w:history="1">
            <w:r w:rsidRPr="004377A7">
              <w:rPr>
                <w:rStyle w:val="Hyperlink"/>
                <w:rFonts w:ascii="Garamond" w:hAnsi="Garamond"/>
                <w:b/>
                <w:bCs/>
                <w:noProof/>
              </w:rPr>
              <w:t>4.</w:t>
            </w:r>
            <w:r>
              <w:rPr>
                <w:rFonts w:eastAsiaTheme="minorEastAsia"/>
                <w:noProof/>
                <w:lang w:eastAsia="en-CA"/>
              </w:rPr>
              <w:tab/>
            </w:r>
            <w:r w:rsidRPr="004377A7">
              <w:rPr>
                <w:rStyle w:val="Hyperlink"/>
                <w:rFonts w:ascii="Garamond" w:hAnsi="Garamond"/>
                <w:b/>
                <w:bCs/>
                <w:noProof/>
              </w:rPr>
              <w:t>Literature review</w:t>
            </w:r>
            <w:r>
              <w:rPr>
                <w:noProof/>
                <w:webHidden/>
              </w:rPr>
              <w:tab/>
            </w:r>
            <w:r>
              <w:rPr>
                <w:noProof/>
                <w:webHidden/>
              </w:rPr>
              <w:fldChar w:fldCharType="begin"/>
            </w:r>
            <w:r>
              <w:rPr>
                <w:noProof/>
                <w:webHidden/>
              </w:rPr>
              <w:instrText xml:space="preserve"> PAGEREF _Toc230511835 \h </w:instrText>
            </w:r>
            <w:r>
              <w:rPr>
                <w:noProof/>
                <w:webHidden/>
              </w:rPr>
            </w:r>
            <w:r>
              <w:rPr>
                <w:noProof/>
                <w:webHidden/>
              </w:rPr>
              <w:fldChar w:fldCharType="separate"/>
            </w:r>
            <w:r>
              <w:rPr>
                <w:noProof/>
                <w:webHidden/>
              </w:rPr>
              <w:t>9</w:t>
            </w:r>
            <w:r>
              <w:rPr>
                <w:noProof/>
                <w:webHidden/>
              </w:rPr>
              <w:fldChar w:fldCharType="end"/>
            </w:r>
          </w:hyperlink>
        </w:p>
        <w:p w14:paraId="5E65079B" w14:textId="41FAC001" w:rsidR="009B7800" w:rsidRDefault="009B7800">
          <w:pPr>
            <w:pStyle w:val="TOC2"/>
            <w:tabs>
              <w:tab w:val="left" w:pos="960"/>
              <w:tab w:val="right" w:leader="dot" w:pos="8828"/>
            </w:tabs>
            <w:rPr>
              <w:rFonts w:eastAsiaTheme="minorEastAsia"/>
              <w:noProof/>
              <w:lang w:eastAsia="en-CA"/>
            </w:rPr>
          </w:pPr>
          <w:hyperlink w:anchor="_Toc230511836" w:history="1">
            <w:r w:rsidRPr="004377A7">
              <w:rPr>
                <w:rStyle w:val="Hyperlink"/>
                <w:rFonts w:ascii="Garamond" w:hAnsi="Garamond"/>
                <w:b/>
                <w:bCs/>
                <w:noProof/>
              </w:rPr>
              <w:t>4.1.</w:t>
            </w:r>
            <w:r>
              <w:rPr>
                <w:rFonts w:eastAsiaTheme="minorEastAsia"/>
                <w:noProof/>
                <w:lang w:eastAsia="en-CA"/>
              </w:rPr>
              <w:tab/>
            </w:r>
            <w:r w:rsidRPr="004377A7">
              <w:rPr>
                <w:rStyle w:val="Hyperlink"/>
                <w:b/>
                <w:bCs/>
                <w:noProof/>
              </w:rPr>
              <w:t>Evolution and competing theoretical approaches to (im)mobility</w:t>
            </w:r>
            <w:r>
              <w:rPr>
                <w:noProof/>
                <w:webHidden/>
              </w:rPr>
              <w:tab/>
            </w:r>
            <w:r>
              <w:rPr>
                <w:noProof/>
                <w:webHidden/>
              </w:rPr>
              <w:fldChar w:fldCharType="begin"/>
            </w:r>
            <w:r>
              <w:rPr>
                <w:noProof/>
                <w:webHidden/>
              </w:rPr>
              <w:instrText xml:space="preserve"> PAGEREF _Toc230511836 \h </w:instrText>
            </w:r>
            <w:r>
              <w:rPr>
                <w:noProof/>
                <w:webHidden/>
              </w:rPr>
            </w:r>
            <w:r>
              <w:rPr>
                <w:noProof/>
                <w:webHidden/>
              </w:rPr>
              <w:fldChar w:fldCharType="separate"/>
            </w:r>
            <w:r>
              <w:rPr>
                <w:noProof/>
                <w:webHidden/>
              </w:rPr>
              <w:t>9</w:t>
            </w:r>
            <w:r>
              <w:rPr>
                <w:noProof/>
                <w:webHidden/>
              </w:rPr>
              <w:fldChar w:fldCharType="end"/>
            </w:r>
          </w:hyperlink>
        </w:p>
        <w:p w14:paraId="64E1A54A" w14:textId="0A1260B4" w:rsidR="009B7800" w:rsidRDefault="009B7800">
          <w:pPr>
            <w:pStyle w:val="TOC3"/>
            <w:tabs>
              <w:tab w:val="left" w:pos="1440"/>
              <w:tab w:val="right" w:leader="dot" w:pos="8828"/>
            </w:tabs>
            <w:rPr>
              <w:rFonts w:eastAsiaTheme="minorEastAsia"/>
              <w:noProof/>
              <w:lang w:eastAsia="en-CA"/>
            </w:rPr>
          </w:pPr>
          <w:hyperlink w:anchor="_Toc230511837" w:history="1">
            <w:r w:rsidRPr="004377A7">
              <w:rPr>
                <w:rStyle w:val="Hyperlink"/>
                <w:b/>
                <w:bCs/>
                <w:noProof/>
              </w:rPr>
              <w:t>4.1.1.</w:t>
            </w:r>
            <w:r>
              <w:rPr>
                <w:rFonts w:eastAsiaTheme="minorEastAsia"/>
                <w:noProof/>
                <w:lang w:eastAsia="en-CA"/>
              </w:rPr>
              <w:tab/>
            </w:r>
            <w:r w:rsidRPr="004377A7">
              <w:rPr>
                <w:rStyle w:val="Hyperlink"/>
                <w:b/>
                <w:bCs/>
                <w:noProof/>
              </w:rPr>
              <w:t>New economics of labour migration (NELM)</w:t>
            </w:r>
            <w:r>
              <w:rPr>
                <w:noProof/>
                <w:webHidden/>
              </w:rPr>
              <w:tab/>
            </w:r>
            <w:r>
              <w:rPr>
                <w:noProof/>
                <w:webHidden/>
              </w:rPr>
              <w:fldChar w:fldCharType="begin"/>
            </w:r>
            <w:r>
              <w:rPr>
                <w:noProof/>
                <w:webHidden/>
              </w:rPr>
              <w:instrText xml:space="preserve"> PAGEREF _Toc230511837 \h </w:instrText>
            </w:r>
            <w:r>
              <w:rPr>
                <w:noProof/>
                <w:webHidden/>
              </w:rPr>
            </w:r>
            <w:r>
              <w:rPr>
                <w:noProof/>
                <w:webHidden/>
              </w:rPr>
              <w:fldChar w:fldCharType="separate"/>
            </w:r>
            <w:r>
              <w:rPr>
                <w:noProof/>
                <w:webHidden/>
              </w:rPr>
              <w:t>10</w:t>
            </w:r>
            <w:r>
              <w:rPr>
                <w:noProof/>
                <w:webHidden/>
              </w:rPr>
              <w:fldChar w:fldCharType="end"/>
            </w:r>
          </w:hyperlink>
        </w:p>
        <w:p w14:paraId="3F8EFBDF" w14:textId="77DF9620" w:rsidR="009B7800" w:rsidRDefault="009B7800">
          <w:pPr>
            <w:pStyle w:val="TOC3"/>
            <w:tabs>
              <w:tab w:val="left" w:pos="1440"/>
              <w:tab w:val="right" w:leader="dot" w:pos="8828"/>
            </w:tabs>
            <w:rPr>
              <w:rFonts w:eastAsiaTheme="minorEastAsia"/>
              <w:noProof/>
              <w:lang w:eastAsia="en-CA"/>
            </w:rPr>
          </w:pPr>
          <w:hyperlink w:anchor="_Toc230511838" w:history="1">
            <w:r w:rsidRPr="004377A7">
              <w:rPr>
                <w:rStyle w:val="Hyperlink"/>
                <w:b/>
                <w:bCs/>
                <w:noProof/>
              </w:rPr>
              <w:t>4.1.2.</w:t>
            </w:r>
            <w:r>
              <w:rPr>
                <w:rFonts w:eastAsiaTheme="minorEastAsia"/>
                <w:noProof/>
                <w:lang w:eastAsia="en-CA"/>
              </w:rPr>
              <w:tab/>
            </w:r>
            <w:r w:rsidRPr="004377A7">
              <w:rPr>
                <w:rStyle w:val="Hyperlink"/>
                <w:b/>
                <w:bCs/>
                <w:noProof/>
              </w:rPr>
              <w:t>The aspirations-capability framework</w:t>
            </w:r>
            <w:r>
              <w:rPr>
                <w:noProof/>
                <w:webHidden/>
              </w:rPr>
              <w:tab/>
            </w:r>
            <w:r>
              <w:rPr>
                <w:noProof/>
                <w:webHidden/>
              </w:rPr>
              <w:fldChar w:fldCharType="begin"/>
            </w:r>
            <w:r>
              <w:rPr>
                <w:noProof/>
                <w:webHidden/>
              </w:rPr>
              <w:instrText xml:space="preserve"> PAGEREF _Toc230511838 \h </w:instrText>
            </w:r>
            <w:r>
              <w:rPr>
                <w:noProof/>
                <w:webHidden/>
              </w:rPr>
            </w:r>
            <w:r>
              <w:rPr>
                <w:noProof/>
                <w:webHidden/>
              </w:rPr>
              <w:fldChar w:fldCharType="separate"/>
            </w:r>
            <w:r>
              <w:rPr>
                <w:noProof/>
                <w:webHidden/>
              </w:rPr>
              <w:t>12</w:t>
            </w:r>
            <w:r>
              <w:rPr>
                <w:noProof/>
                <w:webHidden/>
              </w:rPr>
              <w:fldChar w:fldCharType="end"/>
            </w:r>
          </w:hyperlink>
        </w:p>
        <w:p w14:paraId="6B617ABE" w14:textId="2C97B837" w:rsidR="009B7800" w:rsidRDefault="009B7800">
          <w:pPr>
            <w:pStyle w:val="TOC3"/>
            <w:tabs>
              <w:tab w:val="left" w:pos="1440"/>
              <w:tab w:val="right" w:leader="dot" w:pos="8828"/>
            </w:tabs>
            <w:rPr>
              <w:rFonts w:eastAsiaTheme="minorEastAsia"/>
              <w:noProof/>
              <w:lang w:eastAsia="en-CA"/>
            </w:rPr>
          </w:pPr>
          <w:hyperlink w:anchor="_Toc230511839" w:history="1">
            <w:r w:rsidRPr="004377A7">
              <w:rPr>
                <w:rStyle w:val="Hyperlink"/>
                <w:b/>
                <w:bCs/>
                <w:noProof/>
              </w:rPr>
              <w:t>4.1.3.</w:t>
            </w:r>
            <w:r>
              <w:rPr>
                <w:rFonts w:eastAsiaTheme="minorEastAsia"/>
                <w:noProof/>
                <w:lang w:eastAsia="en-CA"/>
              </w:rPr>
              <w:tab/>
            </w:r>
            <w:r w:rsidRPr="004377A7">
              <w:rPr>
                <w:rStyle w:val="Hyperlink"/>
                <w:b/>
                <w:bCs/>
                <w:noProof/>
              </w:rPr>
              <w:t>Mobilities paradigm</w:t>
            </w:r>
            <w:r>
              <w:rPr>
                <w:noProof/>
                <w:webHidden/>
              </w:rPr>
              <w:tab/>
            </w:r>
            <w:r>
              <w:rPr>
                <w:noProof/>
                <w:webHidden/>
              </w:rPr>
              <w:fldChar w:fldCharType="begin"/>
            </w:r>
            <w:r>
              <w:rPr>
                <w:noProof/>
                <w:webHidden/>
              </w:rPr>
              <w:instrText xml:space="preserve"> PAGEREF _Toc230511839 \h </w:instrText>
            </w:r>
            <w:r>
              <w:rPr>
                <w:noProof/>
                <w:webHidden/>
              </w:rPr>
            </w:r>
            <w:r>
              <w:rPr>
                <w:noProof/>
                <w:webHidden/>
              </w:rPr>
              <w:fldChar w:fldCharType="separate"/>
            </w:r>
            <w:r>
              <w:rPr>
                <w:noProof/>
                <w:webHidden/>
              </w:rPr>
              <w:t>14</w:t>
            </w:r>
            <w:r>
              <w:rPr>
                <w:noProof/>
                <w:webHidden/>
              </w:rPr>
              <w:fldChar w:fldCharType="end"/>
            </w:r>
          </w:hyperlink>
        </w:p>
        <w:p w14:paraId="15AEB7F9" w14:textId="6014CA05" w:rsidR="009B7800" w:rsidRDefault="009B7800">
          <w:pPr>
            <w:pStyle w:val="TOC2"/>
            <w:tabs>
              <w:tab w:val="left" w:pos="960"/>
              <w:tab w:val="right" w:leader="dot" w:pos="8828"/>
            </w:tabs>
            <w:rPr>
              <w:rFonts w:eastAsiaTheme="minorEastAsia"/>
              <w:noProof/>
              <w:lang w:eastAsia="en-CA"/>
            </w:rPr>
          </w:pPr>
          <w:hyperlink w:anchor="_Toc230511840" w:history="1">
            <w:r w:rsidRPr="004377A7">
              <w:rPr>
                <w:rStyle w:val="Hyperlink"/>
                <w:rFonts w:ascii="Garamond" w:hAnsi="Garamond"/>
                <w:b/>
                <w:bCs/>
                <w:noProof/>
              </w:rPr>
              <w:t>4.2.</w:t>
            </w:r>
            <w:r>
              <w:rPr>
                <w:rFonts w:eastAsiaTheme="minorEastAsia"/>
                <w:noProof/>
                <w:lang w:eastAsia="en-CA"/>
              </w:rPr>
              <w:tab/>
            </w:r>
            <w:r w:rsidRPr="004377A7">
              <w:rPr>
                <w:rStyle w:val="Hyperlink"/>
                <w:b/>
                <w:bCs/>
                <w:noProof/>
              </w:rPr>
              <w:t>Unidimensional operationalizations of migration capabilities</w:t>
            </w:r>
            <w:r>
              <w:rPr>
                <w:noProof/>
                <w:webHidden/>
              </w:rPr>
              <w:tab/>
            </w:r>
            <w:r>
              <w:rPr>
                <w:noProof/>
                <w:webHidden/>
              </w:rPr>
              <w:fldChar w:fldCharType="begin"/>
            </w:r>
            <w:r>
              <w:rPr>
                <w:noProof/>
                <w:webHidden/>
              </w:rPr>
              <w:instrText xml:space="preserve"> PAGEREF _Toc230511840 \h </w:instrText>
            </w:r>
            <w:r>
              <w:rPr>
                <w:noProof/>
                <w:webHidden/>
              </w:rPr>
            </w:r>
            <w:r>
              <w:rPr>
                <w:noProof/>
                <w:webHidden/>
              </w:rPr>
              <w:fldChar w:fldCharType="separate"/>
            </w:r>
            <w:r>
              <w:rPr>
                <w:noProof/>
                <w:webHidden/>
              </w:rPr>
              <w:t>17</w:t>
            </w:r>
            <w:r>
              <w:rPr>
                <w:noProof/>
                <w:webHidden/>
              </w:rPr>
              <w:fldChar w:fldCharType="end"/>
            </w:r>
          </w:hyperlink>
        </w:p>
        <w:p w14:paraId="6AD48320" w14:textId="78125638" w:rsidR="009B7800" w:rsidRDefault="009B7800">
          <w:pPr>
            <w:pStyle w:val="TOC3"/>
            <w:tabs>
              <w:tab w:val="left" w:pos="1440"/>
              <w:tab w:val="right" w:leader="dot" w:pos="8828"/>
            </w:tabs>
            <w:rPr>
              <w:rFonts w:eastAsiaTheme="minorEastAsia"/>
              <w:noProof/>
              <w:lang w:eastAsia="en-CA"/>
            </w:rPr>
          </w:pPr>
          <w:hyperlink w:anchor="_Toc230511841" w:history="1">
            <w:r w:rsidRPr="004377A7">
              <w:rPr>
                <w:rStyle w:val="Hyperlink"/>
                <w:b/>
                <w:bCs/>
                <w:noProof/>
              </w:rPr>
              <w:t>4.2.1.</w:t>
            </w:r>
            <w:r>
              <w:rPr>
                <w:rFonts w:eastAsiaTheme="minorEastAsia"/>
                <w:noProof/>
                <w:lang w:eastAsia="en-CA"/>
              </w:rPr>
              <w:tab/>
            </w:r>
            <w:r w:rsidRPr="004377A7">
              <w:rPr>
                <w:rStyle w:val="Hyperlink"/>
                <w:b/>
                <w:bCs/>
                <w:noProof/>
              </w:rPr>
              <w:t>Financial dimension</w:t>
            </w:r>
            <w:r>
              <w:rPr>
                <w:noProof/>
                <w:webHidden/>
              </w:rPr>
              <w:tab/>
            </w:r>
            <w:r>
              <w:rPr>
                <w:noProof/>
                <w:webHidden/>
              </w:rPr>
              <w:fldChar w:fldCharType="begin"/>
            </w:r>
            <w:r>
              <w:rPr>
                <w:noProof/>
                <w:webHidden/>
              </w:rPr>
              <w:instrText xml:space="preserve"> PAGEREF _Toc230511841 \h </w:instrText>
            </w:r>
            <w:r>
              <w:rPr>
                <w:noProof/>
                <w:webHidden/>
              </w:rPr>
            </w:r>
            <w:r>
              <w:rPr>
                <w:noProof/>
                <w:webHidden/>
              </w:rPr>
              <w:fldChar w:fldCharType="separate"/>
            </w:r>
            <w:r>
              <w:rPr>
                <w:noProof/>
                <w:webHidden/>
              </w:rPr>
              <w:t>17</w:t>
            </w:r>
            <w:r>
              <w:rPr>
                <w:noProof/>
                <w:webHidden/>
              </w:rPr>
              <w:fldChar w:fldCharType="end"/>
            </w:r>
          </w:hyperlink>
        </w:p>
        <w:p w14:paraId="75B76140" w14:textId="1815CD05" w:rsidR="009B7800" w:rsidRDefault="009B7800">
          <w:pPr>
            <w:pStyle w:val="TOC3"/>
            <w:tabs>
              <w:tab w:val="left" w:pos="1440"/>
              <w:tab w:val="right" w:leader="dot" w:pos="8828"/>
            </w:tabs>
            <w:rPr>
              <w:rFonts w:eastAsiaTheme="minorEastAsia"/>
              <w:noProof/>
              <w:lang w:eastAsia="en-CA"/>
            </w:rPr>
          </w:pPr>
          <w:hyperlink w:anchor="_Toc230511842" w:history="1">
            <w:r w:rsidRPr="004377A7">
              <w:rPr>
                <w:rStyle w:val="Hyperlink"/>
                <w:b/>
                <w:bCs/>
                <w:noProof/>
              </w:rPr>
              <w:t>4.2.2.</w:t>
            </w:r>
            <w:r>
              <w:rPr>
                <w:rFonts w:eastAsiaTheme="minorEastAsia"/>
                <w:noProof/>
                <w:lang w:eastAsia="en-CA"/>
              </w:rPr>
              <w:tab/>
            </w:r>
            <w:r w:rsidRPr="004377A7">
              <w:rPr>
                <w:rStyle w:val="Hyperlink"/>
                <w:b/>
                <w:bCs/>
                <w:noProof/>
              </w:rPr>
              <w:t>Human capital dimension</w:t>
            </w:r>
            <w:r>
              <w:rPr>
                <w:noProof/>
                <w:webHidden/>
              </w:rPr>
              <w:tab/>
            </w:r>
            <w:r>
              <w:rPr>
                <w:noProof/>
                <w:webHidden/>
              </w:rPr>
              <w:fldChar w:fldCharType="begin"/>
            </w:r>
            <w:r>
              <w:rPr>
                <w:noProof/>
                <w:webHidden/>
              </w:rPr>
              <w:instrText xml:space="preserve"> PAGEREF _Toc230511842 \h </w:instrText>
            </w:r>
            <w:r>
              <w:rPr>
                <w:noProof/>
                <w:webHidden/>
              </w:rPr>
            </w:r>
            <w:r>
              <w:rPr>
                <w:noProof/>
                <w:webHidden/>
              </w:rPr>
              <w:fldChar w:fldCharType="separate"/>
            </w:r>
            <w:r>
              <w:rPr>
                <w:noProof/>
                <w:webHidden/>
              </w:rPr>
              <w:t>18</w:t>
            </w:r>
            <w:r>
              <w:rPr>
                <w:noProof/>
                <w:webHidden/>
              </w:rPr>
              <w:fldChar w:fldCharType="end"/>
            </w:r>
          </w:hyperlink>
        </w:p>
        <w:p w14:paraId="171AD38E" w14:textId="6610220D" w:rsidR="009B7800" w:rsidRDefault="009B7800">
          <w:pPr>
            <w:pStyle w:val="TOC3"/>
            <w:tabs>
              <w:tab w:val="left" w:pos="1440"/>
              <w:tab w:val="right" w:leader="dot" w:pos="8828"/>
            </w:tabs>
            <w:rPr>
              <w:rFonts w:eastAsiaTheme="minorEastAsia"/>
              <w:noProof/>
              <w:lang w:eastAsia="en-CA"/>
            </w:rPr>
          </w:pPr>
          <w:hyperlink w:anchor="_Toc230511843" w:history="1">
            <w:r w:rsidRPr="004377A7">
              <w:rPr>
                <w:rStyle w:val="Hyperlink"/>
                <w:b/>
                <w:bCs/>
                <w:noProof/>
              </w:rPr>
              <w:t>4.2.3.</w:t>
            </w:r>
            <w:r>
              <w:rPr>
                <w:rFonts w:eastAsiaTheme="minorEastAsia"/>
                <w:noProof/>
                <w:lang w:eastAsia="en-CA"/>
              </w:rPr>
              <w:tab/>
            </w:r>
            <w:r w:rsidRPr="004377A7">
              <w:rPr>
                <w:rStyle w:val="Hyperlink"/>
                <w:b/>
                <w:bCs/>
                <w:noProof/>
              </w:rPr>
              <w:t>Natural capital dimension</w:t>
            </w:r>
            <w:r>
              <w:rPr>
                <w:noProof/>
                <w:webHidden/>
              </w:rPr>
              <w:tab/>
            </w:r>
            <w:r>
              <w:rPr>
                <w:noProof/>
                <w:webHidden/>
              </w:rPr>
              <w:fldChar w:fldCharType="begin"/>
            </w:r>
            <w:r>
              <w:rPr>
                <w:noProof/>
                <w:webHidden/>
              </w:rPr>
              <w:instrText xml:space="preserve"> PAGEREF _Toc230511843 \h </w:instrText>
            </w:r>
            <w:r>
              <w:rPr>
                <w:noProof/>
                <w:webHidden/>
              </w:rPr>
            </w:r>
            <w:r>
              <w:rPr>
                <w:noProof/>
                <w:webHidden/>
              </w:rPr>
              <w:fldChar w:fldCharType="separate"/>
            </w:r>
            <w:r>
              <w:rPr>
                <w:noProof/>
                <w:webHidden/>
              </w:rPr>
              <w:t>18</w:t>
            </w:r>
            <w:r>
              <w:rPr>
                <w:noProof/>
                <w:webHidden/>
              </w:rPr>
              <w:fldChar w:fldCharType="end"/>
            </w:r>
          </w:hyperlink>
        </w:p>
        <w:p w14:paraId="7B32B970" w14:textId="0BCE7125" w:rsidR="009B7800" w:rsidRDefault="009B7800">
          <w:pPr>
            <w:pStyle w:val="TOC2"/>
            <w:tabs>
              <w:tab w:val="left" w:pos="960"/>
              <w:tab w:val="right" w:leader="dot" w:pos="8828"/>
            </w:tabs>
            <w:rPr>
              <w:rFonts w:eastAsiaTheme="minorEastAsia"/>
              <w:noProof/>
              <w:lang w:eastAsia="en-CA"/>
            </w:rPr>
          </w:pPr>
          <w:hyperlink w:anchor="_Toc230511844" w:history="1">
            <w:r w:rsidRPr="004377A7">
              <w:rPr>
                <w:rStyle w:val="Hyperlink"/>
                <w:rFonts w:ascii="Garamond" w:hAnsi="Garamond"/>
                <w:b/>
                <w:bCs/>
                <w:noProof/>
              </w:rPr>
              <w:t>4.3.</w:t>
            </w:r>
            <w:r>
              <w:rPr>
                <w:rFonts w:eastAsiaTheme="minorEastAsia"/>
                <w:noProof/>
                <w:lang w:eastAsia="en-CA"/>
              </w:rPr>
              <w:tab/>
            </w:r>
            <w:r w:rsidRPr="004377A7">
              <w:rPr>
                <w:rStyle w:val="Hyperlink"/>
                <w:b/>
                <w:bCs/>
                <w:noProof/>
              </w:rPr>
              <w:t>Multidimensional operationalizations of migration capabilities</w:t>
            </w:r>
            <w:r>
              <w:rPr>
                <w:noProof/>
                <w:webHidden/>
              </w:rPr>
              <w:tab/>
            </w:r>
            <w:r>
              <w:rPr>
                <w:noProof/>
                <w:webHidden/>
              </w:rPr>
              <w:fldChar w:fldCharType="begin"/>
            </w:r>
            <w:r>
              <w:rPr>
                <w:noProof/>
                <w:webHidden/>
              </w:rPr>
              <w:instrText xml:space="preserve"> PAGEREF _Toc230511844 \h </w:instrText>
            </w:r>
            <w:r>
              <w:rPr>
                <w:noProof/>
                <w:webHidden/>
              </w:rPr>
            </w:r>
            <w:r>
              <w:rPr>
                <w:noProof/>
                <w:webHidden/>
              </w:rPr>
              <w:fldChar w:fldCharType="separate"/>
            </w:r>
            <w:r>
              <w:rPr>
                <w:noProof/>
                <w:webHidden/>
              </w:rPr>
              <w:t>18</w:t>
            </w:r>
            <w:r>
              <w:rPr>
                <w:noProof/>
                <w:webHidden/>
              </w:rPr>
              <w:fldChar w:fldCharType="end"/>
            </w:r>
          </w:hyperlink>
        </w:p>
        <w:p w14:paraId="6400E922" w14:textId="216060E0" w:rsidR="009B7800" w:rsidRDefault="009B7800">
          <w:pPr>
            <w:pStyle w:val="TOC3"/>
            <w:tabs>
              <w:tab w:val="left" w:pos="1440"/>
              <w:tab w:val="right" w:leader="dot" w:pos="8828"/>
            </w:tabs>
            <w:rPr>
              <w:rFonts w:eastAsiaTheme="minorEastAsia"/>
              <w:noProof/>
              <w:lang w:eastAsia="en-CA"/>
            </w:rPr>
          </w:pPr>
          <w:hyperlink w:anchor="_Toc230511845" w:history="1">
            <w:r w:rsidRPr="004377A7">
              <w:rPr>
                <w:rStyle w:val="Hyperlink"/>
                <w:b/>
                <w:bCs/>
                <w:noProof/>
              </w:rPr>
              <w:t>4.3.1.</w:t>
            </w:r>
            <w:r>
              <w:rPr>
                <w:rFonts w:eastAsiaTheme="minorEastAsia"/>
                <w:noProof/>
                <w:lang w:eastAsia="en-CA"/>
              </w:rPr>
              <w:tab/>
            </w:r>
            <w:r w:rsidRPr="004377A7">
              <w:rPr>
                <w:rStyle w:val="Hyperlink"/>
                <w:b/>
                <w:bCs/>
                <w:noProof/>
              </w:rPr>
              <w:t>Individual level index with psychological and physical factors</w:t>
            </w:r>
            <w:r>
              <w:rPr>
                <w:noProof/>
                <w:webHidden/>
              </w:rPr>
              <w:tab/>
            </w:r>
            <w:r>
              <w:rPr>
                <w:noProof/>
                <w:webHidden/>
              </w:rPr>
              <w:fldChar w:fldCharType="begin"/>
            </w:r>
            <w:r>
              <w:rPr>
                <w:noProof/>
                <w:webHidden/>
              </w:rPr>
              <w:instrText xml:space="preserve"> PAGEREF _Toc230511845 \h </w:instrText>
            </w:r>
            <w:r>
              <w:rPr>
                <w:noProof/>
                <w:webHidden/>
              </w:rPr>
            </w:r>
            <w:r>
              <w:rPr>
                <w:noProof/>
                <w:webHidden/>
              </w:rPr>
              <w:fldChar w:fldCharType="separate"/>
            </w:r>
            <w:r>
              <w:rPr>
                <w:noProof/>
                <w:webHidden/>
              </w:rPr>
              <w:t>18</w:t>
            </w:r>
            <w:r>
              <w:rPr>
                <w:noProof/>
                <w:webHidden/>
              </w:rPr>
              <w:fldChar w:fldCharType="end"/>
            </w:r>
          </w:hyperlink>
        </w:p>
        <w:p w14:paraId="11FCA97A" w14:textId="58262842" w:rsidR="009B7800" w:rsidRDefault="009B7800">
          <w:pPr>
            <w:pStyle w:val="TOC3"/>
            <w:tabs>
              <w:tab w:val="left" w:pos="1440"/>
              <w:tab w:val="right" w:leader="dot" w:pos="8828"/>
            </w:tabs>
            <w:rPr>
              <w:rFonts w:eastAsiaTheme="minorEastAsia"/>
              <w:noProof/>
              <w:lang w:eastAsia="en-CA"/>
            </w:rPr>
          </w:pPr>
          <w:hyperlink w:anchor="_Toc230511846" w:history="1">
            <w:r w:rsidRPr="004377A7">
              <w:rPr>
                <w:rStyle w:val="Hyperlink"/>
                <w:rFonts w:asciiTheme="majorHAnsi" w:hAnsiTheme="majorHAnsi"/>
                <w:b/>
                <w:bCs/>
                <w:noProof/>
              </w:rPr>
              <w:t>4.3.2.</w:t>
            </w:r>
            <w:r>
              <w:rPr>
                <w:rFonts w:eastAsiaTheme="minorEastAsia"/>
                <w:noProof/>
                <w:lang w:eastAsia="en-CA"/>
              </w:rPr>
              <w:tab/>
            </w:r>
            <w:r w:rsidRPr="004377A7">
              <w:rPr>
                <w:rStyle w:val="Hyperlink"/>
                <w:rFonts w:asciiTheme="majorHAnsi" w:hAnsiTheme="majorHAnsi"/>
                <w:b/>
                <w:bCs/>
                <w:noProof/>
              </w:rPr>
              <w:t>Individual level index with inter-temporal focus</w:t>
            </w:r>
            <w:r>
              <w:rPr>
                <w:noProof/>
                <w:webHidden/>
              </w:rPr>
              <w:tab/>
            </w:r>
            <w:r>
              <w:rPr>
                <w:noProof/>
                <w:webHidden/>
              </w:rPr>
              <w:fldChar w:fldCharType="begin"/>
            </w:r>
            <w:r>
              <w:rPr>
                <w:noProof/>
                <w:webHidden/>
              </w:rPr>
              <w:instrText xml:space="preserve"> PAGEREF _Toc230511846 \h </w:instrText>
            </w:r>
            <w:r>
              <w:rPr>
                <w:noProof/>
                <w:webHidden/>
              </w:rPr>
            </w:r>
            <w:r>
              <w:rPr>
                <w:noProof/>
                <w:webHidden/>
              </w:rPr>
              <w:fldChar w:fldCharType="separate"/>
            </w:r>
            <w:r>
              <w:rPr>
                <w:noProof/>
                <w:webHidden/>
              </w:rPr>
              <w:t>18</w:t>
            </w:r>
            <w:r>
              <w:rPr>
                <w:noProof/>
                <w:webHidden/>
              </w:rPr>
              <w:fldChar w:fldCharType="end"/>
            </w:r>
          </w:hyperlink>
        </w:p>
        <w:p w14:paraId="24FE64EB" w14:textId="0D75A388" w:rsidR="009B7800" w:rsidRDefault="009B7800">
          <w:pPr>
            <w:pStyle w:val="TOC3"/>
            <w:tabs>
              <w:tab w:val="left" w:pos="1440"/>
              <w:tab w:val="right" w:leader="dot" w:pos="8828"/>
            </w:tabs>
            <w:rPr>
              <w:rFonts w:eastAsiaTheme="minorEastAsia"/>
              <w:noProof/>
              <w:lang w:eastAsia="en-CA"/>
            </w:rPr>
          </w:pPr>
          <w:hyperlink w:anchor="_Toc230511847" w:history="1">
            <w:r w:rsidRPr="004377A7">
              <w:rPr>
                <w:rStyle w:val="Hyperlink"/>
                <w:b/>
                <w:bCs/>
                <w:noProof/>
              </w:rPr>
              <w:t>4.3.3.</w:t>
            </w:r>
            <w:r>
              <w:rPr>
                <w:rFonts w:eastAsiaTheme="minorEastAsia"/>
                <w:noProof/>
                <w:lang w:eastAsia="en-CA"/>
              </w:rPr>
              <w:tab/>
            </w:r>
            <w:r w:rsidRPr="004377A7">
              <w:rPr>
                <w:rStyle w:val="Hyperlink"/>
                <w:b/>
                <w:bCs/>
                <w:noProof/>
              </w:rPr>
              <w:t>Country level index with weighting scenarios</w:t>
            </w:r>
            <w:r>
              <w:rPr>
                <w:noProof/>
                <w:webHidden/>
              </w:rPr>
              <w:tab/>
            </w:r>
            <w:r>
              <w:rPr>
                <w:noProof/>
                <w:webHidden/>
              </w:rPr>
              <w:fldChar w:fldCharType="begin"/>
            </w:r>
            <w:r>
              <w:rPr>
                <w:noProof/>
                <w:webHidden/>
              </w:rPr>
              <w:instrText xml:space="preserve"> PAGEREF _Toc230511847 \h </w:instrText>
            </w:r>
            <w:r>
              <w:rPr>
                <w:noProof/>
                <w:webHidden/>
              </w:rPr>
            </w:r>
            <w:r>
              <w:rPr>
                <w:noProof/>
                <w:webHidden/>
              </w:rPr>
              <w:fldChar w:fldCharType="separate"/>
            </w:r>
            <w:r>
              <w:rPr>
                <w:noProof/>
                <w:webHidden/>
              </w:rPr>
              <w:t>18</w:t>
            </w:r>
            <w:r>
              <w:rPr>
                <w:noProof/>
                <w:webHidden/>
              </w:rPr>
              <w:fldChar w:fldCharType="end"/>
            </w:r>
          </w:hyperlink>
        </w:p>
        <w:p w14:paraId="4E725CAB" w14:textId="65C53B72" w:rsidR="009B7800" w:rsidRDefault="009B7800">
          <w:pPr>
            <w:pStyle w:val="TOC2"/>
            <w:tabs>
              <w:tab w:val="left" w:pos="960"/>
              <w:tab w:val="right" w:leader="dot" w:pos="8828"/>
            </w:tabs>
            <w:rPr>
              <w:rFonts w:eastAsiaTheme="minorEastAsia"/>
              <w:noProof/>
              <w:lang w:eastAsia="en-CA"/>
            </w:rPr>
          </w:pPr>
          <w:hyperlink w:anchor="_Toc230511848" w:history="1">
            <w:r w:rsidRPr="004377A7">
              <w:rPr>
                <w:rStyle w:val="Hyperlink"/>
                <w:rFonts w:ascii="Garamond" w:hAnsi="Garamond"/>
                <w:b/>
                <w:bCs/>
                <w:noProof/>
              </w:rPr>
              <w:t>4.4.</w:t>
            </w:r>
            <w:r>
              <w:rPr>
                <w:rFonts w:eastAsiaTheme="minorEastAsia"/>
                <w:noProof/>
                <w:lang w:eastAsia="en-CA"/>
              </w:rPr>
              <w:tab/>
            </w:r>
            <w:r w:rsidRPr="004377A7">
              <w:rPr>
                <w:rStyle w:val="Hyperlink"/>
                <w:b/>
                <w:bCs/>
                <w:noProof/>
              </w:rPr>
              <w:t>Spatial and temporal dimensions of migration capabilities</w:t>
            </w:r>
            <w:r>
              <w:rPr>
                <w:noProof/>
                <w:webHidden/>
              </w:rPr>
              <w:tab/>
            </w:r>
            <w:r>
              <w:rPr>
                <w:noProof/>
                <w:webHidden/>
              </w:rPr>
              <w:fldChar w:fldCharType="begin"/>
            </w:r>
            <w:r>
              <w:rPr>
                <w:noProof/>
                <w:webHidden/>
              </w:rPr>
              <w:instrText xml:space="preserve"> PAGEREF _Toc230511848 \h </w:instrText>
            </w:r>
            <w:r>
              <w:rPr>
                <w:noProof/>
                <w:webHidden/>
              </w:rPr>
            </w:r>
            <w:r>
              <w:rPr>
                <w:noProof/>
                <w:webHidden/>
              </w:rPr>
              <w:fldChar w:fldCharType="separate"/>
            </w:r>
            <w:r>
              <w:rPr>
                <w:noProof/>
                <w:webHidden/>
              </w:rPr>
              <w:t>19</w:t>
            </w:r>
            <w:r>
              <w:rPr>
                <w:noProof/>
                <w:webHidden/>
              </w:rPr>
              <w:fldChar w:fldCharType="end"/>
            </w:r>
          </w:hyperlink>
        </w:p>
        <w:p w14:paraId="1459E909" w14:textId="72D19324" w:rsidR="009B7800" w:rsidRDefault="009B7800">
          <w:pPr>
            <w:pStyle w:val="TOC3"/>
            <w:tabs>
              <w:tab w:val="left" w:pos="1440"/>
              <w:tab w:val="right" w:leader="dot" w:pos="8828"/>
            </w:tabs>
            <w:rPr>
              <w:rFonts w:eastAsiaTheme="minorEastAsia"/>
              <w:noProof/>
              <w:lang w:eastAsia="en-CA"/>
            </w:rPr>
          </w:pPr>
          <w:hyperlink w:anchor="_Toc230511849" w:history="1">
            <w:r w:rsidRPr="004377A7">
              <w:rPr>
                <w:rStyle w:val="Hyperlink"/>
                <w:b/>
                <w:bCs/>
                <w:noProof/>
              </w:rPr>
              <w:t>4.4.1.</w:t>
            </w:r>
            <w:r>
              <w:rPr>
                <w:rFonts w:eastAsiaTheme="minorEastAsia"/>
                <w:noProof/>
                <w:lang w:eastAsia="en-CA"/>
              </w:rPr>
              <w:tab/>
            </w:r>
            <w:r w:rsidRPr="004377A7">
              <w:rPr>
                <w:rStyle w:val="Hyperlink"/>
                <w:b/>
                <w:bCs/>
                <w:noProof/>
              </w:rPr>
              <w:t>Coping strategies thresholds perspective</w:t>
            </w:r>
            <w:r>
              <w:rPr>
                <w:noProof/>
                <w:webHidden/>
              </w:rPr>
              <w:tab/>
            </w:r>
            <w:r>
              <w:rPr>
                <w:noProof/>
                <w:webHidden/>
              </w:rPr>
              <w:fldChar w:fldCharType="begin"/>
            </w:r>
            <w:r>
              <w:rPr>
                <w:noProof/>
                <w:webHidden/>
              </w:rPr>
              <w:instrText xml:space="preserve"> PAGEREF _Toc230511849 \h </w:instrText>
            </w:r>
            <w:r>
              <w:rPr>
                <w:noProof/>
                <w:webHidden/>
              </w:rPr>
            </w:r>
            <w:r>
              <w:rPr>
                <w:noProof/>
                <w:webHidden/>
              </w:rPr>
              <w:fldChar w:fldCharType="separate"/>
            </w:r>
            <w:r>
              <w:rPr>
                <w:noProof/>
                <w:webHidden/>
              </w:rPr>
              <w:t>19</w:t>
            </w:r>
            <w:r>
              <w:rPr>
                <w:noProof/>
                <w:webHidden/>
              </w:rPr>
              <w:fldChar w:fldCharType="end"/>
            </w:r>
          </w:hyperlink>
        </w:p>
        <w:p w14:paraId="584DBABC" w14:textId="36B5907A" w:rsidR="009B7800" w:rsidRDefault="009B7800">
          <w:pPr>
            <w:pStyle w:val="TOC3"/>
            <w:tabs>
              <w:tab w:val="left" w:pos="1440"/>
              <w:tab w:val="right" w:leader="dot" w:pos="8828"/>
            </w:tabs>
            <w:rPr>
              <w:rFonts w:eastAsiaTheme="minorEastAsia"/>
              <w:noProof/>
              <w:lang w:eastAsia="en-CA"/>
            </w:rPr>
          </w:pPr>
          <w:hyperlink w:anchor="_Toc230511850" w:history="1">
            <w:r w:rsidRPr="004377A7">
              <w:rPr>
                <w:rStyle w:val="Hyperlink"/>
                <w:b/>
                <w:bCs/>
                <w:noProof/>
              </w:rPr>
              <w:t>4.4.2.</w:t>
            </w:r>
            <w:r>
              <w:rPr>
                <w:rFonts w:eastAsiaTheme="minorEastAsia"/>
                <w:noProof/>
                <w:lang w:eastAsia="en-CA"/>
              </w:rPr>
              <w:tab/>
            </w:r>
            <w:r w:rsidRPr="004377A7">
              <w:rPr>
                <w:rStyle w:val="Hyperlink"/>
                <w:b/>
                <w:bCs/>
                <w:noProof/>
              </w:rPr>
              <w:t>Continuum approach to (im)mobilities</w:t>
            </w:r>
            <w:r>
              <w:rPr>
                <w:noProof/>
                <w:webHidden/>
              </w:rPr>
              <w:tab/>
            </w:r>
            <w:r>
              <w:rPr>
                <w:noProof/>
                <w:webHidden/>
              </w:rPr>
              <w:fldChar w:fldCharType="begin"/>
            </w:r>
            <w:r>
              <w:rPr>
                <w:noProof/>
                <w:webHidden/>
              </w:rPr>
              <w:instrText xml:space="preserve"> PAGEREF _Toc230511850 \h </w:instrText>
            </w:r>
            <w:r>
              <w:rPr>
                <w:noProof/>
                <w:webHidden/>
              </w:rPr>
            </w:r>
            <w:r>
              <w:rPr>
                <w:noProof/>
                <w:webHidden/>
              </w:rPr>
              <w:fldChar w:fldCharType="separate"/>
            </w:r>
            <w:r>
              <w:rPr>
                <w:noProof/>
                <w:webHidden/>
              </w:rPr>
              <w:t>19</w:t>
            </w:r>
            <w:r>
              <w:rPr>
                <w:noProof/>
                <w:webHidden/>
              </w:rPr>
              <w:fldChar w:fldCharType="end"/>
            </w:r>
          </w:hyperlink>
        </w:p>
        <w:p w14:paraId="3901AE8A" w14:textId="01E53C3F" w:rsidR="009B7800" w:rsidRDefault="009B7800">
          <w:pPr>
            <w:pStyle w:val="TOC1"/>
            <w:tabs>
              <w:tab w:val="left" w:pos="480"/>
              <w:tab w:val="right" w:leader="dot" w:pos="8828"/>
            </w:tabs>
            <w:rPr>
              <w:rFonts w:eastAsiaTheme="minorEastAsia"/>
              <w:noProof/>
              <w:lang w:eastAsia="en-CA"/>
            </w:rPr>
          </w:pPr>
          <w:hyperlink w:anchor="_Toc230511851" w:history="1">
            <w:r w:rsidRPr="004377A7">
              <w:rPr>
                <w:rStyle w:val="Hyperlink"/>
                <w:rFonts w:ascii="Garamond" w:hAnsi="Garamond" w:cs="Times New Roman"/>
                <w:b/>
                <w:bCs/>
                <w:noProof/>
              </w:rPr>
              <w:t>5.</w:t>
            </w:r>
            <w:r>
              <w:rPr>
                <w:rFonts w:eastAsiaTheme="minorEastAsia"/>
                <w:noProof/>
                <w:lang w:eastAsia="en-CA"/>
              </w:rPr>
              <w:tab/>
            </w:r>
            <w:r w:rsidRPr="004377A7">
              <w:rPr>
                <w:rStyle w:val="Hyperlink"/>
                <w:rFonts w:ascii="Garamond" w:hAnsi="Garamond" w:cs="Times New Roman"/>
                <w:b/>
                <w:bCs/>
                <w:noProof/>
              </w:rPr>
              <w:t>Illustrations with the Mexico Family Life Survey Data</w:t>
            </w:r>
            <w:r>
              <w:rPr>
                <w:noProof/>
                <w:webHidden/>
              </w:rPr>
              <w:tab/>
            </w:r>
            <w:r>
              <w:rPr>
                <w:noProof/>
                <w:webHidden/>
              </w:rPr>
              <w:fldChar w:fldCharType="begin"/>
            </w:r>
            <w:r>
              <w:rPr>
                <w:noProof/>
                <w:webHidden/>
              </w:rPr>
              <w:instrText xml:space="preserve"> PAGEREF _Toc230511851 \h </w:instrText>
            </w:r>
            <w:r>
              <w:rPr>
                <w:noProof/>
                <w:webHidden/>
              </w:rPr>
            </w:r>
            <w:r>
              <w:rPr>
                <w:noProof/>
                <w:webHidden/>
              </w:rPr>
              <w:fldChar w:fldCharType="separate"/>
            </w:r>
            <w:r>
              <w:rPr>
                <w:noProof/>
                <w:webHidden/>
              </w:rPr>
              <w:t>19</w:t>
            </w:r>
            <w:r>
              <w:rPr>
                <w:noProof/>
                <w:webHidden/>
              </w:rPr>
              <w:fldChar w:fldCharType="end"/>
            </w:r>
          </w:hyperlink>
        </w:p>
        <w:p w14:paraId="1091C1B9" w14:textId="39A37303" w:rsidR="009B7800" w:rsidRDefault="009B7800">
          <w:pPr>
            <w:pStyle w:val="TOC1"/>
            <w:tabs>
              <w:tab w:val="left" w:pos="480"/>
              <w:tab w:val="right" w:leader="dot" w:pos="8828"/>
            </w:tabs>
            <w:rPr>
              <w:rFonts w:eastAsiaTheme="minorEastAsia"/>
              <w:noProof/>
              <w:lang w:eastAsia="en-CA"/>
            </w:rPr>
          </w:pPr>
          <w:hyperlink w:anchor="_Toc230511852" w:history="1">
            <w:r w:rsidRPr="004377A7">
              <w:rPr>
                <w:rStyle w:val="Hyperlink"/>
                <w:rFonts w:ascii="Garamond" w:hAnsi="Garamond" w:cs="Times New Roman"/>
                <w:b/>
                <w:bCs/>
                <w:noProof/>
              </w:rPr>
              <w:t>6.</w:t>
            </w:r>
            <w:r>
              <w:rPr>
                <w:rFonts w:eastAsiaTheme="minorEastAsia"/>
                <w:noProof/>
                <w:lang w:eastAsia="en-CA"/>
              </w:rPr>
              <w:tab/>
            </w:r>
            <w:r w:rsidRPr="004377A7">
              <w:rPr>
                <w:rStyle w:val="Hyperlink"/>
                <w:rFonts w:ascii="Garamond" w:hAnsi="Garamond" w:cs="Times New Roman"/>
                <w:b/>
                <w:bCs/>
                <w:noProof/>
              </w:rPr>
              <w:t>Conclusions and preliminary policy implications</w:t>
            </w:r>
            <w:r>
              <w:rPr>
                <w:noProof/>
                <w:webHidden/>
              </w:rPr>
              <w:tab/>
            </w:r>
            <w:r>
              <w:rPr>
                <w:noProof/>
                <w:webHidden/>
              </w:rPr>
              <w:fldChar w:fldCharType="begin"/>
            </w:r>
            <w:r>
              <w:rPr>
                <w:noProof/>
                <w:webHidden/>
              </w:rPr>
              <w:instrText xml:space="preserve"> PAGEREF _Toc230511852 \h </w:instrText>
            </w:r>
            <w:r>
              <w:rPr>
                <w:noProof/>
                <w:webHidden/>
              </w:rPr>
            </w:r>
            <w:r>
              <w:rPr>
                <w:noProof/>
                <w:webHidden/>
              </w:rPr>
              <w:fldChar w:fldCharType="separate"/>
            </w:r>
            <w:r>
              <w:rPr>
                <w:noProof/>
                <w:webHidden/>
              </w:rPr>
              <w:t>19</w:t>
            </w:r>
            <w:r>
              <w:rPr>
                <w:noProof/>
                <w:webHidden/>
              </w:rPr>
              <w:fldChar w:fldCharType="end"/>
            </w:r>
          </w:hyperlink>
        </w:p>
        <w:p w14:paraId="1DE05E9C" w14:textId="42C184AA" w:rsidR="002D1204" w:rsidRPr="002D1204" w:rsidRDefault="003D07A1" w:rsidP="002D1204">
          <w:pPr>
            <w:spacing w:line="276" w:lineRule="auto"/>
            <w:rPr>
              <w:rFonts w:ascii="Garamond" w:hAnsi="Garamond" w:cs="Times New Roman"/>
            </w:rPr>
          </w:pPr>
          <w:r w:rsidRPr="00163C1E">
            <w:rPr>
              <w:rFonts w:ascii="Garamond" w:hAnsi="Garamond" w:cs="Times New Roman"/>
              <w:b/>
              <w:bCs/>
              <w:noProof/>
            </w:rPr>
            <w:fldChar w:fldCharType="end"/>
          </w:r>
        </w:p>
      </w:sdtContent>
    </w:sdt>
    <w:p w14:paraId="12941CCB" w14:textId="77777777" w:rsidR="00A70E83" w:rsidRDefault="00A70E83" w:rsidP="00D539EF">
      <w:pPr>
        <w:pStyle w:val="Heading1"/>
        <w:spacing w:line="360" w:lineRule="auto"/>
        <w:rPr>
          <w:rFonts w:ascii="Garamond" w:hAnsi="Garamond" w:cs="Times New Roman"/>
          <w:b/>
          <w:bCs/>
          <w:color w:val="000000" w:themeColor="text1"/>
          <w:sz w:val="24"/>
          <w:szCs w:val="24"/>
        </w:rPr>
      </w:pPr>
    </w:p>
    <w:p w14:paraId="31D42C73" w14:textId="77777777" w:rsidR="00A70E83" w:rsidRDefault="00A70E83" w:rsidP="00D539EF">
      <w:pPr>
        <w:pStyle w:val="Heading1"/>
        <w:spacing w:line="360" w:lineRule="auto"/>
        <w:rPr>
          <w:rFonts w:ascii="Garamond" w:hAnsi="Garamond" w:cs="Times New Roman"/>
          <w:b/>
          <w:bCs/>
          <w:color w:val="000000" w:themeColor="text1"/>
          <w:sz w:val="24"/>
          <w:szCs w:val="24"/>
        </w:rPr>
      </w:pPr>
    </w:p>
    <w:p w14:paraId="0539E0F4" w14:textId="77777777" w:rsidR="00A70E83" w:rsidRDefault="00A70E83" w:rsidP="00A70E83"/>
    <w:p w14:paraId="45D1FCF9" w14:textId="77777777" w:rsidR="00CF3DEF" w:rsidRDefault="00CF3DEF" w:rsidP="00A70E83"/>
    <w:p w14:paraId="057665B9" w14:textId="77777777" w:rsidR="004C459C" w:rsidRDefault="004C459C" w:rsidP="00A70E83"/>
    <w:p w14:paraId="07338AF0" w14:textId="77777777" w:rsidR="004C459C" w:rsidRDefault="004C459C" w:rsidP="00A70E83"/>
    <w:p w14:paraId="60DF169E" w14:textId="77777777" w:rsidR="004C459C" w:rsidRPr="00A70E83" w:rsidRDefault="004C459C" w:rsidP="00A70E83"/>
    <w:p w14:paraId="1C9A3A9F" w14:textId="57214155" w:rsidR="003D07A1" w:rsidRPr="00163C1E" w:rsidRDefault="003D07A1" w:rsidP="00D539EF">
      <w:pPr>
        <w:pStyle w:val="Heading1"/>
        <w:spacing w:line="360" w:lineRule="auto"/>
        <w:rPr>
          <w:rFonts w:ascii="Garamond" w:hAnsi="Garamond" w:cs="Times New Roman"/>
          <w:b/>
          <w:bCs/>
          <w:color w:val="000000" w:themeColor="text1"/>
          <w:sz w:val="24"/>
          <w:szCs w:val="24"/>
        </w:rPr>
      </w:pPr>
      <w:bookmarkStart w:id="0" w:name="_Toc230511831"/>
      <w:r w:rsidRPr="00163C1E">
        <w:rPr>
          <w:rFonts w:ascii="Garamond" w:hAnsi="Garamond" w:cs="Times New Roman"/>
          <w:b/>
          <w:bCs/>
          <w:color w:val="000000" w:themeColor="text1"/>
          <w:sz w:val="24"/>
          <w:szCs w:val="24"/>
        </w:rPr>
        <w:t>Abstract</w:t>
      </w:r>
      <w:bookmarkEnd w:id="0"/>
    </w:p>
    <w:p w14:paraId="5692EF07" w14:textId="77777777" w:rsidR="003D07A1" w:rsidRPr="00163C1E" w:rsidRDefault="003D07A1" w:rsidP="00D539EF">
      <w:pPr>
        <w:spacing w:line="360" w:lineRule="auto"/>
        <w:rPr>
          <w:rFonts w:ascii="Garamond" w:hAnsi="Garamond" w:cs="Times New Roman"/>
          <w:b/>
          <w:bCs/>
        </w:rPr>
      </w:pPr>
    </w:p>
    <w:p w14:paraId="4847264B" w14:textId="77777777" w:rsidR="003D07A1" w:rsidRPr="00163C1E" w:rsidRDefault="003D07A1" w:rsidP="00D539EF">
      <w:pPr>
        <w:spacing w:line="360" w:lineRule="auto"/>
        <w:rPr>
          <w:rFonts w:ascii="Garamond" w:hAnsi="Garamond" w:cs="Times New Roman"/>
          <w:b/>
          <w:bCs/>
        </w:rPr>
      </w:pPr>
    </w:p>
    <w:p w14:paraId="27EBA5BE" w14:textId="77777777" w:rsidR="003D07A1" w:rsidRPr="00163C1E" w:rsidRDefault="003D07A1" w:rsidP="00D539EF">
      <w:pPr>
        <w:spacing w:line="360" w:lineRule="auto"/>
        <w:rPr>
          <w:rFonts w:ascii="Garamond" w:hAnsi="Garamond" w:cs="Times New Roman"/>
          <w:b/>
          <w:bCs/>
        </w:rPr>
      </w:pPr>
    </w:p>
    <w:p w14:paraId="04C562E5" w14:textId="77777777" w:rsidR="003D07A1" w:rsidRPr="00163C1E" w:rsidRDefault="003D07A1" w:rsidP="00D539EF">
      <w:pPr>
        <w:spacing w:line="360" w:lineRule="auto"/>
        <w:rPr>
          <w:rFonts w:ascii="Garamond" w:hAnsi="Garamond" w:cs="Times New Roman"/>
          <w:b/>
          <w:bCs/>
        </w:rPr>
      </w:pPr>
    </w:p>
    <w:p w14:paraId="0D408B1F" w14:textId="77777777" w:rsidR="003D07A1" w:rsidRPr="00163C1E" w:rsidRDefault="003D07A1" w:rsidP="00D539EF">
      <w:pPr>
        <w:spacing w:line="360" w:lineRule="auto"/>
        <w:rPr>
          <w:rFonts w:ascii="Garamond" w:hAnsi="Garamond" w:cs="Times New Roman"/>
          <w:b/>
          <w:bCs/>
        </w:rPr>
      </w:pPr>
    </w:p>
    <w:p w14:paraId="4978A0D0" w14:textId="77777777" w:rsidR="003D07A1" w:rsidRPr="00163C1E" w:rsidRDefault="003D07A1" w:rsidP="00D539EF">
      <w:pPr>
        <w:spacing w:line="360" w:lineRule="auto"/>
        <w:rPr>
          <w:rFonts w:ascii="Garamond" w:hAnsi="Garamond" w:cs="Times New Roman"/>
          <w:b/>
          <w:bCs/>
        </w:rPr>
      </w:pPr>
    </w:p>
    <w:p w14:paraId="398041B2" w14:textId="0B18942C" w:rsidR="003D07A1" w:rsidRPr="00163C1E" w:rsidRDefault="00CA5DD0" w:rsidP="00D539EF">
      <w:pPr>
        <w:spacing w:line="360" w:lineRule="auto"/>
        <w:rPr>
          <w:rFonts w:ascii="Garamond" w:hAnsi="Garamond" w:cs="Times New Roman"/>
          <w:b/>
          <w:bCs/>
        </w:rPr>
      </w:pPr>
      <w:r>
        <w:rPr>
          <w:rFonts w:ascii="Garamond" w:hAnsi="Garamond" w:cs="Times New Roman"/>
          <w:b/>
          <w:bCs/>
        </w:rPr>
        <w:br w:type="page"/>
      </w:r>
    </w:p>
    <w:p w14:paraId="297A1D9D" w14:textId="5C5B1710" w:rsidR="00C42E32" w:rsidRPr="00163C1E" w:rsidRDefault="003D07A1" w:rsidP="00D539EF">
      <w:pPr>
        <w:pStyle w:val="Heading1"/>
        <w:numPr>
          <w:ilvl w:val="0"/>
          <w:numId w:val="4"/>
        </w:numPr>
        <w:spacing w:line="360" w:lineRule="auto"/>
        <w:rPr>
          <w:rFonts w:ascii="Garamond" w:hAnsi="Garamond" w:cs="Times New Roman"/>
          <w:b/>
          <w:bCs/>
          <w:color w:val="000000" w:themeColor="text1"/>
          <w:sz w:val="24"/>
          <w:szCs w:val="24"/>
        </w:rPr>
      </w:pPr>
      <w:bookmarkStart w:id="1" w:name="_Toc230511832"/>
      <w:r w:rsidRPr="00163C1E">
        <w:rPr>
          <w:rFonts w:ascii="Garamond" w:hAnsi="Garamond" w:cs="Times New Roman"/>
          <w:b/>
          <w:bCs/>
          <w:color w:val="000000" w:themeColor="text1"/>
          <w:sz w:val="24"/>
          <w:szCs w:val="24"/>
        </w:rPr>
        <w:lastRenderedPageBreak/>
        <w:t>Introduction</w:t>
      </w:r>
      <w:bookmarkEnd w:id="1"/>
    </w:p>
    <w:p w14:paraId="5CF5F99C" w14:textId="46B6D406" w:rsidR="00B67AE3" w:rsidRPr="00163C1E" w:rsidRDefault="00CB6275" w:rsidP="00D539EF">
      <w:pPr>
        <w:spacing w:line="360" w:lineRule="auto"/>
        <w:jc w:val="both"/>
        <w:rPr>
          <w:rFonts w:ascii="Garamond" w:hAnsi="Garamond" w:cs="Times New Roman"/>
        </w:rPr>
      </w:pPr>
      <w:r w:rsidRPr="00163C1E">
        <w:rPr>
          <w:rFonts w:ascii="Garamond" w:hAnsi="Garamond" w:cs="Times New Roman"/>
        </w:rPr>
        <w:t xml:space="preserve">In migration studies, climate change gained </w:t>
      </w:r>
      <w:r w:rsidR="000C0648" w:rsidRPr="00163C1E">
        <w:rPr>
          <w:rFonts w:ascii="Garamond" w:hAnsi="Garamond" w:cs="Times New Roman"/>
        </w:rPr>
        <w:t>relevance</w:t>
      </w:r>
      <w:r w:rsidRPr="00163C1E">
        <w:rPr>
          <w:rFonts w:ascii="Garamond" w:hAnsi="Garamond" w:cs="Times New Roman"/>
        </w:rPr>
        <w:t xml:space="preserve"> </w:t>
      </w:r>
      <w:r w:rsidR="000C0648" w:rsidRPr="00163C1E">
        <w:rPr>
          <w:rFonts w:ascii="Garamond" w:hAnsi="Garamond" w:cs="Times New Roman"/>
        </w:rPr>
        <w:t xml:space="preserve">in the </w:t>
      </w:r>
      <w:r w:rsidRPr="00163C1E">
        <w:rPr>
          <w:rFonts w:ascii="Garamond" w:hAnsi="Garamond" w:cs="Times New Roman"/>
        </w:rPr>
        <w:t xml:space="preserve">1990s </w:t>
      </w:r>
      <w:r w:rsidR="000C0648" w:rsidRPr="00163C1E">
        <w:rPr>
          <w:rFonts w:ascii="Garamond" w:hAnsi="Garamond" w:cs="Times New Roman"/>
        </w:rPr>
        <w:t>after</w:t>
      </w:r>
      <w:r w:rsidRPr="00163C1E">
        <w:rPr>
          <w:rFonts w:ascii="Garamond" w:hAnsi="Garamond" w:cs="Times New Roman"/>
        </w:rPr>
        <w:t xml:space="preserve"> an IPCC report suggest</w:t>
      </w:r>
      <w:r w:rsidR="000C0648" w:rsidRPr="00163C1E">
        <w:rPr>
          <w:rFonts w:ascii="Garamond" w:hAnsi="Garamond" w:cs="Times New Roman"/>
        </w:rPr>
        <w:t>ed</w:t>
      </w:r>
      <w:r w:rsidRPr="00163C1E">
        <w:rPr>
          <w:rFonts w:ascii="Garamond" w:hAnsi="Garamond" w:cs="Times New Roman"/>
        </w:rPr>
        <w:t xml:space="preserve"> that one of the most significant consequences of the phenomenon could be its impact on human m</w:t>
      </w:r>
      <w:r w:rsidR="006B66D9" w:rsidRPr="00163C1E">
        <w:rPr>
          <w:rFonts w:ascii="Garamond" w:hAnsi="Garamond" w:cs="Times New Roman"/>
        </w:rPr>
        <w:t>obility</w:t>
      </w:r>
      <w:r w:rsidR="005F5102" w:rsidRPr="00163C1E">
        <w:rPr>
          <w:rFonts w:ascii="Garamond" w:hAnsi="Garamond" w:cs="Times New Roman"/>
        </w:rPr>
        <w:t xml:space="preserve"> </w:t>
      </w:r>
      <w:r w:rsidR="005F5102" w:rsidRPr="00163C1E">
        <w:rPr>
          <w:rFonts w:ascii="Garamond" w:hAnsi="Garamond" w:cs="Times New Roman"/>
        </w:rPr>
        <w:fldChar w:fldCharType="begin"/>
      </w:r>
      <w:r w:rsidR="005F5102" w:rsidRPr="00163C1E">
        <w:rPr>
          <w:rFonts w:ascii="Garamond" w:hAnsi="Garamond" w:cs="Times New Roman"/>
        </w:rPr>
        <w:instrText xml:space="preserve"> ADDIN ZOTERO_ITEM CSL_CITATION {"citationID":"zbWLoJWJ","properties":{"unsorted":false,"formattedCitation":"(International Organization for Migration, 2008)","plainCitation":"(International Organization for Migration, 2008)","noteIndex":0},"citationItems":[{"id":1771,"uris":["http://zotero.org/users/18422904/items/SU25FG3H"],"itemData":{"id":1771,"type":"report","collection-number":"Series No. 31","collection-title":"IOM Migration Research","publisher":"International Organization for Migration","title":"Migration and climate change","author":[{"family":"International Organization for Migration","given":""}],"issued":{"date-parts":[["2008"]]}}}],"schema":"https://github.com/citation-style-language/schema/raw/master/csl-citation.json"} </w:instrText>
      </w:r>
      <w:r w:rsidR="005F5102" w:rsidRPr="00163C1E">
        <w:rPr>
          <w:rFonts w:ascii="Garamond" w:hAnsi="Garamond" w:cs="Times New Roman"/>
        </w:rPr>
        <w:fldChar w:fldCharType="separate"/>
      </w:r>
      <w:r w:rsidR="005F5102" w:rsidRPr="00163C1E">
        <w:rPr>
          <w:rFonts w:ascii="Garamond" w:hAnsi="Garamond"/>
        </w:rPr>
        <w:t>(International Organization for Migration, 2008)</w:t>
      </w:r>
      <w:r w:rsidR="005F5102" w:rsidRPr="00163C1E">
        <w:rPr>
          <w:rFonts w:ascii="Garamond" w:hAnsi="Garamond" w:cs="Times New Roman"/>
        </w:rPr>
        <w:fldChar w:fldCharType="end"/>
      </w:r>
      <w:r w:rsidR="00C42E32" w:rsidRPr="00163C1E">
        <w:rPr>
          <w:rFonts w:ascii="Garamond" w:hAnsi="Garamond" w:cs="Times New Roman"/>
        </w:rPr>
        <w:t xml:space="preserve">. </w:t>
      </w:r>
      <w:r w:rsidR="000C0648" w:rsidRPr="00163C1E">
        <w:rPr>
          <w:rFonts w:ascii="Garamond" w:hAnsi="Garamond" w:cs="Times New Roman"/>
        </w:rPr>
        <w:t xml:space="preserve">Early studies projected up to 200 million internal “climate refugees” by 2050, while the updated Groundswell report </w:t>
      </w:r>
      <w:r w:rsidR="00432876">
        <w:rPr>
          <w:rFonts w:ascii="Garamond" w:hAnsi="Garamond" w:cs="Times New Roman"/>
        </w:rPr>
        <w:t>places the figure at 216 million</w:t>
      </w:r>
      <w:r w:rsidR="00CC4A36">
        <w:rPr>
          <w:rFonts w:ascii="Garamond" w:hAnsi="Garamond" w:cs="Times New Roman"/>
        </w:rPr>
        <w:t xml:space="preserve"> people</w:t>
      </w:r>
      <w:r w:rsidR="000C0648" w:rsidRPr="00163C1E">
        <w:rPr>
          <w:rFonts w:ascii="Garamond" w:hAnsi="Garamond" w:cs="Times New Roman"/>
        </w:rPr>
        <w:t xml:space="preserve"> </w:t>
      </w:r>
      <w:r w:rsidR="000C0648" w:rsidRPr="00163C1E">
        <w:rPr>
          <w:rFonts w:ascii="Garamond" w:hAnsi="Garamond" w:cs="Times New Roman"/>
        </w:rPr>
        <w:fldChar w:fldCharType="begin"/>
      </w:r>
      <w:r w:rsidR="000C0648" w:rsidRPr="00163C1E">
        <w:rPr>
          <w:rFonts w:ascii="Garamond" w:hAnsi="Garamond" w:cs="Times New Roman"/>
        </w:rPr>
        <w:instrText xml:space="preserve"> ADDIN ZOTERO_ITEM CSL_CITATION {"citationID":"plCyojIs","properties":{"unsorted":false,"formattedCitation":"(Clement et\\uc0\\u160{}al., 2021; International Organization for Migration, 2008)","plainCitation":"(Clement et al., 2021; International Organization for Migration, 2008)","noteIndex":0},"citationItems":[{"id":1799,"uris":["http://zotero.org/users/18422904/items/2D6IJLWJ"],"itemData":{"id":1799,"type":"report","publisher":"World Bank","title":"Groundswell Part 2: Acting on Internal Climate Migration","URL":"https://openknowledge.worldbank.org/entities/publication/2c9150df-52c3-58ed-9075-d78ea56c3267","author":[{"family":"Clement","given":"Viviane"},{"family":"Rigaud","given":"Kanta Kumari"},{"family":"Sherbinin","given":"Alex","non-dropping-particle":"de"},{"family":"Jones","given":"Bryan"},{"family":"Adamo","given":"Susana"},{"family":"Schewe","given":"Jacob"},{"family":"Sadiq","given":"Nian"},{"family":"Shabahat","given":"Elham"}],"accessed":{"date-parts":[["2026",5,18]]},"issued":{"date-parts":[["2021"]]}}},{"id":1771,"uris":["http://zotero.org/users/18422904/items/SU25FG3H"],"itemData":{"id":1771,"type":"report","collection-number":"Series No. 31","collection-title":"IOM Migration Research","publisher":"International Organization for Migration","title":"Migration and climate change","author":[{"family":"International Organization for Migration","given":""}],"issued":{"date-parts":[["2008"]]}}}],"schema":"https://github.com/citation-style-language/schema/raw/master/csl-citation.json"} </w:instrText>
      </w:r>
      <w:r w:rsidR="000C0648" w:rsidRPr="00163C1E">
        <w:rPr>
          <w:rFonts w:ascii="Garamond" w:hAnsi="Garamond" w:cs="Times New Roman"/>
        </w:rPr>
        <w:fldChar w:fldCharType="separate"/>
      </w:r>
      <w:r w:rsidR="000C0648" w:rsidRPr="00163C1E">
        <w:rPr>
          <w:rFonts w:ascii="Garamond" w:hAnsi="Garamond" w:cs="Times New Roman"/>
          <w:kern w:val="0"/>
        </w:rPr>
        <w:t>(Clement et al., 2021; International Organization for Migration, 2008)</w:t>
      </w:r>
      <w:r w:rsidR="000C0648" w:rsidRPr="00163C1E">
        <w:rPr>
          <w:rFonts w:ascii="Garamond" w:hAnsi="Garamond" w:cs="Times New Roman"/>
        </w:rPr>
        <w:fldChar w:fldCharType="end"/>
      </w:r>
      <w:r w:rsidR="00F31054" w:rsidRPr="00163C1E">
        <w:rPr>
          <w:rFonts w:ascii="Garamond" w:hAnsi="Garamond" w:cs="Times New Roman"/>
        </w:rPr>
        <w:t>.</w:t>
      </w:r>
      <w:r w:rsidR="0048229C" w:rsidRPr="00163C1E">
        <w:rPr>
          <w:rFonts w:ascii="Garamond" w:hAnsi="Garamond" w:cs="Times New Roman"/>
        </w:rPr>
        <w:t xml:space="preserve"> </w:t>
      </w:r>
      <w:r w:rsidR="00C65141" w:rsidRPr="00163C1E">
        <w:rPr>
          <w:rFonts w:ascii="Garamond" w:hAnsi="Garamond" w:cs="Times New Roman"/>
        </w:rPr>
        <w:t>Despite the earlier estimates</w:t>
      </w:r>
      <w:r w:rsidR="000C0648" w:rsidRPr="00163C1E">
        <w:rPr>
          <w:rFonts w:ascii="Garamond" w:hAnsi="Garamond" w:cs="Times New Roman"/>
        </w:rPr>
        <w:t xml:space="preserve">, </w:t>
      </w:r>
      <w:r w:rsidR="00C65141" w:rsidRPr="00163C1E">
        <w:rPr>
          <w:rFonts w:ascii="Garamond" w:hAnsi="Garamond" w:cs="Times New Roman"/>
        </w:rPr>
        <w:t xml:space="preserve">in 2011 </w:t>
      </w:r>
      <w:r w:rsidR="000C0648" w:rsidRPr="00163C1E">
        <w:rPr>
          <w:rFonts w:ascii="Garamond" w:hAnsi="Garamond" w:cs="Times New Roman"/>
        </w:rPr>
        <w:t>t</w:t>
      </w:r>
      <w:r w:rsidR="00AB3CA6" w:rsidRPr="00163C1E">
        <w:rPr>
          <w:rFonts w:ascii="Garamond" w:hAnsi="Garamond" w:cs="Times New Roman"/>
        </w:rPr>
        <w:t xml:space="preserve">he </w:t>
      </w:r>
      <w:r w:rsidR="00285002" w:rsidRPr="00163C1E">
        <w:rPr>
          <w:rFonts w:ascii="Garamond" w:hAnsi="Garamond" w:cs="Times New Roman"/>
        </w:rPr>
        <w:t xml:space="preserve">UK Government’s </w:t>
      </w:r>
      <w:r w:rsidR="00AB3CA6" w:rsidRPr="00163C1E">
        <w:rPr>
          <w:rFonts w:ascii="Garamond" w:hAnsi="Garamond" w:cs="Times New Roman"/>
        </w:rPr>
        <w:fldChar w:fldCharType="begin"/>
      </w:r>
      <w:r w:rsidR="000C0648" w:rsidRPr="00163C1E">
        <w:rPr>
          <w:rFonts w:ascii="Garamond" w:hAnsi="Garamond" w:cs="Times New Roman"/>
        </w:rPr>
        <w:instrText xml:space="preserve"> ADDIN ZOTERO_ITEM CSL_CITATION {"citationID":"ufAYCN30","properties":{"unsorted":false,"formattedCitation":"(Foresight, 2011)","plainCitation":"(Foresight, 2011)","dontUpdate":true,"noteIndex":0},"citationItems":[{"id":1793,"uris":["http://zotero.org/users/18422904/items/JXWBICP5"],"itemData":{"id":1793,"type":"report","publisher":"Foresight","title":"Migration and Global Environmental Change Future Challenges and Opportunities","URL":"https://www.un.org/development/desa/pd/sites/www.un.org.development.desa.pd/files/unpd-cm10201202-11-1116-migration-and-global-environmental-change.pdf","author":[{"family":"Foresight","given":""}],"issued":{"date-parts":[["2011"]]}}}],"schema":"https://github.com/citation-style-language/schema/raw/master/csl-citation.json"} </w:instrText>
      </w:r>
      <w:r w:rsidR="00AB3CA6" w:rsidRPr="00163C1E">
        <w:rPr>
          <w:rFonts w:ascii="Garamond" w:hAnsi="Garamond" w:cs="Times New Roman"/>
        </w:rPr>
        <w:fldChar w:fldCharType="separate"/>
      </w:r>
      <w:r w:rsidR="00AB3CA6" w:rsidRPr="00163C1E">
        <w:rPr>
          <w:rFonts w:ascii="Garamond" w:hAnsi="Garamond"/>
        </w:rPr>
        <w:t>Foresight (2011)</w:t>
      </w:r>
      <w:r w:rsidR="00AB3CA6" w:rsidRPr="00163C1E">
        <w:rPr>
          <w:rFonts w:ascii="Garamond" w:hAnsi="Garamond" w:cs="Times New Roman"/>
        </w:rPr>
        <w:fldChar w:fldCharType="end"/>
      </w:r>
      <w:r w:rsidR="00AB3CA6" w:rsidRPr="00163C1E">
        <w:rPr>
          <w:rFonts w:ascii="Garamond" w:hAnsi="Garamond" w:cs="Times New Roman"/>
        </w:rPr>
        <w:t xml:space="preserve"> report,</w:t>
      </w:r>
      <w:r w:rsidR="000C0648" w:rsidRPr="00163C1E">
        <w:rPr>
          <w:rFonts w:ascii="Garamond" w:hAnsi="Garamond" w:cs="Times New Roman"/>
        </w:rPr>
        <w:t xml:space="preserve"> was the first </w:t>
      </w:r>
      <w:r w:rsidR="00285002" w:rsidRPr="00163C1E">
        <w:rPr>
          <w:rFonts w:ascii="Garamond" w:hAnsi="Garamond" w:cs="Times New Roman"/>
        </w:rPr>
        <w:t>influential document</w:t>
      </w:r>
      <w:r w:rsidR="000C0648" w:rsidRPr="00163C1E">
        <w:rPr>
          <w:rFonts w:ascii="Garamond" w:hAnsi="Garamond" w:cs="Times New Roman"/>
        </w:rPr>
        <w:t xml:space="preserve"> to</w:t>
      </w:r>
      <w:r w:rsidR="000C0648" w:rsidRPr="00163C1E">
        <w:rPr>
          <w:rFonts w:ascii="Garamond" w:hAnsi="Garamond"/>
        </w:rPr>
        <w:t xml:space="preserve"> </w:t>
      </w:r>
      <w:r w:rsidR="000C0648" w:rsidRPr="00163C1E">
        <w:rPr>
          <w:rFonts w:ascii="Garamond" w:hAnsi="Garamond" w:cs="Times New Roman"/>
        </w:rPr>
        <w:t xml:space="preserve">argue </w:t>
      </w:r>
      <w:r w:rsidR="00285002" w:rsidRPr="00163C1E">
        <w:rPr>
          <w:rFonts w:ascii="Garamond" w:hAnsi="Garamond" w:cs="Times New Roman"/>
        </w:rPr>
        <w:t>against this deterministic view, and recent evidence supports this notion</w:t>
      </w:r>
      <w:r w:rsidR="00AB3CA6" w:rsidRPr="00163C1E">
        <w:rPr>
          <w:rFonts w:ascii="Garamond" w:hAnsi="Garamond" w:cs="Times New Roman"/>
        </w:rPr>
        <w:t xml:space="preserve">. </w:t>
      </w:r>
      <w:r w:rsidR="00CC4A36">
        <w:rPr>
          <w:rFonts w:ascii="Garamond" w:hAnsi="Garamond" w:cs="Times New Roman"/>
        </w:rPr>
        <w:t>For example, b</w:t>
      </w:r>
      <w:r w:rsidR="00C65141" w:rsidRPr="00163C1E">
        <w:rPr>
          <w:rFonts w:ascii="Garamond" w:hAnsi="Garamond" w:cs="Times New Roman"/>
        </w:rPr>
        <w:t xml:space="preserve">y the end of 2024, the </w:t>
      </w:r>
      <w:r w:rsidR="00C65141" w:rsidRPr="00163C1E">
        <w:rPr>
          <w:rFonts w:ascii="Garamond" w:hAnsi="Garamond" w:cs="Times New Roman"/>
        </w:rPr>
        <w:fldChar w:fldCharType="begin"/>
      </w:r>
      <w:r w:rsidR="00C65141" w:rsidRPr="00163C1E">
        <w:rPr>
          <w:rFonts w:ascii="Garamond" w:hAnsi="Garamond" w:cs="Times New Roman"/>
        </w:rPr>
        <w:instrText xml:space="preserve"> ADDIN ZOTERO_ITEM CSL_CITATION {"citationID":"PU7pnIUB","properties":{"unsorted":false,"formattedCitation":"(IDMC, 2025)","plainCitation":"(IDMC, 2025)","dontUpdate":true,"noteIndex":0},"citationItems":[{"id":1785,"uris":["http://zotero.org/users/18422904/items/95JZB86L"],"itemData":{"id":1785,"type":"report","publisher":"Internal Displacement Monitoring Center","title":"2025 Global Report on Internal Displacement","URL":"https://doi.org/10.55363/IDMC.XTGW2833","author":[{"family":"IDMC","given":""}],"issued":{"date-parts":[["2025"]]}}}],"schema":"https://github.com/citation-style-language/schema/raw/master/csl-citation.json"} </w:instrText>
      </w:r>
      <w:r w:rsidR="00C65141" w:rsidRPr="00163C1E">
        <w:rPr>
          <w:rFonts w:ascii="Garamond" w:hAnsi="Garamond" w:cs="Times New Roman"/>
        </w:rPr>
        <w:fldChar w:fldCharType="separate"/>
      </w:r>
      <w:r w:rsidR="00C65141" w:rsidRPr="00163C1E">
        <w:rPr>
          <w:rFonts w:ascii="Garamond" w:hAnsi="Garamond"/>
        </w:rPr>
        <w:t>IDMC (2025)</w:t>
      </w:r>
      <w:r w:rsidR="00C65141" w:rsidRPr="00163C1E">
        <w:rPr>
          <w:rFonts w:ascii="Garamond" w:hAnsi="Garamond" w:cs="Times New Roman"/>
        </w:rPr>
        <w:fldChar w:fldCharType="end"/>
      </w:r>
      <w:r w:rsidR="00C65141" w:rsidRPr="00163C1E">
        <w:rPr>
          <w:rFonts w:ascii="Garamond" w:hAnsi="Garamond" w:cs="Times New Roman"/>
        </w:rPr>
        <w:t xml:space="preserve"> estimated 83.4 million internally displaced people worldwide, of whom 73.5 million were displaced by conflict and violence, compared to 9.8 million by natural disasters</w:t>
      </w:r>
      <w:r w:rsidR="00C93F34" w:rsidRPr="00163C1E">
        <w:rPr>
          <w:rFonts w:ascii="Garamond" w:hAnsi="Garamond" w:cs="Times New Roman"/>
        </w:rPr>
        <w:t xml:space="preserve">. </w:t>
      </w:r>
      <w:r w:rsidR="008A3A1E" w:rsidRPr="00163C1E">
        <w:rPr>
          <w:rFonts w:ascii="Garamond" w:hAnsi="Garamond" w:cs="Times New Roman"/>
        </w:rPr>
        <w:t xml:space="preserve">Furthermore, </w:t>
      </w:r>
      <w:r w:rsidR="00C65141" w:rsidRPr="00163C1E">
        <w:rPr>
          <w:rFonts w:ascii="Garamond" w:hAnsi="Garamond" w:cs="Times New Roman"/>
        </w:rPr>
        <w:t>international migration rates have remained relatively stable since 1990, fluctuating around 1.13% to 1.29% of the global population every five years (</w:t>
      </w:r>
      <w:r w:rsidR="00634A85" w:rsidRPr="00163C1E">
        <w:rPr>
          <w:rFonts w:ascii="Garamond" w:hAnsi="Garamond" w:cs="Times New Roman"/>
        </w:rPr>
        <w:fldChar w:fldCharType="begin"/>
      </w:r>
      <w:r w:rsidR="00BB146B" w:rsidRPr="00163C1E">
        <w:rPr>
          <w:rFonts w:ascii="Garamond" w:hAnsi="Garamond" w:cs="Times New Roman"/>
        </w:rPr>
        <w:instrText xml:space="preserve"> ADDIN ZOTERO_ITEM CSL_CITATION {"citationID":"ep03dSii","properties":{"unsorted":false,"formattedCitation":"(Azose &amp; Raftery, 2019)","plainCitation":"(Azose &amp; Raftery, 2019)","dontUpdate":true,"noteIndex":0},"citationItems":[{"id":1783,"uris":["http://zotero.org/users/18422904/items/C55BLVXY"],"itemData":{"id":1783,"type":"article-journal","abstract":"We propose a method for estimating migration flows between all pairs of countries that allows for decomposition of migration into emigration, return, and transit components. Current state-of-the-art estimates of bilateral migration flows rely on the assumption that the number of global migrants is as small as possible. We relax this assumption, producing complete estimates of all between-country migration flows with genuine estimates of total global migration. We find that the total number of individuals migrating internationally has oscillated between 1.13 and 1.29% of the global population per 5-year period since 1990. Return migration and transit migration are big parts of total migration; roughly one of four migration events is a return to an individual’s country of birth. In the most recent time period, we estimate particularly large return migration flows from the United States to Central and South America and from the Persian Gulf to south Asia.","container-title":"Proceedings of the National Academy of Sciences","DOI":"10.1073/pnas.1722334116","issue":"1","page":"116-122","publisher":"Proceedings of the National Academy of Sciences","source":"pnas.org (Atypon)","title":"Estimation of emigration, return migration, and transit migration between all pairs of countries","volume":"116","author":[{"family":"Azose","given":"Jonathan J."},{"family":"Raftery","given":"Adrian E."}],"issued":{"date-parts":[["2019",1,2]]}}}],"schema":"https://github.com/citation-style-language/schema/raw/master/csl-citation.json"} </w:instrText>
      </w:r>
      <w:r w:rsidR="00634A85" w:rsidRPr="00163C1E">
        <w:rPr>
          <w:rFonts w:ascii="Garamond" w:hAnsi="Garamond" w:cs="Times New Roman"/>
        </w:rPr>
        <w:fldChar w:fldCharType="separate"/>
      </w:r>
      <w:r w:rsidR="00634A85" w:rsidRPr="00163C1E">
        <w:rPr>
          <w:rFonts w:ascii="Garamond" w:hAnsi="Garamond"/>
        </w:rPr>
        <w:t>Azose &amp; Raftery</w:t>
      </w:r>
      <w:r w:rsidR="00C65141" w:rsidRPr="00163C1E">
        <w:rPr>
          <w:rFonts w:ascii="Garamond" w:hAnsi="Garamond"/>
        </w:rPr>
        <w:t xml:space="preserve">, </w:t>
      </w:r>
      <w:r w:rsidR="00634A85" w:rsidRPr="00163C1E">
        <w:rPr>
          <w:rFonts w:ascii="Garamond" w:hAnsi="Garamond"/>
        </w:rPr>
        <w:t>2019)</w:t>
      </w:r>
      <w:r w:rsidR="00634A85" w:rsidRPr="00163C1E">
        <w:rPr>
          <w:rFonts w:ascii="Garamond" w:hAnsi="Garamond" w:cs="Times New Roman"/>
        </w:rPr>
        <w:fldChar w:fldCharType="end"/>
      </w:r>
      <w:r w:rsidR="00C65141" w:rsidRPr="00163C1E">
        <w:rPr>
          <w:rFonts w:ascii="Garamond" w:hAnsi="Garamond" w:cs="Times New Roman"/>
        </w:rPr>
        <w:t xml:space="preserve">. </w:t>
      </w:r>
      <w:r w:rsidR="008975A3" w:rsidRPr="00163C1E">
        <w:rPr>
          <w:rFonts w:ascii="Garamond" w:hAnsi="Garamond" w:cs="Times New Roman"/>
        </w:rPr>
        <w:t>Jointly</w:t>
      </w:r>
      <w:r w:rsidR="00C93F34" w:rsidRPr="00163C1E">
        <w:rPr>
          <w:rFonts w:ascii="Garamond" w:hAnsi="Garamond" w:cs="Times New Roman"/>
        </w:rPr>
        <w:t xml:space="preserve">, </w:t>
      </w:r>
      <w:r w:rsidR="00D31F06" w:rsidRPr="00163C1E">
        <w:rPr>
          <w:rFonts w:ascii="Garamond" w:hAnsi="Garamond" w:cs="Times New Roman"/>
        </w:rPr>
        <w:t xml:space="preserve">these figures </w:t>
      </w:r>
      <w:r w:rsidR="00C93F34" w:rsidRPr="00163C1E">
        <w:rPr>
          <w:rFonts w:ascii="Garamond" w:hAnsi="Garamond" w:cs="Times New Roman"/>
        </w:rPr>
        <w:t xml:space="preserve">beg to question the assumption that climate change will mechanically lead to more mobility. </w:t>
      </w:r>
    </w:p>
    <w:p w14:paraId="3F2D118C" w14:textId="75A3E13B" w:rsidR="00C42E32" w:rsidRPr="00163C1E" w:rsidRDefault="00C42E32" w:rsidP="00D539EF">
      <w:pPr>
        <w:spacing w:line="360" w:lineRule="auto"/>
        <w:jc w:val="both"/>
        <w:rPr>
          <w:rFonts w:ascii="Garamond" w:hAnsi="Garamond" w:cs="Times New Roman"/>
        </w:rPr>
      </w:pPr>
      <w:r w:rsidRPr="00163C1E">
        <w:rPr>
          <w:rFonts w:ascii="Garamond" w:hAnsi="Garamond" w:cs="Times New Roman"/>
        </w:rPr>
        <w:t>In line with this paradox</w:t>
      </w:r>
      <w:r w:rsidR="001118E1" w:rsidRPr="00163C1E">
        <w:rPr>
          <w:rFonts w:ascii="Garamond" w:hAnsi="Garamond" w:cs="Times New Roman"/>
        </w:rPr>
        <w:t xml:space="preserve">, </w:t>
      </w:r>
      <w:r w:rsidR="004C1B7F" w:rsidRPr="00163C1E">
        <w:rPr>
          <w:rFonts w:ascii="Garamond" w:hAnsi="Garamond" w:cs="Times New Roman"/>
        </w:rPr>
        <w:t>subsequent research</w:t>
      </w:r>
      <w:r w:rsidR="007B536A" w:rsidRPr="00163C1E">
        <w:rPr>
          <w:rFonts w:ascii="Garamond" w:hAnsi="Garamond" w:cs="Times New Roman"/>
        </w:rPr>
        <w:t xml:space="preserve"> </w:t>
      </w:r>
      <w:r w:rsidR="008975A3" w:rsidRPr="00163C1E">
        <w:rPr>
          <w:rFonts w:ascii="Garamond" w:hAnsi="Garamond" w:cs="Times New Roman"/>
        </w:rPr>
        <w:t>has</w:t>
      </w:r>
      <w:r w:rsidR="00CB6275" w:rsidRPr="00163C1E">
        <w:rPr>
          <w:rFonts w:ascii="Garamond" w:hAnsi="Garamond" w:cs="Times New Roman"/>
        </w:rPr>
        <w:t xml:space="preserve"> revealed a more complex relationship between climate change and mobility</w:t>
      </w:r>
      <w:r w:rsidR="00503192" w:rsidRPr="00163C1E">
        <w:rPr>
          <w:rFonts w:ascii="Garamond" w:hAnsi="Garamond" w:cs="Times New Roman"/>
        </w:rPr>
        <w:t xml:space="preserve">, </w:t>
      </w:r>
      <w:r w:rsidR="004E209D" w:rsidRPr="00163C1E">
        <w:rPr>
          <w:rFonts w:ascii="Garamond" w:hAnsi="Garamond" w:cs="Times New Roman"/>
        </w:rPr>
        <w:t>indicating</w:t>
      </w:r>
      <w:r w:rsidR="00503192" w:rsidRPr="00163C1E">
        <w:rPr>
          <w:rFonts w:ascii="Garamond" w:hAnsi="Garamond" w:cs="Times New Roman"/>
        </w:rPr>
        <w:t xml:space="preserve"> that migration (whether voluntary or not) is only one </w:t>
      </w:r>
      <w:r w:rsidR="005F5102" w:rsidRPr="00163C1E">
        <w:rPr>
          <w:rFonts w:ascii="Garamond" w:hAnsi="Garamond" w:cs="Times New Roman"/>
        </w:rPr>
        <w:t xml:space="preserve">among several possible </w:t>
      </w:r>
      <w:r w:rsidR="00BC05DD">
        <w:rPr>
          <w:rFonts w:ascii="Garamond" w:hAnsi="Garamond" w:cs="Times New Roman"/>
        </w:rPr>
        <w:t>r</w:t>
      </w:r>
      <w:r w:rsidR="005F5102" w:rsidRPr="00163C1E">
        <w:rPr>
          <w:rFonts w:ascii="Garamond" w:hAnsi="Garamond" w:cs="Times New Roman"/>
        </w:rPr>
        <w:t>esponses to climate change</w:t>
      </w:r>
      <w:r w:rsidR="007B536A" w:rsidRPr="00163C1E">
        <w:rPr>
          <w:rFonts w:ascii="Garamond" w:hAnsi="Garamond" w:cs="Times New Roman"/>
        </w:rPr>
        <w:t xml:space="preserve">. </w:t>
      </w:r>
      <w:r w:rsidR="007C4BDF" w:rsidRPr="00163C1E">
        <w:rPr>
          <w:rFonts w:ascii="Garamond" w:hAnsi="Garamond" w:cs="Times New Roman"/>
        </w:rPr>
        <w:t>In regard to this</w:t>
      </w:r>
      <w:r w:rsidR="00503192" w:rsidRPr="00163C1E">
        <w:rPr>
          <w:rFonts w:ascii="Garamond" w:hAnsi="Garamond" w:cs="Times New Roman"/>
        </w:rPr>
        <w:t xml:space="preserve">, </w:t>
      </w:r>
      <w:r w:rsidR="00503192" w:rsidRPr="00163C1E">
        <w:rPr>
          <w:rFonts w:ascii="Garamond" w:hAnsi="Garamond" w:cs="Times New Roman"/>
        </w:rPr>
        <w:fldChar w:fldCharType="begin"/>
      </w:r>
      <w:r w:rsidR="00503192" w:rsidRPr="00163C1E">
        <w:rPr>
          <w:rFonts w:ascii="Garamond" w:hAnsi="Garamond" w:cs="Times New Roman"/>
        </w:rPr>
        <w:instrText xml:space="preserve"> ADDIN ZOTERO_ITEM CSL_CITATION {"citationID":"9jeKq5Qy","properties":{"unsorted":false,"formattedCitation":"(Mallick &amp; Hunter, 2023)","plainCitation":"(Mallick &amp; Hunter, 2023)","dontUpdate":true,"noteIndex":0},"citationItems":[{"id":1762,"uris":["http://zotero.org/users/18422904/items/H2L9SEMZ"],"itemData":{"id":1762,"type":"article-journal","container-title":"Regional Environmental Change","DOI":"10.1007/s10113-022-02019-6","ISSN":"1436-378X","issue":"1","journalAbbreviation":"Reg Environ Change","language":"en","page":"22","source":"Springer Link","title":"Environmental non-migration: framework, methods, and cases","title-short":"Environmental non-migration","volume":"23","author":[{"family":"Mallick","given":"Bishawjit"},{"family":"Hunter","given":"Lori"}],"issued":{"date-parts":[["2023",1,5]]}}}],"schema":"https://github.com/citation-style-language/schema/raw/master/csl-citation.json"} </w:instrText>
      </w:r>
      <w:r w:rsidR="00503192" w:rsidRPr="00163C1E">
        <w:rPr>
          <w:rFonts w:ascii="Garamond" w:hAnsi="Garamond" w:cs="Times New Roman"/>
        </w:rPr>
        <w:fldChar w:fldCharType="separate"/>
      </w:r>
      <w:r w:rsidR="00503192" w:rsidRPr="00163C1E">
        <w:rPr>
          <w:rFonts w:ascii="Garamond" w:hAnsi="Garamond"/>
        </w:rPr>
        <w:t>Mallick &amp; Hunter (2023)</w:t>
      </w:r>
      <w:r w:rsidR="00503192" w:rsidRPr="00163C1E">
        <w:rPr>
          <w:rFonts w:ascii="Garamond" w:hAnsi="Garamond" w:cs="Times New Roman"/>
        </w:rPr>
        <w:fldChar w:fldCharType="end"/>
      </w:r>
      <w:r w:rsidR="00503192" w:rsidRPr="00163C1E">
        <w:rPr>
          <w:rFonts w:ascii="Garamond" w:hAnsi="Garamond" w:cs="Times New Roman"/>
        </w:rPr>
        <w:t xml:space="preserve"> </w:t>
      </w:r>
      <w:r w:rsidR="00CB6275" w:rsidRPr="00163C1E">
        <w:rPr>
          <w:rFonts w:ascii="Garamond" w:hAnsi="Garamond" w:cs="Times New Roman"/>
        </w:rPr>
        <w:t>s</w:t>
      </w:r>
      <w:r w:rsidR="00503192" w:rsidRPr="00163C1E">
        <w:rPr>
          <w:rFonts w:ascii="Garamond" w:hAnsi="Garamond" w:cs="Times New Roman"/>
        </w:rPr>
        <w:t>uggest</w:t>
      </w:r>
      <w:r w:rsidR="00164697" w:rsidRPr="00163C1E">
        <w:rPr>
          <w:rFonts w:ascii="Garamond" w:hAnsi="Garamond" w:cs="Times New Roman"/>
        </w:rPr>
        <w:t xml:space="preserve"> </w:t>
      </w:r>
      <w:r w:rsidR="000D092E" w:rsidRPr="00163C1E">
        <w:rPr>
          <w:rFonts w:ascii="Garamond" w:hAnsi="Garamond" w:cs="Times New Roman"/>
        </w:rPr>
        <w:t xml:space="preserve">that both migration and non-migration may function </w:t>
      </w:r>
      <w:r w:rsidR="006B30EB" w:rsidRPr="00163C1E">
        <w:rPr>
          <w:rFonts w:ascii="Garamond" w:hAnsi="Garamond" w:cs="Times New Roman"/>
        </w:rPr>
        <w:t>as</w:t>
      </w:r>
      <w:r w:rsidR="00BC05DD">
        <w:rPr>
          <w:rFonts w:ascii="Garamond" w:hAnsi="Garamond" w:cs="Times New Roman"/>
        </w:rPr>
        <w:t xml:space="preserve"> households’</w:t>
      </w:r>
      <w:r w:rsidR="006B30EB" w:rsidRPr="00163C1E">
        <w:rPr>
          <w:rFonts w:ascii="Garamond" w:hAnsi="Garamond" w:cs="Times New Roman"/>
        </w:rPr>
        <w:t xml:space="preserve"> </w:t>
      </w:r>
      <w:r w:rsidR="000D092E" w:rsidRPr="00163C1E">
        <w:rPr>
          <w:rFonts w:ascii="Garamond" w:hAnsi="Garamond" w:cs="Times New Roman"/>
        </w:rPr>
        <w:t>adaption strategies</w:t>
      </w:r>
      <w:r w:rsidR="004E209D" w:rsidRPr="00163C1E">
        <w:rPr>
          <w:rFonts w:ascii="Garamond" w:hAnsi="Garamond" w:cs="Times New Roman"/>
        </w:rPr>
        <w:t>.</w:t>
      </w:r>
      <w:r w:rsidR="00164697" w:rsidRPr="00163C1E">
        <w:rPr>
          <w:rFonts w:ascii="Garamond" w:hAnsi="Garamond" w:cs="Times New Roman"/>
        </w:rPr>
        <w:t xml:space="preserve"> This complexity is further reflected in </w:t>
      </w:r>
      <w:r w:rsidR="00BA2365" w:rsidRPr="00163C1E">
        <w:rPr>
          <w:rFonts w:ascii="Garamond" w:hAnsi="Garamond" w:cs="Times New Roman"/>
        </w:rPr>
        <w:t>studies highlighting</w:t>
      </w:r>
      <w:r w:rsidR="00164697" w:rsidRPr="00163C1E">
        <w:rPr>
          <w:rFonts w:ascii="Garamond" w:hAnsi="Garamond" w:cs="Times New Roman"/>
        </w:rPr>
        <w:t xml:space="preserve"> that climate change may simultaneously increase </w:t>
      </w:r>
      <w:r w:rsidR="007B7948" w:rsidRPr="00163C1E">
        <w:rPr>
          <w:rFonts w:ascii="Garamond" w:hAnsi="Garamond" w:cs="Times New Roman"/>
        </w:rPr>
        <w:t>the desire</w:t>
      </w:r>
      <w:r w:rsidR="00164697" w:rsidRPr="00163C1E">
        <w:rPr>
          <w:rFonts w:ascii="Garamond" w:hAnsi="Garamond" w:cs="Times New Roman"/>
        </w:rPr>
        <w:t xml:space="preserve"> to migrate while reducing </w:t>
      </w:r>
      <w:r w:rsidR="007B7948" w:rsidRPr="00163C1E">
        <w:rPr>
          <w:rFonts w:ascii="Garamond" w:hAnsi="Garamond" w:cs="Times New Roman"/>
        </w:rPr>
        <w:t>people’s ability to</w:t>
      </w:r>
      <w:r w:rsidR="00164697" w:rsidRPr="00163C1E">
        <w:rPr>
          <w:rFonts w:ascii="Garamond" w:hAnsi="Garamond" w:cs="Times New Roman"/>
        </w:rPr>
        <w:t xml:space="preserve"> do so, thereby generating forms of involuntary immobility</w:t>
      </w:r>
      <w:r w:rsidR="005F5102" w:rsidRPr="00163C1E">
        <w:rPr>
          <w:rFonts w:ascii="Garamond" w:hAnsi="Garamond" w:cs="Times New Roman"/>
        </w:rPr>
        <w:t xml:space="preserve"> or “trapped” populations</w:t>
      </w:r>
      <w:r w:rsidR="00164697" w:rsidRPr="00163C1E">
        <w:rPr>
          <w:rFonts w:ascii="Garamond" w:hAnsi="Garamond" w:cs="Times New Roman"/>
        </w:rPr>
        <w:t xml:space="preserve"> </w:t>
      </w:r>
      <w:r w:rsidR="00164697" w:rsidRPr="00163C1E">
        <w:rPr>
          <w:rFonts w:ascii="Garamond" w:hAnsi="Garamond" w:cs="Times New Roman"/>
        </w:rPr>
        <w:fldChar w:fldCharType="begin"/>
      </w:r>
      <w:r w:rsidR="005F5102" w:rsidRPr="00163C1E">
        <w:rPr>
          <w:rFonts w:ascii="Garamond" w:hAnsi="Garamond" w:cs="Times New Roman"/>
        </w:rPr>
        <w:instrText xml:space="preserve"> ADDIN ZOTERO_ITEM CSL_CITATION {"citationID":"fP7Z5ks7","properties":{"unsorted":false,"formattedCitation":"(Freihardt, 2025; Letta et\\uc0\\u160{}al., 2024)","plainCitation":"(Freihardt, 2025; Letta et al., 2024)","noteIndex":0},"citationItems":[{"id":21,"uris":["http://zotero.org/users/18422904/items/AJEPSWHR"],"itemData":{"id":21,"type":"article-journal","abstract":"While there has been a considerable conceptual discussion of trapped populations in the environmental migration literature, the empirical evidence on their existence is scarce. I examine why many people remain in environmentally vulnerable areas by analyzing newly collected survey panel data of 1515 household heads living along the Jamuna River in Bangladesh, an area affected by riverbank erosion and flooding. To examine whether immobility is voluntary or involuntary, I assess the migration aspirations and capability to move of those who did not migrate after environmental shocks occurred in their village. The majority (82%) of non-migrants can be classified as voluntary non-migrants, while 13% can be considered “trapped” and the remaining 5% as acquiescent non-migrants. Being affected by erosion significantly increases the likelihood that immobility is involuntary by 7.9 percentage points, while also lowering the socio-economic status of the affected population. Taken together, these results suggest that environmental change may indeed lead to the “trapping” of parts of the population in exposed areas by eroding their capability to move while simultaneously increasing their migration aspirations. The findings have important policy implications, as they raise a word of caution against prematurely labeling all populations staying in environmentally exposed areas as “trapped” without considering their migration aspirations—a majority may in fact be voluntary non-migrants.","container-title":"Regional Environmental Change","DOI":"10.1007/s10113-025-02452-3","ISSN":"1436-378X","issue":"4","journalAbbreviation":"Reg Environ Change","language":"en","page":"117","source":"Springer Link","title":"Trapped by climate change? (In)voluntary immobility in Bangladesh","title-short":"Trapped by climate change?","volume":"25","author":[{"family":"Freihardt","given":"Jan"}],"issued":{"date-parts":[["2025",9,8]]}}},{"id":14,"uris":["http://zotero.org/users/18422904/items/3YDCBJP7"],"itemData":{"id":14,"type":"article","abstract":"The complex relationship between climate shocks, migration, and adaptation hampers a rigorous understanding of the heterogeneous mobility outcomes of farm households exposed to climate risk. To unpack this heterogeneity, the analysis combines longitudinal multi-topic household survey data from Nigeria with a causal machine learning approach, tailored to a conceptual framework bridging economic migration theory and the poverty traps literature. The results show that pre-shock asset levels, in situ adaptive capacity, and cumulative shock exposure drive not just the magnitude but also the sign of the impact of agriculture-relevant weather anomalies on the mobility outcomes of farming households. While local adaptation acts as a substitute for migration, the roles played by wealth constraints and repeated shock exposure suggest the presence of climate-induced immobility traps.","DOI":"10.48550/arXiv.2403.09470","note":"arXiv:2403.09470 [econ]","number":"arXiv:2403.09470","publisher":"arXiv","source":"arXiv.org","title":"Climate Immobility Traps: A Household-Level Test","title-short":"Climate Immobility Traps","URL":"http://arxiv.org/abs/2403.09470","author":[{"family":"Letta","given":"Marco"},{"family":"Montalbano","given":"Pierluigi"},{"family":"Paolantonio","given":"Adriana"}],"accessed":{"date-parts":[["2026",4,24]]},"issued":{"date-parts":[["2024",3,14]]}}}],"schema":"https://github.com/citation-style-language/schema/raw/master/csl-citation.json"} </w:instrText>
      </w:r>
      <w:r w:rsidR="00164697" w:rsidRPr="00163C1E">
        <w:rPr>
          <w:rFonts w:ascii="Garamond" w:hAnsi="Garamond" w:cs="Times New Roman"/>
        </w:rPr>
        <w:fldChar w:fldCharType="separate"/>
      </w:r>
      <w:r w:rsidR="005F5102" w:rsidRPr="00163C1E">
        <w:rPr>
          <w:rFonts w:ascii="Garamond" w:hAnsi="Garamond" w:cs="Times New Roman"/>
          <w:kern w:val="0"/>
        </w:rPr>
        <w:t>(Freihardt, 2025; Letta et al., 2024)</w:t>
      </w:r>
      <w:r w:rsidR="00164697" w:rsidRPr="00163C1E">
        <w:rPr>
          <w:rFonts w:ascii="Garamond" w:hAnsi="Garamond" w:cs="Times New Roman"/>
        </w:rPr>
        <w:fldChar w:fldCharType="end"/>
      </w:r>
      <w:r w:rsidR="00D64831" w:rsidRPr="00163C1E">
        <w:rPr>
          <w:rFonts w:ascii="Garamond" w:hAnsi="Garamond" w:cs="Times New Roman"/>
        </w:rPr>
        <w:t>.</w:t>
      </w:r>
      <w:r w:rsidR="009624D9" w:rsidRPr="00163C1E">
        <w:rPr>
          <w:rFonts w:ascii="Garamond" w:hAnsi="Garamond" w:cs="Times New Roman"/>
        </w:rPr>
        <w:t xml:space="preserve"> Similarly, a systematic review focusing on the world’s drylands finds that climate-related events are associated with both mobility </w:t>
      </w:r>
      <w:r w:rsidR="00FA0E2A" w:rsidRPr="00163C1E">
        <w:rPr>
          <w:rFonts w:ascii="Garamond" w:hAnsi="Garamond" w:cs="Times New Roman"/>
        </w:rPr>
        <w:t xml:space="preserve">and </w:t>
      </w:r>
      <w:r w:rsidR="009624D9" w:rsidRPr="00163C1E">
        <w:rPr>
          <w:rFonts w:ascii="Garamond" w:hAnsi="Garamond" w:cs="Times New Roman"/>
        </w:rPr>
        <w:t xml:space="preserve">involuntary immobility outcomes across different contexts in </w:t>
      </w:r>
      <w:r w:rsidR="009624D9" w:rsidRPr="00163C1E">
        <w:rPr>
          <w:rFonts w:ascii="Garamond" w:hAnsi="Garamond" w:cs="Times New Roman"/>
          <w:highlight w:val="red"/>
        </w:rPr>
        <w:t>76% of these studies</w:t>
      </w:r>
      <w:r w:rsidR="004E209D" w:rsidRPr="00163C1E">
        <w:rPr>
          <w:rFonts w:ascii="Garamond" w:hAnsi="Garamond" w:cs="Times New Roman"/>
        </w:rPr>
        <w:t xml:space="preserve"> </w:t>
      </w:r>
      <w:r w:rsidR="009624D9" w:rsidRPr="00163C1E">
        <w:rPr>
          <w:rFonts w:ascii="Garamond" w:hAnsi="Garamond" w:cs="Times New Roman"/>
        </w:rPr>
        <w:fldChar w:fldCharType="begin"/>
      </w:r>
      <w:r w:rsidR="009624D9" w:rsidRPr="00163C1E">
        <w:rPr>
          <w:rFonts w:ascii="Garamond" w:hAnsi="Garamond" w:cs="Times New Roman"/>
        </w:rPr>
        <w:instrText xml:space="preserve"> ADDIN ZOTERO_ITEM CSL_CITATION {"citationID":"xAgpkrdf","properties":{"unsorted":false,"formattedCitation":"(Link et\\uc0\\u160{}al., 2025)","plainCitation":"(Link et al., 2025)","noteIndex":0},"citationItems":[{"id":1741,"uris":["http://zotero.org/users/18422904/items/M7PADZ26"],"itemData":{"id":1741,"type":"article-journal","abstract":"Drylands cover a significant portion of the Earth’s surface and support a large share of the global population. They are particularly vulnerable to climate change due to low and highly variable precipitation, changes in precipitation patterns, drought, and desertification. Historically, human mobility has been a critical adaptive response in drylands, supporting communities to cope with climatic and environmental shocks. We use a systematic review of the case study literature in the Web of Science (1976–2023) to assess the effects of climatic stressors on human (im)mobility in drylands. The keywords we use capture various forms of mobility and immobility (migration, displacement, pastoralism, relocation, and immobility) and climatic stressors (rapid-onset, slow-onset, and climate variability) in the world’s 107 countries that have at least 1% of territory classified as drylands. More than nine in ten (91%) of the papers identified climatic stressors as influencing human mobility and immobility, with 76% finding an increase in mobility and involuntary immobility, compared to 15% reporting a decrease in mobility. Migration is the predominant type of mobility assessed by the literature, with droughts and anomalies in precipitation and temperature being the primary climatic stressors. Rapid-onset stressors are more frequently found to increase displacement than slow-onset stressors or climate variability. Climatic stressors tend to have a stronger impact on human mobility in drylands compared to global analyses, which include non-dryland regions. We also show a deficit of empirical studies on pastoralism and immobility, limited research on the effects of compound events on human (im)mobility, and a disproportionate focus of studies on China, the USA, and Mexico, leaving African and South American dryland regions understudied.","container-title":"Population and Environment","DOI":"10.1007/s11111-025-00486-7","ISSN":"1573-7810","issue":"1","journalAbbreviation":"Popul Environ","language":"en","page":"16","source":"Springer Link","title":"To what extent do climatic stressors drive human mobility in the world’s drylands? A systematic review of empirical evidence","title-short":"To what extent do climatic stressors drive human mobility in the world’s drylands?","volume":"47","author":[{"family":"Link","given":"Ann-Christine"},{"family":"Oakes","given":"Robert"},{"family":"Durand-Delacre","given":"David"},{"family":"Thalheimer-Prezyna","given":"Lisa"},{"family":"Geest","given":"Kees","non-dropping-particle":"van der"}],"issued":{"date-parts":[["2025",3,14]]}}}],"schema":"https://github.com/citation-style-language/schema/raw/master/csl-citation.json"} </w:instrText>
      </w:r>
      <w:r w:rsidR="009624D9" w:rsidRPr="00163C1E">
        <w:rPr>
          <w:rFonts w:ascii="Garamond" w:hAnsi="Garamond" w:cs="Times New Roman"/>
        </w:rPr>
        <w:fldChar w:fldCharType="separate"/>
      </w:r>
      <w:r w:rsidR="009624D9" w:rsidRPr="00163C1E">
        <w:rPr>
          <w:rFonts w:ascii="Garamond" w:hAnsi="Garamond" w:cs="Times New Roman"/>
          <w:kern w:val="0"/>
        </w:rPr>
        <w:t>(Link et al., 2025)</w:t>
      </w:r>
      <w:r w:rsidR="009624D9" w:rsidRPr="00163C1E">
        <w:rPr>
          <w:rFonts w:ascii="Garamond" w:hAnsi="Garamond" w:cs="Times New Roman"/>
        </w:rPr>
        <w:fldChar w:fldCharType="end"/>
      </w:r>
      <w:r w:rsidR="009624D9" w:rsidRPr="00163C1E">
        <w:rPr>
          <w:rFonts w:ascii="Garamond" w:hAnsi="Garamond" w:cs="Times New Roman"/>
        </w:rPr>
        <w:t xml:space="preserve">. </w:t>
      </w:r>
    </w:p>
    <w:p w14:paraId="38254B0C" w14:textId="3B3702BF" w:rsidR="00C63437" w:rsidRPr="00163C1E" w:rsidRDefault="00FB539F" w:rsidP="00D539EF">
      <w:pPr>
        <w:spacing w:line="360" w:lineRule="auto"/>
        <w:jc w:val="both"/>
        <w:rPr>
          <w:rFonts w:ascii="Garamond" w:hAnsi="Garamond" w:cs="Times New Roman"/>
          <w:highlight w:val="red"/>
        </w:rPr>
      </w:pPr>
      <w:r w:rsidRPr="00163C1E">
        <w:rPr>
          <w:rFonts w:ascii="Garamond" w:hAnsi="Garamond" w:cs="Times New Roman"/>
        </w:rPr>
        <w:t xml:space="preserve">Taking the previous into account, an important challenge within migration research relates to how to understand different forms of (im)mobility. </w:t>
      </w:r>
      <w:r w:rsidR="00D31F06" w:rsidRPr="00163C1E">
        <w:rPr>
          <w:rFonts w:ascii="Garamond" w:hAnsi="Garamond" w:cs="Times New Roman"/>
        </w:rPr>
        <w:t xml:space="preserve">In </w:t>
      </w:r>
      <w:r w:rsidRPr="00163C1E">
        <w:rPr>
          <w:rFonts w:ascii="Garamond" w:hAnsi="Garamond" w:cs="Times New Roman"/>
        </w:rPr>
        <w:t>this regard</w:t>
      </w:r>
      <w:r w:rsidR="00D31F06" w:rsidRPr="00163C1E">
        <w:rPr>
          <w:rFonts w:ascii="Garamond" w:hAnsi="Garamond" w:cs="Times New Roman"/>
        </w:rPr>
        <w:t>, one of the most prominent theoretical frameworks which ha</w:t>
      </w:r>
      <w:r w:rsidR="008975A3" w:rsidRPr="00163C1E">
        <w:rPr>
          <w:rFonts w:ascii="Garamond" w:hAnsi="Garamond" w:cs="Times New Roman"/>
        </w:rPr>
        <w:t>s</w:t>
      </w:r>
      <w:r w:rsidR="00BE2DC6" w:rsidRPr="00163C1E">
        <w:rPr>
          <w:rFonts w:ascii="Garamond" w:hAnsi="Garamond" w:cs="Times New Roman"/>
        </w:rPr>
        <w:t xml:space="preserve"> explicitly sought to </w:t>
      </w:r>
      <w:r w:rsidR="00D31F06" w:rsidRPr="00163C1E">
        <w:rPr>
          <w:rFonts w:ascii="Garamond" w:hAnsi="Garamond" w:cs="Times New Roman"/>
        </w:rPr>
        <w:t xml:space="preserve">explain </w:t>
      </w:r>
      <w:r w:rsidR="00BA2365" w:rsidRPr="00163C1E">
        <w:rPr>
          <w:rFonts w:ascii="Garamond" w:hAnsi="Garamond" w:cs="Times New Roman"/>
        </w:rPr>
        <w:t>these varied responses</w:t>
      </w:r>
      <w:r w:rsidR="008975A3" w:rsidRPr="00163C1E">
        <w:rPr>
          <w:rFonts w:ascii="Garamond" w:hAnsi="Garamond" w:cs="Times New Roman"/>
        </w:rPr>
        <w:t xml:space="preserve"> </w:t>
      </w:r>
      <w:r w:rsidR="00BE2DC6" w:rsidRPr="00163C1E">
        <w:rPr>
          <w:rFonts w:ascii="Garamond" w:hAnsi="Garamond" w:cs="Times New Roman"/>
        </w:rPr>
        <w:t>is</w:t>
      </w:r>
      <w:r w:rsidR="008975A3" w:rsidRPr="00163C1E">
        <w:rPr>
          <w:rFonts w:ascii="Garamond" w:hAnsi="Garamond" w:cs="Times New Roman"/>
        </w:rPr>
        <w:t xml:space="preserve"> </w:t>
      </w:r>
      <w:r w:rsidR="008975A3" w:rsidRPr="00163C1E">
        <w:rPr>
          <w:rFonts w:ascii="Garamond" w:hAnsi="Garamond" w:cs="Times New Roman"/>
        </w:rPr>
        <w:fldChar w:fldCharType="begin"/>
      </w:r>
      <w:r w:rsidR="00BB146B" w:rsidRPr="00163C1E">
        <w:rPr>
          <w:rFonts w:ascii="Garamond" w:hAnsi="Garamond" w:cs="Times New Roman"/>
        </w:rPr>
        <w:instrText xml:space="preserve"> ADDIN ZOTERO_ITEM CSL_CITATION {"citationID":"EbYE1uvE","properties":{"unsorted":false,"formattedCitation":"(de Haas, 2021)","plainCitation":"(de Haas, 2021)","dontUpdate":true,"noteIndex":0},"citationItems":[{"id":17,"uris":["http://zotero.org/users/18422904/items/XPQ54UP6"],"itemData":{"id":17,"type":"article-journal","abstract":"This paper elaborates an aspirations–capabilities framework to advance our understanding of human mobility as an intrinsic part of broader processes of social change. In order to achieve a more meaningful understanding of agency and structure in migration processes, this framework conceptualises migration as a function of aspirations and capabilities to migrate within given sets of perceived geographical opportunity structures. It distinguishes between the instrumental (means-to-an-end) and intrinsic (directly wellbeing-affecting) dimensions of human mobility. This yields a vision in which moving and staying are seen as complementary manifestations of migratory agency and in which human mobility is defined as people’s capability to choose where to live, including the option to stay, rather than as the act of moving or migrating itself. Drawing on Berlin’s concepts of positive and negative liberty (as manifestations of the widely varying structural conditions under which migration occurs) this paper conceptualises how macro-structural change shapes people’s migratory aspirations and capabilities. The resulting framework helps to understand the complex and often counter-intuitive ways in which processes of social transformation and ‘development’ shape patterns of migration and enable us to integrate the analysis of almost all forms of migratory mobility within one meta-conceptual framework.","container-title":"Comparative Migration Studies","DOI":"10.1186/s40878-020-00210-4","ISSN":"2214-594X","issue":"1","journalAbbreviation":"CMS","language":"en","page":"8","source":"Springer Link","title":"A theory of migration: the aspirations-capabilities framework","title-short":"A theory of migration","volume":"9","author":[{"family":"Haas","given":"Hein","non-dropping-particle":"de"}],"issued":{"date-parts":[["2021",2,24]]}}}],"schema":"https://github.com/citation-style-language/schema/raw/master/csl-citation.json"} </w:instrText>
      </w:r>
      <w:r w:rsidR="008975A3" w:rsidRPr="00163C1E">
        <w:rPr>
          <w:rFonts w:ascii="Garamond" w:hAnsi="Garamond" w:cs="Times New Roman"/>
        </w:rPr>
        <w:fldChar w:fldCharType="separate"/>
      </w:r>
      <w:r w:rsidR="008975A3" w:rsidRPr="00163C1E">
        <w:rPr>
          <w:rFonts w:ascii="Garamond" w:hAnsi="Garamond"/>
        </w:rPr>
        <w:t>de Haas</w:t>
      </w:r>
      <w:r w:rsidR="00405607" w:rsidRPr="00163C1E">
        <w:rPr>
          <w:rFonts w:ascii="Garamond" w:hAnsi="Garamond"/>
        </w:rPr>
        <w:t>'s</w:t>
      </w:r>
      <w:r w:rsidR="008975A3" w:rsidRPr="00163C1E">
        <w:rPr>
          <w:rFonts w:ascii="Garamond" w:hAnsi="Garamond"/>
        </w:rPr>
        <w:t xml:space="preserve"> (2021)</w:t>
      </w:r>
      <w:r w:rsidR="008975A3" w:rsidRPr="00163C1E">
        <w:rPr>
          <w:rFonts w:ascii="Garamond" w:hAnsi="Garamond" w:cs="Times New Roman"/>
        </w:rPr>
        <w:fldChar w:fldCharType="end"/>
      </w:r>
      <w:r w:rsidR="00BE2DC6" w:rsidRPr="00163C1E">
        <w:rPr>
          <w:rFonts w:ascii="Garamond" w:hAnsi="Garamond" w:cs="Times New Roman"/>
        </w:rPr>
        <w:t xml:space="preserve"> aspirations-capability framework. According to this framework</w:t>
      </w:r>
      <w:r w:rsidR="00405607" w:rsidRPr="00163C1E">
        <w:rPr>
          <w:rFonts w:ascii="Garamond" w:hAnsi="Garamond" w:cs="Times New Roman"/>
        </w:rPr>
        <w:t>,</w:t>
      </w:r>
      <w:r w:rsidR="00BE2DC6" w:rsidRPr="00163C1E">
        <w:rPr>
          <w:rFonts w:ascii="Garamond" w:hAnsi="Garamond" w:cs="Times New Roman"/>
        </w:rPr>
        <w:t xml:space="preserve"> migration is </w:t>
      </w:r>
      <w:r w:rsidR="00DF05E7" w:rsidRPr="00163C1E">
        <w:rPr>
          <w:rFonts w:ascii="Garamond" w:hAnsi="Garamond" w:cs="Times New Roman"/>
        </w:rPr>
        <w:t>the</w:t>
      </w:r>
      <w:r w:rsidR="00BE2DC6" w:rsidRPr="00163C1E">
        <w:rPr>
          <w:rFonts w:ascii="Garamond" w:hAnsi="Garamond" w:cs="Times New Roman"/>
        </w:rPr>
        <w:t xml:space="preserve"> result of both people’s aspirations to migrate and their capability to do so</w:t>
      </w:r>
      <w:r w:rsidR="007B7948" w:rsidRPr="00163C1E">
        <w:rPr>
          <w:rFonts w:ascii="Garamond" w:hAnsi="Garamond" w:cs="Times New Roman"/>
        </w:rPr>
        <w:t xml:space="preserve">. </w:t>
      </w:r>
      <w:r w:rsidR="00DF05E7" w:rsidRPr="00163C1E">
        <w:rPr>
          <w:rFonts w:ascii="Garamond" w:hAnsi="Garamond" w:cs="Times New Roman"/>
        </w:rPr>
        <w:t>Within this perspective</w:t>
      </w:r>
      <w:r w:rsidR="00BE2DC6" w:rsidRPr="00163C1E">
        <w:rPr>
          <w:rFonts w:ascii="Garamond" w:hAnsi="Garamond" w:cs="Times New Roman"/>
        </w:rPr>
        <w:t xml:space="preserve">, </w:t>
      </w:r>
      <w:r w:rsidR="00405607" w:rsidRPr="00163C1E">
        <w:rPr>
          <w:rFonts w:ascii="Garamond" w:hAnsi="Garamond" w:cs="Times New Roman"/>
        </w:rPr>
        <w:t xml:space="preserve">immobility </w:t>
      </w:r>
      <w:r w:rsidR="003F757F" w:rsidRPr="00163C1E">
        <w:rPr>
          <w:rFonts w:ascii="Garamond" w:hAnsi="Garamond" w:cs="Times New Roman"/>
        </w:rPr>
        <w:t>could result either from limited aspirations to migrate</w:t>
      </w:r>
      <w:r w:rsidR="00C65141" w:rsidRPr="00163C1E">
        <w:rPr>
          <w:rFonts w:ascii="Garamond" w:hAnsi="Garamond" w:cs="Times New Roman"/>
        </w:rPr>
        <w:t>,</w:t>
      </w:r>
      <w:r w:rsidR="003F757F" w:rsidRPr="00163C1E">
        <w:rPr>
          <w:rFonts w:ascii="Garamond" w:hAnsi="Garamond" w:cs="Times New Roman"/>
        </w:rPr>
        <w:t xml:space="preserve"> from constraints affecting people’s capability to move, or both.</w:t>
      </w:r>
      <w:r w:rsidR="00BE424F" w:rsidRPr="00163C1E">
        <w:rPr>
          <w:rFonts w:ascii="Garamond" w:hAnsi="Garamond" w:cs="Times New Roman"/>
        </w:rPr>
        <w:t xml:space="preserve"> </w:t>
      </w:r>
      <w:r w:rsidR="00C65141" w:rsidRPr="00163C1E">
        <w:rPr>
          <w:rFonts w:ascii="Garamond" w:hAnsi="Garamond" w:cs="Times New Roman"/>
          <w:highlight w:val="red"/>
        </w:rPr>
        <w:t xml:space="preserve">Focusing on </w:t>
      </w:r>
      <w:r w:rsidR="00285002" w:rsidRPr="00163C1E">
        <w:rPr>
          <w:rFonts w:ascii="Garamond" w:hAnsi="Garamond" w:cs="Times New Roman"/>
          <w:highlight w:val="red"/>
        </w:rPr>
        <w:t>the capability to migrate</w:t>
      </w:r>
      <w:r w:rsidR="00C65141" w:rsidRPr="00163C1E">
        <w:rPr>
          <w:rFonts w:ascii="Garamond" w:hAnsi="Garamond" w:cs="Times New Roman"/>
          <w:highlight w:val="red"/>
        </w:rPr>
        <w:t xml:space="preserve">, the </w:t>
      </w:r>
      <w:r w:rsidR="00C65141" w:rsidRPr="00163C1E">
        <w:rPr>
          <w:rFonts w:ascii="Garamond" w:hAnsi="Garamond" w:cs="Times New Roman"/>
          <w:highlight w:val="red"/>
        </w:rPr>
        <w:fldChar w:fldCharType="begin"/>
      </w:r>
      <w:r w:rsidR="00E23890">
        <w:rPr>
          <w:rFonts w:ascii="Garamond" w:hAnsi="Garamond" w:cs="Times New Roman"/>
          <w:highlight w:val="red"/>
        </w:rPr>
        <w:instrText xml:space="preserve"> ADDIN ZOTERO_ITEM CSL_CITATION {"citationID":"ksfSUtTV","properties":{"unsorted":false,"formattedCitation":"(Foresight, 2011)","plainCitation":"(Foresight, 2011)","dontUpdate":true,"noteIndex":0},"citationItems":[{"id":1793,"uris":["http://zotero.org/users/18422904/items/JXWBICP5"],"itemData":{"id":1793,"type":"report","publisher":"Foresight","title":"Migration and Global Environmental Change Future Challenges and Opportunities","URL":"https://www.un.org/development/desa/pd/sites/www.un.org.development.desa.pd/files/unpd-cm10201202-11-1116-migration-and-global-environmental-change.pdf","author":[{"family":"Foresight","given":""}],"issued":{"date-parts":[["2011"]]}}}],"schema":"https://github.com/citation-style-language/schema/raw/master/csl-citation.json"} </w:instrText>
      </w:r>
      <w:r w:rsidR="00C65141" w:rsidRPr="00163C1E">
        <w:rPr>
          <w:rFonts w:ascii="Garamond" w:hAnsi="Garamond" w:cs="Times New Roman"/>
          <w:highlight w:val="red"/>
        </w:rPr>
        <w:fldChar w:fldCharType="separate"/>
      </w:r>
      <w:r w:rsidR="00C65141" w:rsidRPr="00163C1E">
        <w:rPr>
          <w:rFonts w:ascii="Garamond" w:hAnsi="Garamond"/>
          <w:highlight w:val="red"/>
        </w:rPr>
        <w:t>Foresight (2011)</w:t>
      </w:r>
      <w:r w:rsidR="00C65141" w:rsidRPr="00163C1E">
        <w:rPr>
          <w:rFonts w:ascii="Garamond" w:hAnsi="Garamond" w:cs="Times New Roman"/>
          <w:highlight w:val="red"/>
        </w:rPr>
        <w:fldChar w:fldCharType="end"/>
      </w:r>
      <w:r w:rsidR="00C65141" w:rsidRPr="00163C1E">
        <w:rPr>
          <w:rFonts w:ascii="Garamond" w:hAnsi="Garamond" w:cs="Times New Roman"/>
          <w:highlight w:val="red"/>
        </w:rPr>
        <w:t xml:space="preserve"> </w:t>
      </w:r>
      <w:r w:rsidR="00C65141" w:rsidRPr="00163C1E">
        <w:rPr>
          <w:rFonts w:ascii="Garamond" w:hAnsi="Garamond" w:cs="Times New Roman"/>
          <w:highlight w:val="red"/>
        </w:rPr>
        <w:lastRenderedPageBreak/>
        <w:t xml:space="preserve">report noted that </w:t>
      </w:r>
      <w:r w:rsidR="00285002" w:rsidRPr="00163C1E">
        <w:rPr>
          <w:rFonts w:ascii="Garamond" w:hAnsi="Garamond" w:cs="Times New Roman"/>
          <w:highlight w:val="red"/>
        </w:rPr>
        <w:t>impoverished</w:t>
      </w:r>
      <w:r w:rsidR="00C65141" w:rsidRPr="00163C1E">
        <w:rPr>
          <w:rFonts w:ascii="Garamond" w:hAnsi="Garamond" w:cs="Times New Roman"/>
          <w:highlight w:val="red"/>
        </w:rPr>
        <w:t xml:space="preserve"> p</w:t>
      </w:r>
      <w:r w:rsidR="00285002" w:rsidRPr="00163C1E">
        <w:rPr>
          <w:rFonts w:ascii="Garamond" w:hAnsi="Garamond" w:cs="Times New Roman"/>
          <w:highlight w:val="red"/>
        </w:rPr>
        <w:t>eople</w:t>
      </w:r>
      <w:r w:rsidR="00C65141" w:rsidRPr="00163C1E">
        <w:rPr>
          <w:rFonts w:ascii="Garamond" w:hAnsi="Garamond" w:cs="Times New Roman"/>
          <w:highlight w:val="red"/>
        </w:rPr>
        <w:t xml:space="preserve"> face a double</w:t>
      </w:r>
      <w:r w:rsidR="00285002" w:rsidRPr="00163C1E">
        <w:rPr>
          <w:rFonts w:ascii="Garamond" w:hAnsi="Garamond" w:cs="Times New Roman"/>
          <w:highlight w:val="red"/>
        </w:rPr>
        <w:t xml:space="preserve"> risk </w:t>
      </w:r>
      <w:r w:rsidR="00C65141" w:rsidRPr="00163C1E">
        <w:rPr>
          <w:rFonts w:ascii="Garamond" w:hAnsi="Garamond" w:cs="Times New Roman"/>
          <w:highlight w:val="red"/>
        </w:rPr>
        <w:t xml:space="preserve">by </w:t>
      </w:r>
      <w:r w:rsidR="00285002" w:rsidRPr="00163C1E">
        <w:rPr>
          <w:rFonts w:ascii="Garamond" w:hAnsi="Garamond" w:cs="Times New Roman"/>
          <w:highlight w:val="red"/>
        </w:rPr>
        <w:t xml:space="preserve">being both more vulnerable to environmental degradation but also unable to escape from it </w:t>
      </w:r>
      <w:r w:rsidR="00C65141" w:rsidRPr="00163C1E">
        <w:rPr>
          <w:rFonts w:ascii="Garamond" w:hAnsi="Garamond" w:cs="Times New Roman"/>
          <w:highlight w:val="red"/>
        </w:rPr>
        <w:t>due to limited resources</w:t>
      </w:r>
      <w:r w:rsidR="00285002" w:rsidRPr="00163C1E">
        <w:rPr>
          <w:rFonts w:ascii="Garamond" w:hAnsi="Garamond" w:cs="Times New Roman"/>
          <w:highlight w:val="red"/>
        </w:rPr>
        <w:t>.</w:t>
      </w:r>
    </w:p>
    <w:p w14:paraId="39A152EC" w14:textId="02B9B54B" w:rsidR="00310DBD" w:rsidRPr="00163C1E" w:rsidRDefault="007B5A4D" w:rsidP="00D539EF">
      <w:pPr>
        <w:spacing w:line="360" w:lineRule="auto"/>
        <w:jc w:val="both"/>
        <w:rPr>
          <w:rFonts w:ascii="Garamond" w:hAnsi="Garamond" w:cs="Times New Roman"/>
        </w:rPr>
      </w:pPr>
      <w:r w:rsidRPr="00163C1E">
        <w:rPr>
          <w:rFonts w:ascii="Garamond" w:hAnsi="Garamond" w:cs="Times New Roman"/>
        </w:rPr>
        <w:t>Contrary to the previous perspective</w:t>
      </w:r>
      <w:r w:rsidR="00DF05E7" w:rsidRPr="00163C1E">
        <w:rPr>
          <w:rFonts w:ascii="Garamond" w:hAnsi="Garamond" w:cs="Times New Roman"/>
        </w:rPr>
        <w:t>,</w:t>
      </w:r>
      <w:r w:rsidR="00BB146B" w:rsidRPr="00163C1E">
        <w:rPr>
          <w:rFonts w:ascii="Garamond" w:hAnsi="Garamond" w:cs="Times New Roman"/>
        </w:rPr>
        <w:t xml:space="preserve"> </w:t>
      </w:r>
      <w:r w:rsidR="00BB146B" w:rsidRPr="00163C1E">
        <w:rPr>
          <w:rFonts w:ascii="Garamond" w:hAnsi="Garamond" w:cs="Times New Roman"/>
        </w:rPr>
        <w:fldChar w:fldCharType="begin"/>
      </w:r>
      <w:r w:rsidR="00FB539F" w:rsidRPr="00163C1E">
        <w:rPr>
          <w:rFonts w:ascii="Garamond" w:hAnsi="Garamond" w:cs="Times New Roman"/>
        </w:rPr>
        <w:instrText xml:space="preserve"> ADDIN ZOTERO_ITEM CSL_CITATION {"citationID":"Oo24pwqh","properties":{"unsorted":false,"formattedCitation":"(Schewel, 2020)","plainCitation":"(Schewel, 2020)","dontUpdate":true,"noteIndex":0},"citationItems":[{"id":1779,"uris":["http://zotero.org/users/18422904/items/MQMAISN3"],"itemData":{"id":1779,"type":"article-journal","abstract":"This article suggests that there is a mobility bias in migration research: by focusing on the “drivers” of migration — the forces that lead to the initiation and perpetuation of migration flows — migration theories neglect the countervailing structural and personal forces that restrict or resist these drivers and lead to different immobility outcomes. To advance a research agenda on immobility, it offers a definition of immobility, further develops the aspiration-capability framework as an analytical tool for exploring the determinants of different forms of (im)mobility, synthesizes decades of interdisciplinary research to help explain why people do not migrate or desire to migrate, and considers future directions for further qualitative and quantitative research on immobility.","container-title":"International Migration Review","DOI":"10.1177/0197918319831952","ISSN":"0197-9183","issue":"2","language":"EN","page":"328-355","publisher":"SAGE Publications Inc","source":"SAGE Journals","title":"Understanding Immobility: Moving Beyond the Mobility Bias in Migration Studies","title-short":"Understanding Immobility","volume":"54","author":[{"family":"Schewel","given":"Kerilyn"}],"issued":{"date-parts":[["2020",6,1]]}}}],"schema":"https://github.com/citation-style-language/schema/raw/master/csl-citation.json"} </w:instrText>
      </w:r>
      <w:r w:rsidR="00BB146B" w:rsidRPr="00163C1E">
        <w:rPr>
          <w:rFonts w:ascii="Garamond" w:hAnsi="Garamond" w:cs="Times New Roman"/>
        </w:rPr>
        <w:fldChar w:fldCharType="separate"/>
      </w:r>
      <w:r w:rsidR="00BB146B" w:rsidRPr="00163C1E">
        <w:rPr>
          <w:rFonts w:ascii="Garamond" w:hAnsi="Garamond"/>
        </w:rPr>
        <w:t>Schewel (2020)</w:t>
      </w:r>
      <w:r w:rsidR="00BB146B" w:rsidRPr="00163C1E">
        <w:rPr>
          <w:rFonts w:ascii="Garamond" w:hAnsi="Garamond" w:cs="Times New Roman"/>
        </w:rPr>
        <w:fldChar w:fldCharType="end"/>
      </w:r>
      <w:r w:rsidR="00C66795" w:rsidRPr="00163C1E">
        <w:rPr>
          <w:rFonts w:ascii="Garamond" w:hAnsi="Garamond" w:cs="Times New Roman"/>
        </w:rPr>
        <w:t xml:space="preserve"> and</w:t>
      </w:r>
      <w:r w:rsidR="00BB146B" w:rsidRPr="00163C1E">
        <w:rPr>
          <w:rFonts w:ascii="Garamond" w:hAnsi="Garamond" w:cs="Times New Roman"/>
        </w:rPr>
        <w:t xml:space="preserve"> </w:t>
      </w:r>
      <w:r w:rsidR="00FB539F" w:rsidRPr="00163C1E">
        <w:rPr>
          <w:rFonts w:ascii="Garamond" w:hAnsi="Garamond" w:cs="Times New Roman"/>
        </w:rPr>
        <w:fldChar w:fldCharType="begin"/>
      </w:r>
      <w:r w:rsidR="00815CFD" w:rsidRPr="00163C1E">
        <w:rPr>
          <w:rFonts w:ascii="Garamond" w:hAnsi="Garamond" w:cs="Times New Roman"/>
        </w:rPr>
        <w:instrText xml:space="preserve"> ADDIN ZOTERO_ITEM CSL_CITATION {"citationID":"J1VVKwx5","properties":{"unsorted":false,"formattedCitation":"(de Haas, 2021)","plainCitation":"(de Haas, 2021)","dontUpdate":true,"noteIndex":0},"citationItems":[{"id":17,"uris":["http://zotero.org/users/18422904/items/XPQ54UP6"],"itemData":{"id":17,"type":"article-journal","abstract":"This paper elaborates an aspirations–capabilities framework to advance our understanding of human mobility as an intrinsic part of broader processes of social change. In order to achieve a more meaningful understanding of agency and structure in migration processes, this framework conceptualises migration as a function of aspirations and capabilities to migrate within given sets of perceived geographical opportunity structures. It distinguishes between the instrumental (means-to-an-end) and intrinsic (directly wellbeing-affecting) dimensions of human mobility. This yields a vision in which moving and staying are seen as complementary manifestations of migratory agency and in which human mobility is defined as people’s capability to choose where to live, including the option to stay, rather than as the act of moving or migrating itself. Drawing on Berlin’s concepts of positive and negative liberty (as manifestations of the widely varying structural conditions under which migration occurs) this paper conceptualises how macro-structural change shapes people’s migratory aspirations and capabilities. The resulting framework helps to understand the complex and often counter-intuitive ways in which processes of social transformation and ‘development’ shape patterns of migration and enable us to integrate the analysis of almost all forms of migratory mobility within one meta-conceptual framework.","container-title":"Comparative Migration Studies","DOI":"10.1186/s40878-020-00210-4","ISSN":"2214-594X","issue":"1","journalAbbreviation":"CMS","language":"en","page":"8","source":"Springer Link","title":"A theory of migration: the aspirations-capabilities framework","title-short":"A theory of migration","volume":"9","author":[{"family":"Haas","given":"Hein","non-dropping-particle":"de"}],"issued":{"date-parts":[["2021",2,24]]}}}],"schema":"https://github.com/citation-style-language/schema/raw/master/csl-citation.json"} </w:instrText>
      </w:r>
      <w:r w:rsidR="00FB539F" w:rsidRPr="00163C1E">
        <w:rPr>
          <w:rFonts w:ascii="Garamond" w:hAnsi="Garamond" w:cs="Times New Roman"/>
        </w:rPr>
        <w:fldChar w:fldCharType="separate"/>
      </w:r>
      <w:r w:rsidR="00FB539F" w:rsidRPr="00163C1E">
        <w:rPr>
          <w:rFonts w:ascii="Garamond" w:hAnsi="Garamond"/>
        </w:rPr>
        <w:t>de Haas, (2021)</w:t>
      </w:r>
      <w:r w:rsidR="00FB539F" w:rsidRPr="00163C1E">
        <w:rPr>
          <w:rFonts w:ascii="Garamond" w:hAnsi="Garamond" w:cs="Times New Roman"/>
        </w:rPr>
        <w:fldChar w:fldCharType="end"/>
      </w:r>
      <w:r w:rsidR="00FB539F" w:rsidRPr="00163C1E">
        <w:rPr>
          <w:rFonts w:ascii="Garamond" w:hAnsi="Garamond" w:cs="Times New Roman"/>
        </w:rPr>
        <w:t xml:space="preserve"> </w:t>
      </w:r>
      <w:r w:rsidR="00C66795" w:rsidRPr="00163C1E">
        <w:rPr>
          <w:rFonts w:ascii="Garamond" w:hAnsi="Garamond" w:cs="Times New Roman"/>
        </w:rPr>
        <w:t>war</w:t>
      </w:r>
      <w:r w:rsidR="00310DBD" w:rsidRPr="00163C1E">
        <w:rPr>
          <w:rFonts w:ascii="Garamond" w:hAnsi="Garamond" w:cs="Times New Roman"/>
        </w:rPr>
        <w:t>n</w:t>
      </w:r>
      <w:r w:rsidR="00C66795" w:rsidRPr="00163C1E">
        <w:rPr>
          <w:rFonts w:ascii="Garamond" w:hAnsi="Garamond" w:cs="Times New Roman"/>
        </w:rPr>
        <w:t xml:space="preserve"> against assuming that all immobile people lack agency </w:t>
      </w:r>
      <w:r w:rsidR="003F757F" w:rsidRPr="00163C1E">
        <w:rPr>
          <w:rFonts w:ascii="Garamond" w:hAnsi="Garamond" w:cs="Times New Roman"/>
        </w:rPr>
        <w:t xml:space="preserve">or mobility capabilities. Indeed, </w:t>
      </w:r>
      <w:r w:rsidR="00DF05E7" w:rsidRPr="00163C1E">
        <w:rPr>
          <w:rFonts w:ascii="Garamond" w:hAnsi="Garamond" w:cs="Times New Roman"/>
        </w:rPr>
        <w:t xml:space="preserve">previous research </w:t>
      </w:r>
      <w:r w:rsidR="003F757F" w:rsidRPr="00163C1E">
        <w:rPr>
          <w:rFonts w:ascii="Garamond" w:hAnsi="Garamond" w:cs="Times New Roman"/>
        </w:rPr>
        <w:t xml:space="preserve">has shown that even in environmentally exposed areas many households remain voluntarily due to factors such as place attachment </w:t>
      </w:r>
      <w:r w:rsidR="003F757F" w:rsidRPr="00163C1E">
        <w:rPr>
          <w:rFonts w:ascii="Garamond" w:hAnsi="Garamond" w:cs="Times New Roman"/>
        </w:rPr>
        <w:fldChar w:fldCharType="begin"/>
      </w:r>
      <w:r w:rsidR="003F757F" w:rsidRPr="00163C1E">
        <w:rPr>
          <w:rFonts w:ascii="Garamond" w:hAnsi="Garamond" w:cs="Times New Roman"/>
        </w:rPr>
        <w:instrText xml:space="preserve"> ADDIN ZOTERO_ITEM CSL_CITATION {"citationID":"8gwzA0TA","properties":{"unsorted":false,"formattedCitation":"(Adams, 2016)","plainCitation":"(Adams, 2016)","noteIndex":0},"citationItems":[{"id":1791,"uris":["http://zotero.org/users/18422904/items/B8WHIT8A"],"itemData":{"id":1791,"type":"article-journal","abstract":"Explanations of relationships between migration and environmental change now focus on multiple interactions, risks in destination and immobility. This research applies behavioural migration theory to examine the extent to which immobile populations experiencing environmental degradation exercise agency with respect to location and, in doing so, elucidates what it means to be trapped. This research uses individual survey data from a migrant-sending area in highland Peru where the population experiences negative health and livelihood impacts from climate-related phenomena. Analysis of these data reveals three reasons for non-migration: high levels of satisfaction, resource barriers and low mobility potential. Immobility in dissatisfied people is more likely to be caused by attachment to place than resource constraints. Thus, the results suggest that trapped populations exist along a continuum. This highlights the need for policy responses differentiated by the mobility characteristics and preferences of the individual. Caution, therefore, must be exercised when labelling populations as trapped and promoting relocation.","container-title":"Population and Environment","DOI":"10.1007/s11111-015-0246-3","ISSN":"1573-7810","issue":"4","journalAbbreviation":"Popul Environ","language":"en","page":"429-448","source":"Springer Link","title":"Why populations persist: mobility, place attachment and climate change","title-short":"Why populations persist","volume":"37","author":[{"family":"Adams","given":"Helen"}],"issued":{"date-parts":[["2016",6,1]]}}}],"schema":"https://github.com/citation-style-language/schema/raw/master/csl-citation.json"} </w:instrText>
      </w:r>
      <w:r w:rsidR="003F757F" w:rsidRPr="00163C1E">
        <w:rPr>
          <w:rFonts w:ascii="Garamond" w:hAnsi="Garamond" w:cs="Times New Roman"/>
        </w:rPr>
        <w:fldChar w:fldCharType="separate"/>
      </w:r>
      <w:r w:rsidR="003F757F" w:rsidRPr="00163C1E">
        <w:rPr>
          <w:rFonts w:ascii="Garamond" w:hAnsi="Garamond"/>
        </w:rPr>
        <w:t>(Adams, 2016)</w:t>
      </w:r>
      <w:r w:rsidR="003F757F" w:rsidRPr="00163C1E">
        <w:rPr>
          <w:rFonts w:ascii="Garamond" w:hAnsi="Garamond" w:cs="Times New Roman"/>
        </w:rPr>
        <w:fldChar w:fldCharType="end"/>
      </w:r>
      <w:r w:rsidR="003F757F" w:rsidRPr="00163C1E">
        <w:rPr>
          <w:rFonts w:ascii="Garamond" w:hAnsi="Garamond" w:cs="Times New Roman"/>
        </w:rPr>
        <w:t>.</w:t>
      </w:r>
      <w:r w:rsidR="00C63437" w:rsidRPr="00163C1E">
        <w:rPr>
          <w:rFonts w:ascii="Garamond" w:hAnsi="Garamond" w:cs="Times New Roman"/>
        </w:rPr>
        <w:t xml:space="preserve"> </w:t>
      </w:r>
      <w:r w:rsidR="001641F5">
        <w:rPr>
          <w:rFonts w:ascii="Garamond" w:hAnsi="Garamond" w:cs="Times New Roman"/>
        </w:rPr>
        <w:t>Similarly</w:t>
      </w:r>
      <w:r w:rsidR="00C63437" w:rsidRPr="00163C1E">
        <w:rPr>
          <w:rFonts w:ascii="Garamond" w:hAnsi="Garamond" w:cs="Times New Roman"/>
        </w:rPr>
        <w:t xml:space="preserve">, </w:t>
      </w:r>
      <w:r w:rsidR="00C63437" w:rsidRPr="00163C1E">
        <w:rPr>
          <w:rFonts w:ascii="Garamond" w:hAnsi="Garamond" w:cs="Times New Roman"/>
        </w:rPr>
        <w:fldChar w:fldCharType="begin"/>
      </w:r>
      <w:r w:rsidR="00815CFD" w:rsidRPr="00163C1E">
        <w:rPr>
          <w:rFonts w:ascii="Garamond" w:hAnsi="Garamond" w:cs="Times New Roman"/>
        </w:rPr>
        <w:instrText xml:space="preserve"> ADDIN ZOTERO_ITEM CSL_CITATION {"citationID":"1wN6TWDn","properties":{"unsorted":false,"formattedCitation":"(Ahsan et\\uc0\\u160{}al., 2021)","plainCitation":"(Ahsan et al., 2021)","dontUpdate":true,"noteIndex":0},"citationItems":[{"id":12,"uris":["http://zotero.org/users/18422904/items/XYANKIFK"],"itemData":{"id":12,"type":"article-journal","abstract":"Despite confronting severe climatic risks, many people prefer to remain in climate hazard-prone areas rather than migrate. Environmental non-migration behavior, however, has gained relatively little research attention in the field of migration processes. This study aims to unveil the determinants motivating voluntary environmental non-migration decisions in coastal Bangladesh, an area highly exposed to flooding and other climate-related hazards (e.g., soil salinization). Applying a systematic random sampling, we selected 556 household respondents for a questionnaire survey from 14 villages of two coastal districts: Khulna and Satkhira. Applying a mixed method (i.e., both quantitative and qualitative) approach, major empirical results of this study suggest that even though all respondents lived in a similar situation in terms of climatic hazard and exposure, 88% of the respondents reported themselves as voluntary non-migrants. Furthermore, these non-migrants enjoyed higher socioeconomic and sociopsychological advantages and availed more local support from different government and non-government organizations than involuntary non-migrants. Again, mutual assistance, connection with social groups, natural resource access, sense of secured livelihood, stable societal atmosphere, and participation in decision-making in society appeared to build their higher degree of social capital $$({\\chi }^{2}\\left(4\\right)=57.80;p&lt;0.000)$$compared to involuntary non-migrants. All these features lead to a favorable environment that ultimately drove the respondents to become voluntary non-migrants.","container-title":"Regional Environmental Change","DOI":"10.1007/s10113-021-01864-1","ISSN":"1436-378X","issue":"1","journalAbbreviation":"Reg Environ Change","language":"en","page":"1","source":"Springer Link","title":"Promise, premise, and reality: the case of voluntary environmental non-migration despite climate risks in coastal Bangladesh","title-short":"Promise, premise, and reality","volume":"22","author":[{"family":"Ahsan","given":"Md. Nasif"},{"family":"Khatun","given":"Fatema"},{"family":"Kumar","given":"Pankaj"},{"family":"Dasgupta","given":"Rajarshi"},{"family":"Johnson","given":"Brian Alan"},{"family":"Shaw","given":"Rajib"}],"issued":{"date-parts":[["2021",12,11]]}}}],"schema":"https://github.com/citation-style-language/schema/raw/master/csl-citation.json"} </w:instrText>
      </w:r>
      <w:r w:rsidR="00C63437" w:rsidRPr="00163C1E">
        <w:rPr>
          <w:rFonts w:ascii="Garamond" w:hAnsi="Garamond" w:cs="Times New Roman"/>
        </w:rPr>
        <w:fldChar w:fldCharType="separate"/>
      </w:r>
      <w:r w:rsidR="00C63437" w:rsidRPr="00163C1E">
        <w:rPr>
          <w:rFonts w:ascii="Garamond" w:hAnsi="Garamond" w:cs="Times New Roman"/>
          <w:kern w:val="0"/>
        </w:rPr>
        <w:t>Ahsan et al.'s (2021)</w:t>
      </w:r>
      <w:r w:rsidR="00C63437" w:rsidRPr="00163C1E">
        <w:rPr>
          <w:rFonts w:ascii="Garamond" w:hAnsi="Garamond" w:cs="Times New Roman"/>
        </w:rPr>
        <w:fldChar w:fldCharType="end"/>
      </w:r>
      <w:r w:rsidR="00C63437" w:rsidRPr="00163C1E">
        <w:rPr>
          <w:rFonts w:ascii="Garamond" w:hAnsi="Garamond" w:cs="Times New Roman"/>
        </w:rPr>
        <w:t xml:space="preserve"> study found that in Coastal Bangladesh 88% of respondents recognized themselves as voluntary non-migrants </w:t>
      </w:r>
      <w:r w:rsidR="005B63A8" w:rsidRPr="00163C1E">
        <w:rPr>
          <w:rFonts w:ascii="Garamond" w:hAnsi="Garamond" w:cs="Times New Roman"/>
        </w:rPr>
        <w:t>despite</w:t>
      </w:r>
      <w:r w:rsidR="00C63437" w:rsidRPr="00163C1E">
        <w:rPr>
          <w:rFonts w:ascii="Garamond" w:hAnsi="Garamond" w:cs="Times New Roman"/>
        </w:rPr>
        <w:t xml:space="preserve"> living in an environmentally </w:t>
      </w:r>
      <w:r w:rsidR="005B63A8" w:rsidRPr="00163C1E">
        <w:rPr>
          <w:rFonts w:ascii="Garamond" w:hAnsi="Garamond" w:cs="Times New Roman"/>
        </w:rPr>
        <w:t>exposed</w:t>
      </w:r>
      <w:r w:rsidR="00C63437" w:rsidRPr="00163C1E">
        <w:rPr>
          <w:rFonts w:ascii="Garamond" w:hAnsi="Garamond" w:cs="Times New Roman"/>
        </w:rPr>
        <w:t xml:space="preserve"> area. Furthermore, the authors also found significant differences between the voluntary </w:t>
      </w:r>
      <w:r w:rsidR="00285002" w:rsidRPr="00163C1E">
        <w:rPr>
          <w:rFonts w:ascii="Garamond" w:hAnsi="Garamond" w:cs="Times New Roman"/>
        </w:rPr>
        <w:t xml:space="preserve">and non-voluntary </w:t>
      </w:r>
      <w:r w:rsidR="00C63437" w:rsidRPr="00163C1E">
        <w:rPr>
          <w:rFonts w:ascii="Garamond" w:hAnsi="Garamond" w:cs="Times New Roman"/>
        </w:rPr>
        <w:t>non-migrants</w:t>
      </w:r>
      <w:r w:rsidR="005B63A8" w:rsidRPr="00163C1E">
        <w:rPr>
          <w:rFonts w:ascii="Garamond" w:hAnsi="Garamond" w:cs="Times New Roman"/>
        </w:rPr>
        <w:t xml:space="preserve">. Compared to </w:t>
      </w:r>
      <w:r w:rsidR="00EF5AA5" w:rsidRPr="00163C1E">
        <w:rPr>
          <w:rFonts w:ascii="Garamond" w:hAnsi="Garamond" w:cs="Times New Roman"/>
        </w:rPr>
        <w:t>the later</w:t>
      </w:r>
      <w:r w:rsidR="005B63A8" w:rsidRPr="00163C1E">
        <w:rPr>
          <w:rFonts w:ascii="Garamond" w:hAnsi="Garamond" w:cs="Times New Roman"/>
        </w:rPr>
        <w:t xml:space="preserve">, voluntary non-migrants had higher socioeconomic and sociopsychological advantages as well as greater access to governmental and non-governmental support networks </w:t>
      </w:r>
      <w:r w:rsidR="005B63A8" w:rsidRPr="00163C1E">
        <w:rPr>
          <w:rFonts w:ascii="Garamond" w:hAnsi="Garamond" w:cs="Times New Roman"/>
        </w:rPr>
        <w:fldChar w:fldCharType="begin"/>
      </w:r>
      <w:r w:rsidR="005B63A8" w:rsidRPr="00163C1E">
        <w:rPr>
          <w:rFonts w:ascii="Garamond" w:hAnsi="Garamond" w:cs="Times New Roman"/>
        </w:rPr>
        <w:instrText xml:space="preserve"> ADDIN ZOTERO_ITEM CSL_CITATION {"citationID":"vwlMJ0qq","properties":{"unsorted":false,"formattedCitation":"(Ahsan et\\uc0\\u160{}al., 2021)","plainCitation":"(Ahsan et al., 2021)","noteIndex":0},"citationItems":[{"id":12,"uris":["http://zotero.org/users/18422904/items/XYANKIFK"],"itemData":{"id":12,"type":"article-journal","abstract":"Despite confronting severe climatic risks, many people prefer to remain in climate hazard-prone areas rather than migrate. Environmental non-migration behavior, however, has gained relatively little research attention in the field of migration processes. This study aims to unveil the determinants motivating voluntary environmental non-migration decisions in coastal Bangladesh, an area highly exposed to flooding and other climate-related hazards (e.g., soil salinization). Applying a systematic random sampling, we selected 556 household respondents for a questionnaire survey from 14 villages of two coastal districts: Khulna and Satkhira. Applying a mixed method (i.e., both quantitative and qualitative) approach, major empirical results of this study suggest that even though all respondents lived in a similar situation in terms of climatic hazard and exposure, 88% of the respondents reported themselves as voluntary non-migrants. Furthermore, these non-migrants enjoyed higher socioeconomic and sociopsychological advantages and availed more local support from different government and non-government organizations than involuntary non-migrants. Again, mutual assistance, connection with social groups, natural resource access, sense of secured livelihood, stable societal atmosphere, and participation in decision-making in society appeared to build their higher degree of social capital $$({\\chi }^{2}\\left(4\\right)=57.80;p&lt;0.000)$$compared to involuntary non-migrants. All these features lead to a favorable environment that ultimately drove the respondents to become voluntary non-migrants.","container-title":"Regional Environmental Change","DOI":"10.1007/s10113-021-01864-1","ISSN":"1436-378X","issue":"1","journalAbbreviation":"Reg Environ Change","language":"en","page":"1","source":"Springer Link","title":"Promise, premise, and reality: the case of voluntary environmental non-migration despite climate risks in coastal Bangladesh","title-short":"Promise, premise, and reality","volume":"22","author":[{"family":"Ahsan","given":"Md. Nasif"},{"family":"Khatun","given":"Fatema"},{"family":"Kumar","given":"Pankaj"},{"family":"Dasgupta","given":"Rajarshi"},{"family":"Johnson","given":"Brian Alan"},{"family":"Shaw","given":"Rajib"}],"issued":{"date-parts":[["2021",12,11]]}}}],"schema":"https://github.com/citation-style-language/schema/raw/master/csl-citation.json"} </w:instrText>
      </w:r>
      <w:r w:rsidR="005B63A8" w:rsidRPr="00163C1E">
        <w:rPr>
          <w:rFonts w:ascii="Garamond" w:hAnsi="Garamond" w:cs="Times New Roman"/>
        </w:rPr>
        <w:fldChar w:fldCharType="separate"/>
      </w:r>
      <w:r w:rsidR="005B63A8" w:rsidRPr="00163C1E">
        <w:rPr>
          <w:rFonts w:ascii="Garamond" w:hAnsi="Garamond" w:cs="Times New Roman"/>
          <w:kern w:val="0"/>
        </w:rPr>
        <w:t>(Ahsan et al., 2021)</w:t>
      </w:r>
      <w:r w:rsidR="005B63A8" w:rsidRPr="00163C1E">
        <w:rPr>
          <w:rFonts w:ascii="Garamond" w:hAnsi="Garamond" w:cs="Times New Roman"/>
        </w:rPr>
        <w:fldChar w:fldCharType="end"/>
      </w:r>
      <w:r w:rsidR="00C63437" w:rsidRPr="00163C1E">
        <w:rPr>
          <w:rFonts w:ascii="Garamond" w:hAnsi="Garamond" w:cs="Times New Roman"/>
        </w:rPr>
        <w:t xml:space="preserve">. </w:t>
      </w:r>
      <w:r w:rsidR="00310DBD" w:rsidRPr="00163C1E">
        <w:rPr>
          <w:rFonts w:ascii="Garamond" w:hAnsi="Garamond"/>
        </w:rPr>
        <w:t xml:space="preserve">These differences suggest that </w:t>
      </w:r>
      <w:r w:rsidR="00351255">
        <w:rPr>
          <w:rFonts w:ascii="Garamond" w:hAnsi="Garamond"/>
        </w:rPr>
        <w:t xml:space="preserve">correctly </w:t>
      </w:r>
      <w:r w:rsidR="00BC05DD">
        <w:rPr>
          <w:rFonts w:ascii="Garamond" w:hAnsi="Garamond"/>
        </w:rPr>
        <w:t>differentiating between</w:t>
      </w:r>
      <w:r w:rsidR="00310DBD" w:rsidRPr="00163C1E">
        <w:rPr>
          <w:rFonts w:ascii="Garamond" w:hAnsi="Garamond"/>
        </w:rPr>
        <w:t xml:space="preserve"> immobile populations</w:t>
      </w:r>
      <w:r w:rsidR="00BC05DD">
        <w:rPr>
          <w:rFonts w:ascii="Garamond" w:hAnsi="Garamond"/>
        </w:rPr>
        <w:t xml:space="preserve"> that</w:t>
      </w:r>
      <w:r w:rsidR="00310DBD" w:rsidRPr="00163C1E">
        <w:rPr>
          <w:rFonts w:ascii="Garamond" w:hAnsi="Garamond"/>
        </w:rPr>
        <w:t xml:space="preserve"> are effectively constrained from migrating </w:t>
      </w:r>
      <w:r w:rsidR="00BC05DD">
        <w:rPr>
          <w:rFonts w:ascii="Garamond" w:hAnsi="Garamond"/>
        </w:rPr>
        <w:t xml:space="preserve">and those that </w:t>
      </w:r>
      <w:r w:rsidR="007B6E27">
        <w:rPr>
          <w:rFonts w:ascii="Garamond" w:hAnsi="Garamond"/>
        </w:rPr>
        <w:t>are not, is</w:t>
      </w:r>
      <w:r w:rsidR="00BC05DD">
        <w:rPr>
          <w:rFonts w:ascii="Garamond" w:hAnsi="Garamond"/>
        </w:rPr>
        <w:t xml:space="preserve"> crucial</w:t>
      </w:r>
      <w:r w:rsidR="00310DBD" w:rsidRPr="00163C1E">
        <w:rPr>
          <w:rFonts w:ascii="Garamond" w:hAnsi="Garamond"/>
        </w:rPr>
        <w:t xml:space="preserve">, as </w:t>
      </w:r>
      <w:r w:rsidR="00BC05DD">
        <w:rPr>
          <w:rFonts w:ascii="Garamond" w:hAnsi="Garamond"/>
        </w:rPr>
        <w:t>the first</w:t>
      </w:r>
      <w:r w:rsidRPr="00163C1E">
        <w:rPr>
          <w:rFonts w:ascii="Garamond" w:hAnsi="Garamond"/>
        </w:rPr>
        <w:t xml:space="preserve"> </w:t>
      </w:r>
      <w:r w:rsidR="00310DBD" w:rsidRPr="00163C1E">
        <w:rPr>
          <w:rFonts w:ascii="Garamond" w:hAnsi="Garamond"/>
        </w:rPr>
        <w:t>may require</w:t>
      </w:r>
      <w:r w:rsidR="002E70F6" w:rsidRPr="00163C1E">
        <w:rPr>
          <w:rFonts w:ascii="Garamond" w:hAnsi="Garamond"/>
        </w:rPr>
        <w:t>,</w:t>
      </w:r>
      <w:r w:rsidR="00310DBD" w:rsidRPr="00163C1E">
        <w:rPr>
          <w:rFonts w:ascii="Garamond" w:hAnsi="Garamond"/>
        </w:rPr>
        <w:t xml:space="preserve"> </w:t>
      </w:r>
      <w:r w:rsidR="00075A04" w:rsidRPr="00163C1E">
        <w:rPr>
          <w:rFonts w:ascii="Garamond" w:hAnsi="Garamond"/>
        </w:rPr>
        <w:t>not only more</w:t>
      </w:r>
      <w:r w:rsidR="002E70F6" w:rsidRPr="00163C1E">
        <w:rPr>
          <w:rFonts w:ascii="Garamond" w:hAnsi="Garamond"/>
        </w:rPr>
        <w:t>,</w:t>
      </w:r>
      <w:r w:rsidR="00075A04" w:rsidRPr="00163C1E">
        <w:rPr>
          <w:rFonts w:ascii="Garamond" w:hAnsi="Garamond"/>
        </w:rPr>
        <w:t xml:space="preserve"> but also</w:t>
      </w:r>
      <w:r w:rsidRPr="00163C1E">
        <w:rPr>
          <w:rFonts w:ascii="Garamond" w:hAnsi="Garamond"/>
        </w:rPr>
        <w:t xml:space="preserve"> </w:t>
      </w:r>
      <w:r w:rsidR="00310DBD" w:rsidRPr="00163C1E">
        <w:rPr>
          <w:rFonts w:ascii="Garamond" w:hAnsi="Garamond"/>
        </w:rPr>
        <w:t>different forms of</w:t>
      </w:r>
      <w:r w:rsidR="00351255">
        <w:rPr>
          <w:rFonts w:ascii="Garamond" w:hAnsi="Garamond"/>
        </w:rPr>
        <w:t xml:space="preserve"> </w:t>
      </w:r>
      <w:r w:rsidR="00310DBD" w:rsidRPr="00163C1E">
        <w:rPr>
          <w:rFonts w:ascii="Garamond" w:hAnsi="Garamond"/>
        </w:rPr>
        <w:t>support</w:t>
      </w:r>
      <w:r w:rsidR="00351255">
        <w:rPr>
          <w:rFonts w:ascii="Garamond" w:hAnsi="Garamond"/>
        </w:rPr>
        <w:t xml:space="preserve"> and policy approaches</w:t>
      </w:r>
      <w:r w:rsidR="00310DBD" w:rsidRPr="00163C1E">
        <w:rPr>
          <w:rFonts w:ascii="Garamond" w:hAnsi="Garamond"/>
        </w:rPr>
        <w:t xml:space="preserve"> than </w:t>
      </w:r>
      <w:r w:rsidR="007B6E27">
        <w:rPr>
          <w:rFonts w:ascii="Garamond" w:hAnsi="Garamond"/>
        </w:rPr>
        <w:t>the later</w:t>
      </w:r>
      <w:r w:rsidR="004E7763" w:rsidRPr="008B4E93">
        <w:rPr>
          <w:rStyle w:val="FootnoteReference"/>
        </w:rPr>
        <w:footnoteReference w:id="1"/>
      </w:r>
      <w:r w:rsidR="00310DBD" w:rsidRPr="00163C1E">
        <w:rPr>
          <w:rFonts w:ascii="Garamond" w:hAnsi="Garamond"/>
        </w:rPr>
        <w:t>.</w:t>
      </w:r>
    </w:p>
    <w:p w14:paraId="7A7AC2AB" w14:textId="111F3D45" w:rsidR="00E46549" w:rsidRPr="00163C1E" w:rsidRDefault="00310DBD" w:rsidP="00D539EF">
      <w:pPr>
        <w:spacing w:line="360" w:lineRule="auto"/>
        <w:jc w:val="both"/>
        <w:rPr>
          <w:rFonts w:ascii="Garamond" w:hAnsi="Garamond"/>
        </w:rPr>
      </w:pPr>
      <w:r w:rsidRPr="00163C1E">
        <w:rPr>
          <w:rFonts w:ascii="Garamond" w:hAnsi="Garamond" w:cs="Times New Roman"/>
        </w:rPr>
        <w:t>Turning back to the aspirations-capability framework, this creates an important methodological challenge</w:t>
      </w:r>
      <w:r w:rsidR="00E46549" w:rsidRPr="00163C1E">
        <w:rPr>
          <w:rFonts w:ascii="Garamond" w:hAnsi="Garamond" w:cs="Times New Roman"/>
        </w:rPr>
        <w:t xml:space="preserve"> regarding how to empirically identify people’s aspirations and capabilities to migrate. </w:t>
      </w:r>
      <w:r w:rsidR="00B66A13" w:rsidRPr="00163C1E">
        <w:rPr>
          <w:rFonts w:ascii="Garamond" w:hAnsi="Garamond"/>
        </w:rPr>
        <w:t>While migration aspirations are often measured through individuals’ self-reported desire to move (</w:t>
      </w:r>
      <w:r w:rsidR="00B66A13" w:rsidRPr="00163C1E">
        <w:rPr>
          <w:rFonts w:ascii="Garamond" w:hAnsi="Garamond"/>
        </w:rPr>
        <w:fldChar w:fldCharType="begin"/>
      </w:r>
      <w:r w:rsidR="00815CFD" w:rsidRPr="00163C1E">
        <w:rPr>
          <w:rFonts w:ascii="Garamond" w:hAnsi="Garamond"/>
        </w:rPr>
        <w:instrText xml:space="preserve"> ADDIN ZOTERO_ITEM CSL_CITATION {"citationID":"QGNUvTYk","properties":{"unsorted":false,"formattedCitation":"(Freihardt, 2025)","plainCitation":"(Freihardt, 2025)","dontUpdate":true,"noteIndex":0},"citationItems":[{"id":21,"uris":["http://zotero.org/users/18422904/items/AJEPSWHR"],"itemData":{"id":21,"type":"article-journal","abstract":"While there has been a considerable conceptual discussion of trapped populations in the environmental migration literature, the empirical evidence on their existence is scarce. I examine why many people remain in environmentally vulnerable areas by analyzing newly collected survey panel data of 1515 household heads living along the Jamuna River in Bangladesh, an area affected by riverbank erosion and flooding. To examine whether immobility is voluntary or involuntary, I assess the migration aspirations and capability to move of those who did not migrate after environmental shocks occurred in their village. The majority (82%) of non-migrants can be classified as voluntary non-migrants, while 13% can be considered “trapped” and the remaining 5% as acquiescent non-migrants. Being affected by erosion significantly increases the likelihood that immobility is involuntary by 7.9 percentage points, while also lowering the socio-economic status of the affected population. Taken together, these results suggest that environmental change may indeed lead to the “trapping” of parts of the population in exposed areas by eroding their capability to move while simultaneously increasing their migration aspirations. The findings have important policy implications, as they raise a word of caution against prematurely labeling all populations staying in environmentally exposed areas as “trapped” without considering their migration aspirations—a majority may in fact be voluntary non-migrants.","container-title":"Regional Environmental Change","DOI":"10.1007/s10113-025-02452-3","ISSN":"1436-378X","issue":"4","journalAbbreviation":"Reg Environ Change","language":"en","page":"117","source":"Springer Link","title":"Trapped by climate change? (In)voluntary immobility in Bangladesh","title-short":"Trapped by climate change?","volume":"25","author":[{"family":"Freihardt","given":"Jan"}],"issued":{"date-parts":[["2025",9,8]]}}}],"schema":"https://github.com/citation-style-language/schema/raw/master/csl-citation.json"} </w:instrText>
      </w:r>
      <w:r w:rsidR="00B66A13" w:rsidRPr="00163C1E">
        <w:rPr>
          <w:rFonts w:ascii="Garamond" w:hAnsi="Garamond"/>
        </w:rPr>
        <w:fldChar w:fldCharType="separate"/>
      </w:r>
      <w:r w:rsidR="00B66A13" w:rsidRPr="00163C1E">
        <w:rPr>
          <w:rFonts w:ascii="Garamond" w:hAnsi="Garamond"/>
        </w:rPr>
        <w:t>Freihardt, 2025</w:t>
      </w:r>
      <w:r w:rsidR="00B66A13" w:rsidRPr="00163C1E">
        <w:rPr>
          <w:rFonts w:ascii="Garamond" w:hAnsi="Garamond"/>
        </w:rPr>
        <w:fldChar w:fldCharType="end"/>
      </w:r>
      <w:r w:rsidR="00B66A13" w:rsidRPr="00163C1E">
        <w:rPr>
          <w:rFonts w:ascii="Garamond" w:hAnsi="Garamond"/>
        </w:rPr>
        <w:t>;</w:t>
      </w:r>
      <w:r w:rsidR="00B66A13" w:rsidRPr="00163C1E">
        <w:rPr>
          <w:rFonts w:ascii="Garamond" w:hAnsi="Garamond"/>
        </w:rPr>
        <w:fldChar w:fldCharType="begin"/>
      </w:r>
      <w:r w:rsidR="00815CFD" w:rsidRPr="00163C1E">
        <w:rPr>
          <w:rFonts w:ascii="Garamond" w:hAnsi="Garamond"/>
        </w:rPr>
        <w:instrText xml:space="preserve"> ADDIN ZOTERO_ITEM CSL_CITATION {"citationID":"jZnQMWbw","properties":{"unsorted":false,"formattedCitation":"(DeWaard et\\uc0\\u160{}al., 2022)","plainCitation":"(DeWaard et al., 2022)","dontUpdate":true,"noteIndex":0},"citationItems":[{"id":24,"uris":["http://zotero.org/users/18422904/items/UXXS6JME"],"itemData":{"id":24,"type":"article-journal","abstract":"In this paper, we propose a guiding operational definition and corresponding set of empirical steps to identify and study trapped populations. Trapped populations consist of actors who are highly vulnerable to climate and environmental stressors given limited resources (economic, social, etc.), which limit their ability to adapt to these stressors in-situ or by choosing to migrate. Informed by both insights and omissions from prior theoretical and empirical research, we propose a guiding operational definition of trapped populations that appreciates and incorporates actors’ limited resources and their migration intentions against the backdrop of climate and environmental stressors. As it should, our operational definition points to a specific set of operations, or steps, which can be followed to empirically identify and study trapped populations. Using data from the Mexican Family Life Survey (MxFLS), we detail the steps permitting both retrospective and prospective identification of trapped populations. We conclude by discussing the strengths and weaknesses of our operational definition and empirical approach, as well as possible extensions.","container-title":"Regional environmental change","DOI":"10.1007/s10113-022-01882-7","ISSN":"1436-3798","issue":"1","journalAbbreviation":"Reg Environ Change","page":"29","PMID":"35422672","PMCID":"PMC9004677","source":"PubMed Central","title":"Operationalizing and empirically identifying populations trapped in place by climate and environmental stressors in Mexico","volume":"22","author":[{"family":"DeWaard","given":"Jack"},{"family":"Hunter","given":"Lori M."},{"family":"Mathews","given":"Mason"},{"family":"Quiñones","given":"Esteban J."},{"family":"Riosmena","given":"Fernando"},{"family":"Simon","given":"Daniel H."}],"issued":{"date-parts":[["2022",3]]}}}],"schema":"https://github.com/citation-style-language/schema/raw/master/csl-citation.json"} </w:instrText>
      </w:r>
      <w:r w:rsidR="00B66A13" w:rsidRPr="00163C1E">
        <w:rPr>
          <w:rFonts w:ascii="Garamond" w:hAnsi="Garamond"/>
        </w:rPr>
        <w:fldChar w:fldCharType="separate"/>
      </w:r>
      <w:r w:rsidR="00B66A13" w:rsidRPr="00163C1E">
        <w:rPr>
          <w:rFonts w:ascii="Garamond" w:hAnsi="Garamond" w:cs="Times New Roman"/>
          <w:kern w:val="0"/>
        </w:rPr>
        <w:t xml:space="preserve"> DeWaard et al., 2022</w:t>
      </w:r>
      <w:r w:rsidR="00B66A13" w:rsidRPr="00163C1E">
        <w:rPr>
          <w:rFonts w:ascii="Garamond" w:hAnsi="Garamond"/>
        </w:rPr>
        <w:fldChar w:fldCharType="end"/>
      </w:r>
      <w:r w:rsidR="00B66A13" w:rsidRPr="00163C1E">
        <w:rPr>
          <w:rFonts w:ascii="Garamond" w:hAnsi="Garamond"/>
        </w:rPr>
        <w:t>), migration capabilities are typically treated as a latent construct inferred indirectly through proxy indicators</w:t>
      </w:r>
      <w:r w:rsidR="00E46549" w:rsidRPr="00163C1E">
        <w:rPr>
          <w:rFonts w:ascii="Garamond" w:hAnsi="Garamond"/>
        </w:rPr>
        <w:t xml:space="preserve">. </w:t>
      </w:r>
      <w:r w:rsidR="002E70F6" w:rsidRPr="00163C1E">
        <w:rPr>
          <w:rFonts w:ascii="Garamond" w:hAnsi="Garamond"/>
        </w:rPr>
        <w:t>As a result, authors have operationalize</w:t>
      </w:r>
      <w:r w:rsidR="00B66A13" w:rsidRPr="00163C1E">
        <w:rPr>
          <w:rFonts w:ascii="Garamond" w:hAnsi="Garamond"/>
        </w:rPr>
        <w:t>d</w:t>
      </w:r>
      <w:r w:rsidR="002E70F6" w:rsidRPr="00163C1E">
        <w:rPr>
          <w:rFonts w:ascii="Garamond" w:hAnsi="Garamond"/>
        </w:rPr>
        <w:t xml:space="preserve"> mobility capabilities</w:t>
      </w:r>
      <w:r w:rsidR="00B66A13" w:rsidRPr="00163C1E">
        <w:rPr>
          <w:rFonts w:ascii="Garamond" w:hAnsi="Garamond"/>
        </w:rPr>
        <w:t xml:space="preserve"> differently</w:t>
      </w:r>
      <w:r w:rsidR="002E70F6" w:rsidRPr="00163C1E">
        <w:rPr>
          <w:rFonts w:ascii="Garamond" w:hAnsi="Garamond"/>
        </w:rPr>
        <w:t xml:space="preserve">, </w:t>
      </w:r>
      <w:r w:rsidR="00B66A13" w:rsidRPr="00163C1E">
        <w:rPr>
          <w:rFonts w:ascii="Garamond" w:hAnsi="Garamond"/>
        </w:rPr>
        <w:t xml:space="preserve">varying from one-dimensional household or individual indicators </w:t>
      </w:r>
      <w:r w:rsidR="00B66A13" w:rsidRPr="00163C1E">
        <w:rPr>
          <w:rFonts w:ascii="Garamond" w:hAnsi="Garamond"/>
        </w:rPr>
        <w:fldChar w:fldCharType="begin"/>
      </w:r>
      <w:r w:rsidR="00B66A13" w:rsidRPr="00163C1E">
        <w:rPr>
          <w:rFonts w:ascii="Garamond" w:hAnsi="Garamond"/>
        </w:rPr>
        <w:instrText xml:space="preserve"> ADDIN ZOTERO_ITEM CSL_CITATION {"citationID":"lnoaIyVp","properties":{"unsorted":false,"formattedCitation":"(Adams, 2016; DeWaard et\\uc0\\u160{}al., 2022)","plainCitation":"(Adams, 2016; DeWaard et al., 2022)","noteIndex":0},"citationItems":[{"id":1791,"uris":["http://zotero.org/users/18422904/items/B8WHIT8A"],"itemData":{"id":1791,"type":"article-journal","abstract":"Explanations of relationships between migration and environmental change now focus on multiple interactions, risks in destination and immobility. This research applies behavioural migration theory to examine the extent to which immobile populations experiencing environmental degradation exercise agency with respect to location and, in doing so, elucidates what it means to be trapped. This research uses individual survey data from a migrant-sending area in highland Peru where the population experiences negative health and livelihood impacts from climate-related phenomena. Analysis of these data reveals three reasons for non-migration: high levels of satisfaction, resource barriers and low mobility potential. Immobility in dissatisfied people is more likely to be caused by attachment to place than resource constraints. Thus, the results suggest that trapped populations exist along a continuum. This highlights the need for policy responses differentiated by the mobility characteristics and preferences of the individual. Caution, therefore, must be exercised when labelling populations as trapped and promoting relocation.","container-title":"Population and Environment","DOI":"10.1007/s11111-015-0246-3","ISSN":"1573-7810","issue":"4","journalAbbreviation":"Popul Environ","language":"en","page":"429-448","source":"Springer Link","title":"Why populations persist: mobility, place attachment and climate change","title-short":"Why populations persist","volume":"37","author":[{"family":"Adams","given":"Helen"}],"issued":{"date-parts":[["2016",6,1]]}}},{"id":24,"uris":["http://zotero.org/users/18422904/items/UXXS6JME"],"itemData":{"id":24,"type":"article-journal","abstract":"In this paper, we propose a guiding operational definition and corresponding set of empirical steps to identify and study trapped populations. Trapped populations consist of actors who are highly vulnerable to climate and environmental stressors given limited resources (economic, social, etc.), which limit their ability to adapt to these stressors in-situ or by choosing to migrate. Informed by both insights and omissions from prior theoretical and empirical research, we propose a guiding operational definition of trapped populations that appreciates and incorporates actors’ limited resources and their migration intentions against the backdrop of climate and environmental stressors. As it should, our operational definition points to a specific set of operations, or steps, which can be followed to empirically identify and study trapped populations. Using data from the Mexican Family Life Survey (MxFLS), we detail the steps permitting both retrospective and prospective identification of trapped populations. We conclude by discussing the strengths and weaknesses of our operational definition and empirical approach, as well as possible extensions.","container-title":"Regional environmental change","DOI":"10.1007/s10113-022-01882-7","ISSN":"1436-3798","issue":"1","journalAbbreviation":"Reg Environ Change","page":"29","PMID":"35422672","PMCID":"PMC9004677","source":"PubMed Central","title":"Operationalizing and empirically identifying populations trapped in place by climate and environmental stressors in Mexico","volume":"22","author":[{"family":"DeWaard","given":"Jack"},{"family":"Hunter","given":"Lori M."},{"family":"Mathews","given":"Mason"},{"family":"Quiñones","given":"Esteban J."},{"family":"Riosmena","given":"Fernando"},{"family":"Simon","given":"Daniel H."}],"issued":{"date-parts":[["2022",3]]}}}],"schema":"https://github.com/citation-style-language/schema/raw/master/csl-citation.json"} </w:instrText>
      </w:r>
      <w:r w:rsidR="00B66A13" w:rsidRPr="00163C1E">
        <w:rPr>
          <w:rFonts w:ascii="Garamond" w:hAnsi="Garamond"/>
        </w:rPr>
        <w:fldChar w:fldCharType="separate"/>
      </w:r>
      <w:r w:rsidR="00B66A13" w:rsidRPr="00163C1E">
        <w:rPr>
          <w:rFonts w:ascii="Garamond" w:hAnsi="Garamond" w:cs="Times New Roman"/>
          <w:kern w:val="0"/>
        </w:rPr>
        <w:t>(Adams, 2016; DeWaard et al., 2022)</w:t>
      </w:r>
      <w:r w:rsidR="00B66A13" w:rsidRPr="00163C1E">
        <w:rPr>
          <w:rFonts w:ascii="Garamond" w:hAnsi="Garamond"/>
        </w:rPr>
        <w:fldChar w:fldCharType="end"/>
      </w:r>
      <w:r w:rsidR="00B66A13" w:rsidRPr="00163C1E">
        <w:rPr>
          <w:rFonts w:ascii="Garamond" w:hAnsi="Garamond"/>
        </w:rPr>
        <w:t xml:space="preserve"> to multidimensional country-level</w:t>
      </w:r>
      <w:r w:rsidR="00C65141" w:rsidRPr="00163C1E">
        <w:rPr>
          <w:rFonts w:ascii="Garamond" w:hAnsi="Garamond"/>
        </w:rPr>
        <w:t xml:space="preserve"> </w:t>
      </w:r>
      <w:r w:rsidR="00C65141" w:rsidRPr="00163C1E">
        <w:rPr>
          <w:rFonts w:ascii="Garamond" w:hAnsi="Garamond"/>
        </w:rPr>
        <w:fldChar w:fldCharType="begin"/>
      </w:r>
      <w:r w:rsidR="00C65141" w:rsidRPr="00163C1E">
        <w:rPr>
          <w:rFonts w:ascii="Garamond" w:hAnsi="Garamond"/>
        </w:rPr>
        <w:instrText xml:space="preserve"> ADDIN ZOTERO_ITEM CSL_CITATION {"citationID":"0WQeNtHp","properties":{"unsorted":false,"formattedCitation":"(Rodr\\uc0\\u237{}guez-Pe\\uc0\\u241{}a, 2025)","plainCitation":"(Rodríguez-Peña, 2025)","noteIndex":0},"citationItems":[{"id":16,"uris":["http://zotero.org/users/18422904/items/M78YADIA"],"itemData":{"id":16,"type":"article-journal","abstract":"The complexity and abstract nature of capabilities may explain why research on migration aspirations is far more prevalent than studies on migration capabilities, and why clear conceptualizations and operationalizations of migration capabilities remain lacking. This article provides a first global estimation of migration capabilities, discusses challenges of measuring capabilities at the macro-level and proposes directions for future research. To achieve this, it focuses on four key forms of capital at the aggregate level: economic, social, human and citizenship capital. By integrating these dimensions, the article presents three scenarios with different distributions of migration capabilities and shows that a calculation centered on economic resources and citizenship capital best explains patterns of involuntary immobility. Furthermore, the article discusses the importance of further exploring migration capabilities for both research and policy and identifies three directions for future research. First, expanding data sources and calculations to identify regions where freedom of movement is most restricted and its implications for human development. Second, examining the capability to stay and exploring how different forms of immobility interact with local development. Finally, broadening the understanding of migration capabilities beyond formal migration barriers to uncover commonalities in emigration dynamics and immobility experiences across countries.","container-title":"Comparative Migration Studies","DOI":"10.1186/s40878-025-00449-9","ISSN":"2214-594X","issue":"1","journalAbbreviation":"CMS","language":"en","page":"31","source":"Springer Link","title":"Mapping migration capabilities worldwide","volume":"13","author":[{"family":"Rodríguez-Peña","given":"Naiara"}],"issued":{"date-parts":[["2025",5,19]]}}}],"schema":"https://github.com/citation-style-language/schema/raw/master/csl-citation.json"} </w:instrText>
      </w:r>
      <w:r w:rsidR="00C65141" w:rsidRPr="00163C1E">
        <w:rPr>
          <w:rFonts w:ascii="Garamond" w:hAnsi="Garamond"/>
        </w:rPr>
        <w:fldChar w:fldCharType="separate"/>
      </w:r>
      <w:r w:rsidR="00C65141" w:rsidRPr="00163C1E">
        <w:rPr>
          <w:rFonts w:ascii="Garamond" w:hAnsi="Garamond" w:cs="Times New Roman"/>
          <w:kern w:val="0"/>
        </w:rPr>
        <w:t>(Rodríguez-Peña, 2025)</w:t>
      </w:r>
      <w:r w:rsidR="00C65141" w:rsidRPr="00163C1E">
        <w:rPr>
          <w:rFonts w:ascii="Garamond" w:hAnsi="Garamond"/>
        </w:rPr>
        <w:fldChar w:fldCharType="end"/>
      </w:r>
      <w:r w:rsidR="00C65141" w:rsidRPr="00163C1E">
        <w:rPr>
          <w:rFonts w:ascii="Garamond" w:hAnsi="Garamond"/>
        </w:rPr>
        <w:t xml:space="preserve"> or individual-level</w:t>
      </w:r>
      <w:r w:rsidR="00B66A13" w:rsidRPr="00163C1E">
        <w:rPr>
          <w:rFonts w:ascii="Garamond" w:hAnsi="Garamond"/>
        </w:rPr>
        <w:t xml:space="preserve"> approaches</w:t>
      </w:r>
      <w:r w:rsidR="00C65141" w:rsidRPr="00163C1E">
        <w:rPr>
          <w:rFonts w:ascii="Garamond" w:hAnsi="Garamond"/>
        </w:rPr>
        <w:t xml:space="preserve"> </w:t>
      </w:r>
      <w:r w:rsidR="00C65141" w:rsidRPr="00163C1E">
        <w:rPr>
          <w:rFonts w:ascii="Garamond" w:hAnsi="Garamond"/>
        </w:rPr>
        <w:fldChar w:fldCharType="begin"/>
      </w:r>
      <w:r w:rsidR="000F7F38">
        <w:rPr>
          <w:rFonts w:ascii="Garamond" w:hAnsi="Garamond"/>
        </w:rPr>
        <w:instrText xml:space="preserve"> ADDIN ZOTERO_ITEM CSL_CITATION {"citationID":"aVIHz5xF","properties":{"unsorted":false,"formattedCitation":"(Hosnedlov\\uc0\\u225{} &amp; Maidanik, 2025; Obi, 2021)","plainCitation":"(Hosnedlová &amp; Maidanik, 2025; Obi, 2021)","noteIndex":0},"citationItems":[{"id":1813,"uris":["http://zotero.org/users/18422904/items/M42IQHPV"],"itemData":{"id":1813,"type":"article-journal","abstract":"This study investigates the spatial and temporal dimensions of im/mobility within the population of western Ukraine. It challenges the typical focus on receiving countries by examining both the capabilities and motivations for staying in Ukraine or considering emigration. Based on data from 1242 individual questionnaires collected in a pre-invasion survey in western Ukraine, this study provides a comparative analysis of return migrants and non-migrants, examining the relationship between past migration experience and the likelihood of future (im)mobility. We construct a novel migration capability scale that situates migration capability along a continuum and offers a more nuanced understanding of the dynamics of place-based decision-making (grounded in the fulfilment of basic economic needs, transnational social ties, risk attitude, and foreign language proficiency). Only 11% of respondents reported having no migration potential, while those with the highest migration capabilities - including both returnees and non-migrants - were often undecided about their future mobility. Regression analyses show that past migration experience enhances migration capability, yet decision-making is ultimately influenced by personal motivations, socio-demographic factors, and the evolving relationship between population and place. These findings have important implications for migration policy and spatial planning.","container-title":"Population, Space and Place","DOI":"10.1002/psp.70128","ISSN":"1544-8452","issue":"8","language":"en","license":"© 2025 John Wiley &amp; Sons Ltd.","note":"_eprint: https://onlinelibrary.wiley.com/doi/pdf/10.1002/psp.70128","page":"e70128","source":"Wiley Online Library","title":"Decoding Migration Capability: (Im)Mobility Decision-Making in the Ukrainian Population","title-short":"Decoding Migration Capability","volume":"31","author":[{"family":"Hosnedlová","given":"Renáta"},{"family":"Maidanik","given":"Iryna"}],"issued":{"date-parts":[["2025"]]}}},{"id":1803,"uris":["http://zotero.org/users/18422904/items/IA4J47MP"],"itemData":{"id":1803,"type":"thesis","publisher":"Universiteit Gent.","title":"The socioeconomics of international migration decisions and outcomes. Exploring the Nigeria – Italy Migration Corridor through a capability-based migration framework.","URL":"https://backoffice.biblio.ugent.be/download/8700021/8700026","author":[{"family":"Obi","given":"Chinedu Temple"}],"issued":{"date-parts":[["2021"]]}}}],"schema":"https://github.com/citation-style-language/schema/raw/master/csl-citation.json"} </w:instrText>
      </w:r>
      <w:r w:rsidR="00C65141" w:rsidRPr="00163C1E">
        <w:rPr>
          <w:rFonts w:ascii="Garamond" w:hAnsi="Garamond"/>
        </w:rPr>
        <w:fldChar w:fldCharType="separate"/>
      </w:r>
      <w:r w:rsidR="000F7F38" w:rsidRPr="000F7F38">
        <w:rPr>
          <w:rFonts w:ascii="Garamond" w:hAnsi="Garamond" w:cs="Times New Roman"/>
          <w:kern w:val="0"/>
        </w:rPr>
        <w:t>(Hosnedlová &amp; Maidanik, 2025; Obi, 2021)</w:t>
      </w:r>
      <w:r w:rsidR="00C65141" w:rsidRPr="00163C1E">
        <w:rPr>
          <w:rFonts w:ascii="Garamond" w:hAnsi="Garamond"/>
        </w:rPr>
        <w:fldChar w:fldCharType="end"/>
      </w:r>
      <w:r w:rsidR="00B66A13" w:rsidRPr="00163C1E">
        <w:rPr>
          <w:rFonts w:ascii="Garamond" w:hAnsi="Garamond"/>
        </w:rPr>
        <w:t xml:space="preserve">. </w:t>
      </w:r>
      <w:r w:rsidR="00B66A13" w:rsidRPr="00163C1E">
        <w:rPr>
          <w:rFonts w:ascii="Garamond" w:hAnsi="Garamond"/>
          <w:highlight w:val="red"/>
        </w:rPr>
        <w:t>These differences matter because alternative operationalizations may lead to different identifications of involuntarily immobile or “trapped” populations</w:t>
      </w:r>
      <w:r w:rsidR="00C65141" w:rsidRPr="00163C1E">
        <w:rPr>
          <w:rFonts w:ascii="Garamond" w:hAnsi="Garamond"/>
        </w:rPr>
        <w:t xml:space="preserve"> and even inconsistencies when not considered properly</w:t>
      </w:r>
      <w:r w:rsidR="00285002" w:rsidRPr="00163C1E">
        <w:rPr>
          <w:rFonts w:ascii="Garamond" w:hAnsi="Garamond"/>
        </w:rPr>
        <w:t xml:space="preserve"> </w:t>
      </w:r>
      <w:r w:rsidR="00285002" w:rsidRPr="00163C1E">
        <w:rPr>
          <w:rFonts w:ascii="Garamond" w:hAnsi="Garamond"/>
        </w:rPr>
        <w:fldChar w:fldCharType="begin"/>
      </w:r>
      <w:r w:rsidR="00285002" w:rsidRPr="00163C1E">
        <w:rPr>
          <w:rFonts w:ascii="Garamond" w:hAnsi="Garamond"/>
        </w:rPr>
        <w:instrText xml:space="preserve"> ADDIN ZOTERO_ITEM CSL_CITATION {"citationID":"4JP5kDri","properties":{"unsorted":false,"formattedCitation":"(Ayeb-Karlsson et\\uc0\\u160{}al., 2018)","plainCitation":"(Ayeb-Karlsson et al., 2018)","noteIndex":0},"citationItems":[{"id":1804,"uris":["http://zotero.org/users/18422904/items/4KDMIPVN"],"itemData":{"id":1804,"type":"article-journal","abstract":"First mooted in 2011, the concept of Trapped Populations referring to people unable to move from environmentally high-risk areas broadened the study of human responses to environmental change. While a seemingly straightforward concept, the underlying discourses around the reasons for being ‘trapped’, and the language describing the concept have profound influences on the way in which policy and practice approaches the needs of populations at risk from environmental stresses and shocks. In this article, we apply a Critical Discourse Analysis to the academic literature on the subject to reveal some of the assumptions implicit within discussing ‘trapped’ populations. The analysis reveals a dominant school of thought that assisted migration, relocation, and resettlement in the face of climate change are potentially effective adaptation strategies along a gradient of migrant agency and governance.","container-title":"Ambio","DOI":"10.1007/s13280-017-1007-6","ISSN":"1654-7209","issue":"5","journalAbbreviation":"Ambio","language":"en","page":"557-573","source":"Springer Link","title":"A discursive review of the textual use of ‘trapped’ in environmental migration studies: The conceptual birth and troubled teenage years of trapped populations","title-short":"A discursive review of the textual use of ‘trapped’ in environmental migration studies","volume":"47","author":[{"family":"Ayeb-Karlsson","given":"Sonja"},{"family":"Smith","given":"Christopher D."},{"family":"Kniveton","given":"Dominic"}],"issued":{"date-parts":[["2018",9,1]]}}}],"schema":"https://github.com/citation-style-language/schema/raw/master/csl-citation.json"} </w:instrText>
      </w:r>
      <w:r w:rsidR="00285002" w:rsidRPr="00163C1E">
        <w:rPr>
          <w:rFonts w:ascii="Garamond" w:hAnsi="Garamond"/>
        </w:rPr>
        <w:fldChar w:fldCharType="separate"/>
      </w:r>
      <w:r w:rsidR="00285002" w:rsidRPr="00163C1E">
        <w:rPr>
          <w:rFonts w:ascii="Garamond" w:hAnsi="Garamond" w:cs="Times New Roman"/>
          <w:kern w:val="0"/>
        </w:rPr>
        <w:t>(Ayeb-Karlsson et al., 2018)</w:t>
      </w:r>
      <w:r w:rsidR="00285002" w:rsidRPr="00163C1E">
        <w:rPr>
          <w:rFonts w:ascii="Garamond" w:hAnsi="Garamond"/>
        </w:rPr>
        <w:fldChar w:fldCharType="end"/>
      </w:r>
      <w:r w:rsidR="00C65141" w:rsidRPr="00163C1E">
        <w:rPr>
          <w:rFonts w:ascii="Garamond" w:hAnsi="Garamond"/>
        </w:rPr>
        <w:t xml:space="preserve"> .</w:t>
      </w:r>
    </w:p>
    <w:p w14:paraId="0546B05A" w14:textId="5DF76815" w:rsidR="00843EB7" w:rsidRPr="00163C1E" w:rsidRDefault="0009300A" w:rsidP="00D539EF">
      <w:pPr>
        <w:spacing w:line="360" w:lineRule="auto"/>
        <w:jc w:val="both"/>
        <w:rPr>
          <w:rFonts w:ascii="Garamond" w:hAnsi="Garamond"/>
        </w:rPr>
      </w:pPr>
      <w:r w:rsidRPr="00163C1E">
        <w:rPr>
          <w:rFonts w:ascii="Garamond" w:hAnsi="Garamond" w:cs="Times New Roman"/>
        </w:rPr>
        <w:t xml:space="preserve">Beyond the challenges associated with choosing the appropriate level of and </w:t>
      </w:r>
      <w:r w:rsidR="00134BEC" w:rsidRPr="00163C1E">
        <w:rPr>
          <w:rFonts w:ascii="Garamond" w:hAnsi="Garamond" w:cs="Times New Roman"/>
        </w:rPr>
        <w:t xml:space="preserve">dimensionality </w:t>
      </w:r>
      <w:r w:rsidRPr="00163C1E">
        <w:rPr>
          <w:rFonts w:ascii="Garamond" w:hAnsi="Garamond" w:cs="Times New Roman"/>
        </w:rPr>
        <w:t>when operationalizing migration capabilities, a further difficulty concerns the temporal and spatial nature of people’s responses to environmental stress</w:t>
      </w:r>
      <w:r w:rsidR="00525DBB" w:rsidRPr="00163C1E">
        <w:rPr>
          <w:rFonts w:ascii="Garamond" w:hAnsi="Garamond" w:cs="Times New Roman"/>
        </w:rPr>
        <w:t xml:space="preserve">. </w:t>
      </w:r>
      <w:r w:rsidR="00815CFD" w:rsidRPr="00163C1E">
        <w:rPr>
          <w:rFonts w:ascii="Garamond" w:hAnsi="Garamond" w:cs="Times New Roman"/>
        </w:rPr>
        <w:t xml:space="preserve">Recent work emphasizes that </w:t>
      </w:r>
      <w:r w:rsidR="00815CFD" w:rsidRPr="00163C1E">
        <w:rPr>
          <w:rFonts w:ascii="Garamond" w:hAnsi="Garamond" w:cs="Times New Roman"/>
        </w:rPr>
        <w:lastRenderedPageBreak/>
        <w:t xml:space="preserve">households’ responses are often dynamic and nonlinear over time, as they may initially rely on in-situ adaptation strategies before later adopting migration if local coping capacities fail, provided they retain the capability to move </w:t>
      </w:r>
      <w:r w:rsidR="00503192" w:rsidRPr="00163C1E">
        <w:rPr>
          <w:rFonts w:ascii="Garamond" w:hAnsi="Garamond" w:cs="Times New Roman"/>
        </w:rPr>
        <w:fldChar w:fldCharType="begin"/>
      </w:r>
      <w:r w:rsidR="00503192" w:rsidRPr="00163C1E">
        <w:rPr>
          <w:rFonts w:ascii="Garamond" w:hAnsi="Garamond" w:cs="Times New Roman"/>
        </w:rPr>
        <w:instrText xml:space="preserve"> ADDIN ZOTERO_ITEM CSL_CITATION {"citationID":"zJVMql4F","properties":{"unsorted":false,"formattedCitation":"(McLeman, 2018)","plainCitation":"(McLeman, 2018)","noteIndex":0},"citationItems":[{"id":1774,"uris":["http://zotero.org/users/18422904/items/YI43DQHJ"],"itemData":{"id":1774,"type":"article-journal","abstract":"Migration in response to climatic hazards or changes in climatic conditions can unfold in a variety of ways, ranging from barely observable, incremental changes in pre-existing migration flows to abrupt, non-linear population movements. The adoption of migration instead of in situ adaptation responses, and the high degree of variability in potential migration outcomes, in part reflects the presence of thresholds or tipping points within the processes of human-environment interaction through which climate adaptation and migration take place. This article reviews and makes linkages between existing research in climate adaptation, migration system dynamics, residential preferences, and risk perception to identify and explore the functioning and importance of thresholds. Parochial examples from the author's published research on climate adaptation and migration in rural North America are used to illustrate. Six types of thresholds in response to climate hazards are identified: (1) Adaptation becomes necessary; (2) Adaptation becomes ineffective; (3) Substantive changes in land use/livelihoods become necessary; (4) In situ adaptation fails, migration ensues; (5) Migration rates become non-linear; and (6) Migration rates cease to be non-linear. Movement across thresholds is driven by context-specific characteristics of climate events, natural systems, and/or human systems. Transition from incremental to non-linear migration can be accelerated by people's perceptions, by actions of influential individuals or groups, and by changes in key infrastructure, services, or other community assets. Non-linear climate migration events already occur at local and sub-regional scales. The potential for global scale, non-linear population movements later this century depends heavily on future greenhouse gas emission trends. The ability to identify and avoid thresholds that tip climate migration into a non-linear state will be of growing concern to policy makers and planners at all levels in coming decades. This article forms part of a special issue of this journal dedicated to the late Graeme Hugo, and the author draws heavily on past research by Professor Hugo and colleagues.","container-title":"Population and Environment","DOI":"10.1007/s11111-017-0290-2","note":"ADS Bibcode: 2018PopEn..39..319M","page":"319-338","source":"NASA ADS","title":"Thresholds in climate migration","volume":"39","author":[{"family":"McLeman","given":"Robert"}],"issued":{"date-parts":[["2018",6,1]]}}}],"schema":"https://github.com/citation-style-language/schema/raw/master/csl-citation.json"} </w:instrText>
      </w:r>
      <w:r w:rsidR="00503192" w:rsidRPr="00163C1E">
        <w:rPr>
          <w:rFonts w:ascii="Garamond" w:hAnsi="Garamond" w:cs="Times New Roman"/>
        </w:rPr>
        <w:fldChar w:fldCharType="separate"/>
      </w:r>
      <w:r w:rsidR="00503192" w:rsidRPr="00163C1E">
        <w:rPr>
          <w:rFonts w:ascii="Garamond" w:hAnsi="Garamond"/>
        </w:rPr>
        <w:t>(McLeman, 2018)</w:t>
      </w:r>
      <w:r w:rsidR="00503192" w:rsidRPr="00163C1E">
        <w:rPr>
          <w:rFonts w:ascii="Garamond" w:hAnsi="Garamond" w:cs="Times New Roman"/>
        </w:rPr>
        <w:fldChar w:fldCharType="end"/>
      </w:r>
      <w:r w:rsidR="00D64831" w:rsidRPr="00163C1E">
        <w:rPr>
          <w:rFonts w:ascii="Garamond" w:hAnsi="Garamond" w:cs="Times New Roman"/>
        </w:rPr>
        <w:t>.</w:t>
      </w:r>
      <w:r w:rsidR="00503192" w:rsidRPr="00163C1E">
        <w:rPr>
          <w:rFonts w:ascii="Garamond" w:hAnsi="Garamond" w:cs="Times New Roman"/>
        </w:rPr>
        <w:t xml:space="preserve"> </w:t>
      </w:r>
      <w:r w:rsidR="00134BEC" w:rsidRPr="00163C1E">
        <w:rPr>
          <w:rFonts w:ascii="Garamond" w:hAnsi="Garamond" w:cs="Times New Roman"/>
        </w:rPr>
        <w:t>Similarly</w:t>
      </w:r>
      <w:r w:rsidR="00587380" w:rsidRPr="00163C1E">
        <w:rPr>
          <w:rFonts w:ascii="Garamond" w:hAnsi="Garamond" w:cs="Times New Roman"/>
        </w:rPr>
        <w:t xml:space="preserve">, </w:t>
      </w:r>
      <w:r w:rsidR="00843EB7" w:rsidRPr="00163C1E">
        <w:rPr>
          <w:rFonts w:ascii="Garamond" w:hAnsi="Garamond" w:cs="Times New Roman"/>
        </w:rPr>
        <w:fldChar w:fldCharType="begin"/>
      </w:r>
      <w:r w:rsidR="00815CFD" w:rsidRPr="00163C1E">
        <w:rPr>
          <w:rFonts w:ascii="Garamond" w:hAnsi="Garamond" w:cs="Times New Roman"/>
        </w:rPr>
        <w:instrText xml:space="preserve"> ADDIN ZOTERO_ITEM CSL_CITATION {"citationID":"yG6TEi0k","properties":{"unsorted":false,"formattedCitation":"(Rodr\\uc0\\u237{}guez-Pe\\uc0\\u241{}a, 2025)","plainCitation":"(Rodríguez-Peña, 2025)","dontUpdate":true,"noteIndex":0},"citationItems":[{"id":16,"uris":["http://zotero.org/users/18422904/items/M78YADIA"],"itemData":{"id":16,"type":"article-journal","abstract":"The complexity and abstract nature of capabilities may explain why research on migration aspirations is far more prevalent than studies on migration capabilities, and why clear conceptualizations and operationalizations of migration capabilities remain lacking. This article provides a first global estimation of migration capabilities, discusses challenges of measuring capabilities at the macro-level and proposes directions for future research. To achieve this, it focuses on four key forms of capital at the aggregate level: economic, social, human and citizenship capital. By integrating these dimensions, the article presents three scenarios with different distributions of migration capabilities and shows that a calculation centered on economic resources and citizenship capital best explains patterns of involuntary immobility. Furthermore, the article discusses the importance of further exploring migration capabilities for both research and policy and identifies three directions for future research. First, expanding data sources and calculations to identify regions where freedom of movement is most restricted and its implications for human development. Second, examining the capability to stay and exploring how different forms of immobility interact with local development. Finally, broadening the understanding of migration capabilities beyond formal migration barriers to uncover commonalities in emigration dynamics and immobility experiences across countries.","container-title":"Comparative Migration Studies","DOI":"10.1186/s40878-025-00449-9","ISSN":"2214-594X","issue":"1","journalAbbreviation":"CMS","language":"en","page":"31","source":"Springer Link","title":"Mapping migration capabilities worldwide","volume":"13","author":[{"family":"Rodríguez-Peña","given":"Naiara"}],"issued":{"date-parts":[["2025",5,19]]}}}],"schema":"https://github.com/citation-style-language/schema/raw/master/csl-citation.json"} </w:instrText>
      </w:r>
      <w:r w:rsidR="00843EB7" w:rsidRPr="00163C1E">
        <w:rPr>
          <w:rFonts w:ascii="Garamond" w:hAnsi="Garamond" w:cs="Times New Roman"/>
        </w:rPr>
        <w:fldChar w:fldCharType="separate"/>
      </w:r>
      <w:r w:rsidR="00843EB7" w:rsidRPr="00163C1E">
        <w:rPr>
          <w:rFonts w:ascii="Garamond" w:hAnsi="Garamond" w:cs="Times New Roman"/>
          <w:kern w:val="0"/>
        </w:rPr>
        <w:t xml:space="preserve">Rodríguez-Peña </w:t>
      </w:r>
      <w:r w:rsidRPr="00163C1E">
        <w:rPr>
          <w:rFonts w:ascii="Garamond" w:hAnsi="Garamond" w:cs="Times New Roman"/>
          <w:kern w:val="0"/>
        </w:rPr>
        <w:t>(</w:t>
      </w:r>
      <w:r w:rsidR="00843EB7" w:rsidRPr="00163C1E">
        <w:rPr>
          <w:rFonts w:ascii="Garamond" w:hAnsi="Garamond" w:cs="Times New Roman"/>
          <w:kern w:val="0"/>
        </w:rPr>
        <w:t>2025)</w:t>
      </w:r>
      <w:r w:rsidR="00843EB7" w:rsidRPr="00163C1E">
        <w:rPr>
          <w:rFonts w:ascii="Garamond" w:hAnsi="Garamond" w:cs="Times New Roman"/>
        </w:rPr>
        <w:fldChar w:fldCharType="end"/>
      </w:r>
      <w:r w:rsidR="00843EB7" w:rsidRPr="00163C1E">
        <w:rPr>
          <w:rFonts w:ascii="Garamond" w:hAnsi="Garamond" w:cs="Times New Roman"/>
        </w:rPr>
        <w:t xml:space="preserve"> </w:t>
      </w:r>
      <w:r w:rsidRPr="00163C1E">
        <w:rPr>
          <w:rFonts w:ascii="Garamond" w:hAnsi="Garamond" w:cs="Times New Roman"/>
        </w:rPr>
        <w:t xml:space="preserve">argues that the factors shaping migration aspirations and capabilities are not constant and may exert both positive and negative influences </w:t>
      </w:r>
      <w:r w:rsidR="00815CFD" w:rsidRPr="00163C1E">
        <w:rPr>
          <w:rFonts w:ascii="Garamond" w:hAnsi="Garamond" w:cs="Times New Roman"/>
        </w:rPr>
        <w:t xml:space="preserve">which evolve </w:t>
      </w:r>
      <w:r w:rsidRPr="00163C1E">
        <w:rPr>
          <w:rFonts w:ascii="Garamond" w:hAnsi="Garamond" w:cs="Times New Roman"/>
        </w:rPr>
        <w:t xml:space="preserve">over time. </w:t>
      </w:r>
      <w:r w:rsidR="00ED1777">
        <w:rPr>
          <w:rFonts w:ascii="Garamond" w:hAnsi="Garamond" w:cs="Times New Roman"/>
        </w:rPr>
        <w:t>In a similar vein,</w:t>
      </w:r>
      <w:r w:rsidR="00FE6E50" w:rsidRPr="00163C1E">
        <w:rPr>
          <w:rFonts w:ascii="Garamond" w:hAnsi="Garamond" w:cs="Times New Roman"/>
        </w:rPr>
        <w:t xml:space="preserve"> Schewel (2020) </w:t>
      </w:r>
      <w:r w:rsidR="00815CFD" w:rsidRPr="00163C1E">
        <w:rPr>
          <w:rFonts w:ascii="Garamond" w:hAnsi="Garamond" w:cs="Times New Roman"/>
        </w:rPr>
        <w:t xml:space="preserve">suggests that immobility should not be treated as a static residual category, but rather as a dynamic process unfolding across time and space, meaning that an individual considered immobile under one geographical </w:t>
      </w:r>
      <w:r w:rsidR="00ED1777" w:rsidRPr="00163C1E">
        <w:rPr>
          <w:rFonts w:ascii="Garamond" w:hAnsi="Garamond" w:cs="Times New Roman"/>
        </w:rPr>
        <w:t>lens</w:t>
      </w:r>
      <w:r w:rsidR="00815CFD" w:rsidRPr="00163C1E">
        <w:rPr>
          <w:rFonts w:ascii="Garamond" w:hAnsi="Garamond" w:cs="Times New Roman"/>
        </w:rPr>
        <w:t xml:space="preserve"> or period may not necessarily be so under another</w:t>
      </w:r>
      <w:r w:rsidR="00FE6E50" w:rsidRPr="00163C1E">
        <w:rPr>
          <w:rFonts w:ascii="Garamond" w:hAnsi="Garamond" w:cs="Times New Roman"/>
        </w:rPr>
        <w:t>.</w:t>
      </w:r>
      <w:r w:rsidR="00FA0E2A" w:rsidRPr="00163C1E">
        <w:rPr>
          <w:rFonts w:ascii="Garamond" w:hAnsi="Garamond" w:cs="Times New Roman"/>
        </w:rPr>
        <w:t xml:space="preserve"> </w:t>
      </w:r>
      <w:r w:rsidR="00147A83">
        <w:rPr>
          <w:rFonts w:ascii="Garamond" w:hAnsi="Garamond"/>
        </w:rPr>
        <w:t>Another challenge</w:t>
      </w:r>
      <w:r w:rsidR="009A0BA3">
        <w:rPr>
          <w:rFonts w:ascii="Garamond" w:hAnsi="Garamond"/>
        </w:rPr>
        <w:t xml:space="preserve"> is, as</w:t>
      </w:r>
      <w:r w:rsidR="00161A18" w:rsidRPr="00163C1E">
        <w:rPr>
          <w:rFonts w:ascii="Garamond" w:hAnsi="Garamond"/>
        </w:rPr>
        <w:t xml:space="preserve"> </w:t>
      </w:r>
      <w:r w:rsidR="00815CFD" w:rsidRPr="00163C1E">
        <w:rPr>
          <w:rFonts w:ascii="Garamond" w:hAnsi="Garamond"/>
        </w:rPr>
        <w:fldChar w:fldCharType="begin"/>
      </w:r>
      <w:r w:rsidR="00815CFD" w:rsidRPr="00163C1E">
        <w:rPr>
          <w:rFonts w:ascii="Garamond" w:hAnsi="Garamond"/>
        </w:rPr>
        <w:instrText xml:space="preserve"> ADDIN ZOTERO_ITEM CSL_CITATION {"citationID":"9Kib9xwr","properties":{"unsorted":false,"formattedCitation":"(Rodr\\uc0\\u237{}guez-Pe\\uc0\\u241{}a, 2025)","plainCitation":"(Rodríguez-Peña, 2025)","dontUpdate":true,"noteIndex":0},"citationItems":[{"id":16,"uris":["http://zotero.org/users/18422904/items/M78YADIA"],"itemData":{"id":16,"type":"article-journal","abstract":"The complexity and abstract nature of capabilities may explain why research on migration aspirations is far more prevalent than studies on migration capabilities, and why clear conceptualizations and operationalizations of migration capabilities remain lacking. This article provides a first global estimation of migration capabilities, discusses challenges of measuring capabilities at the macro-level and proposes directions for future research. To achieve this, it focuses on four key forms of capital at the aggregate level: economic, social, human and citizenship capital. By integrating these dimensions, the article presents three scenarios with different distributions of migration capabilities and shows that a calculation centered on economic resources and citizenship capital best explains patterns of involuntary immobility. Furthermore, the article discusses the importance of further exploring migration capabilities for both research and policy and identifies three directions for future research. First, expanding data sources and calculations to identify regions where freedom of movement is most restricted and its implications for human development. Second, examining the capability to stay and exploring how different forms of immobility interact with local development. Finally, broadening the understanding of migration capabilities beyond formal migration barriers to uncover commonalities in emigration dynamics and immobility experiences across countries.","container-title":"Comparative Migration Studies","DOI":"10.1186/s40878-025-00449-9","ISSN":"2214-594X","issue":"1","journalAbbreviation":"CMS","language":"en","page":"31","source":"Springer Link","title":"Mapping migration capabilities worldwide","volume":"13","author":[{"family":"Rodríguez-Peña","given":"Naiara"}],"issued":{"date-parts":[["2025",5,19]]}}}],"schema":"https://github.com/citation-style-language/schema/raw/master/csl-citation.json"} </w:instrText>
      </w:r>
      <w:r w:rsidR="00815CFD" w:rsidRPr="00163C1E">
        <w:rPr>
          <w:rFonts w:ascii="Garamond" w:hAnsi="Garamond"/>
        </w:rPr>
        <w:fldChar w:fldCharType="separate"/>
      </w:r>
      <w:r w:rsidR="00815CFD" w:rsidRPr="00163C1E">
        <w:rPr>
          <w:rFonts w:ascii="Garamond" w:hAnsi="Garamond" w:cs="Times New Roman"/>
          <w:kern w:val="0"/>
        </w:rPr>
        <w:t>Rodríguez-Peña (2025)</w:t>
      </w:r>
      <w:r w:rsidR="00815CFD" w:rsidRPr="00163C1E">
        <w:rPr>
          <w:rFonts w:ascii="Garamond" w:hAnsi="Garamond"/>
        </w:rPr>
        <w:fldChar w:fldCharType="end"/>
      </w:r>
      <w:r w:rsidR="00815CFD" w:rsidRPr="00163C1E">
        <w:rPr>
          <w:rFonts w:ascii="Garamond" w:hAnsi="Garamond"/>
        </w:rPr>
        <w:t xml:space="preserve"> highlights</w:t>
      </w:r>
      <w:r w:rsidR="009A0BA3">
        <w:rPr>
          <w:rFonts w:ascii="Garamond" w:hAnsi="Garamond"/>
        </w:rPr>
        <w:t>,</w:t>
      </w:r>
      <w:r w:rsidR="00815CFD" w:rsidRPr="00163C1E">
        <w:rPr>
          <w:rFonts w:ascii="Garamond" w:hAnsi="Garamond"/>
        </w:rPr>
        <w:t xml:space="preserve"> that </w:t>
      </w:r>
      <w:r w:rsidR="00161A18" w:rsidRPr="00163C1E">
        <w:rPr>
          <w:rFonts w:ascii="Garamond" w:hAnsi="Garamond"/>
        </w:rPr>
        <w:t xml:space="preserve">migration aspirations and capabilities are not always explicitly articulated by individuals themselves, making certain forms of immobility conceptually artificial </w:t>
      </w:r>
      <w:r w:rsidR="00161A18" w:rsidRPr="00163C1E">
        <w:rPr>
          <w:rFonts w:ascii="Garamond" w:hAnsi="Garamond"/>
        </w:rPr>
        <w:fldChar w:fldCharType="begin"/>
      </w:r>
      <w:r w:rsidR="00815CFD" w:rsidRPr="00163C1E">
        <w:rPr>
          <w:rFonts w:ascii="Garamond" w:hAnsi="Garamond"/>
        </w:rPr>
        <w:instrText xml:space="preserve"> ADDIN ZOTERO_ITEM CSL_CITATION {"citationID":"Ficm7dNn","properties":{"unsorted":false,"formattedCitation":"(Rodr\\uc0\\u237{}guez-Pe\\uc0\\u241{}a, 2025)","plainCitation":"(Rodríguez-Peña, 2025)","noteIndex":0},"citationItems":[{"id":16,"uris":["http://zotero.org/users/18422904/items/M78YADIA"],"itemData":{"id":16,"type":"article-journal","abstract":"The complexity and abstract nature of capabilities may explain why research on migration aspirations is far more prevalent than studies on migration capabilities, and why clear conceptualizations and operationalizations of migration capabilities remain lacking. This article provides a first global estimation of migration capabilities, discusses challenges of measuring capabilities at the macro-level and proposes directions for future research. To achieve this, it focuses on four key forms of capital at the aggregate level: economic, social, human and citizenship capital. By integrating these dimensions, the article presents three scenarios with different distributions of migration capabilities and shows that a calculation centered on economic resources and citizenship capital best explains patterns of involuntary immobility. Furthermore, the article discusses the importance of further exploring migration capabilities for both research and policy and identifies three directions for future research. First, expanding data sources and calculations to identify regions where freedom of movement is most restricted and its implications for human development. Second, examining the capability to stay and exploring how different forms of immobility interact with local development. Finally, broadening the understanding of migration capabilities beyond formal migration barriers to uncover commonalities in emigration dynamics and immobility experiences across countries.","container-title":"Comparative Migration Studies","DOI":"10.1186/s40878-025-00449-9","ISSN":"2214-594X","issue":"1","journalAbbreviation":"CMS","language":"en","page":"31","source":"Springer Link","title":"Mapping migration capabilities worldwide","volume":"13","author":[{"family":"Rodríguez-Peña","given":"Naiara"}],"issued":{"date-parts":[["2025",5,19]]}}}],"schema":"https://github.com/citation-style-language/schema/raw/master/csl-citation.json"} </w:instrText>
      </w:r>
      <w:r w:rsidR="00161A18" w:rsidRPr="00163C1E">
        <w:rPr>
          <w:rFonts w:ascii="Garamond" w:hAnsi="Garamond"/>
        </w:rPr>
        <w:fldChar w:fldCharType="separate"/>
      </w:r>
      <w:r w:rsidR="00161A18" w:rsidRPr="00163C1E">
        <w:rPr>
          <w:rFonts w:ascii="Garamond" w:hAnsi="Garamond" w:cs="Times New Roman"/>
          <w:kern w:val="0"/>
        </w:rPr>
        <w:t>(Rodríguez-Peña, 2025)</w:t>
      </w:r>
      <w:r w:rsidR="00161A18" w:rsidRPr="00163C1E">
        <w:rPr>
          <w:rFonts w:ascii="Garamond" w:hAnsi="Garamond"/>
        </w:rPr>
        <w:fldChar w:fldCharType="end"/>
      </w:r>
      <w:r w:rsidR="009A0BA3">
        <w:rPr>
          <w:rFonts w:ascii="Garamond" w:hAnsi="Garamond"/>
        </w:rPr>
        <w:t xml:space="preserve">. </w:t>
      </w:r>
      <w:r w:rsidR="00315CD4" w:rsidRPr="00315CD4">
        <w:rPr>
          <w:rFonts w:ascii="Garamond" w:hAnsi="Garamond"/>
        </w:rPr>
        <w:t xml:space="preserve">Beyond the challenges discussed by </w:t>
      </w:r>
      <w:r w:rsidR="00315CD4" w:rsidRPr="00163C1E">
        <w:rPr>
          <w:rFonts w:ascii="Garamond" w:hAnsi="Garamond"/>
        </w:rPr>
        <w:fldChar w:fldCharType="begin"/>
      </w:r>
      <w:r w:rsidR="00315CD4">
        <w:rPr>
          <w:rFonts w:ascii="Garamond" w:hAnsi="Garamond"/>
        </w:rPr>
        <w:instrText xml:space="preserve"> ADDIN ZOTERO_ITEM CSL_CITATION {"citationID":"rLni69c9","properties":{"unsorted":false,"formattedCitation":"(Rodr\\uc0\\u237{}guez-Pe\\uc0\\u241{}a, 2025)","plainCitation":"(Rodríguez-Peña, 2025)","dontUpdate":true,"noteIndex":0},"citationItems":[{"id":16,"uris":["http://zotero.org/users/18422904/items/M78YADIA"],"itemData":{"id":16,"type":"article-journal","abstract":"The complexity and abstract nature of capabilities may explain why research on migration aspirations is far more prevalent than studies on migration capabilities, and why clear conceptualizations and operationalizations of migration capabilities remain lacking. This article provides a first global estimation of migration capabilities, discusses challenges of measuring capabilities at the macro-level and proposes directions for future research. To achieve this, it focuses on four key forms of capital at the aggregate level: economic, social, human and citizenship capital. By integrating these dimensions, the article presents three scenarios with different distributions of migration capabilities and shows that a calculation centered on economic resources and citizenship capital best explains patterns of involuntary immobility. Furthermore, the article discusses the importance of further exploring migration capabilities for both research and policy and identifies three directions for future research. First, expanding data sources and calculations to identify regions where freedom of movement is most restricted and its implications for human development. Second, examining the capability to stay and exploring how different forms of immobility interact with local development. Finally, broadening the understanding of migration capabilities beyond formal migration barriers to uncover commonalities in emigration dynamics and immobility experiences across countries.","container-title":"Comparative Migration Studies","DOI":"10.1186/s40878-025-00449-9","ISSN":"2214-594X","issue":"1","journalAbbreviation":"CMS","language":"en","page":"31","source":"Springer Link","title":"Mapping migration capabilities worldwide","volume":"13","author":[{"family":"Rodríguez-Peña","given":"Naiara"}],"issued":{"date-parts":[["2025",5,19]]}}}],"schema":"https://github.com/citation-style-language/schema/raw/master/csl-citation.json"} </w:instrText>
      </w:r>
      <w:r w:rsidR="00315CD4" w:rsidRPr="00163C1E">
        <w:rPr>
          <w:rFonts w:ascii="Garamond" w:hAnsi="Garamond"/>
        </w:rPr>
        <w:fldChar w:fldCharType="separate"/>
      </w:r>
      <w:r w:rsidR="00315CD4" w:rsidRPr="00163C1E">
        <w:rPr>
          <w:rFonts w:ascii="Garamond" w:hAnsi="Garamond" w:cs="Times New Roman"/>
          <w:kern w:val="0"/>
        </w:rPr>
        <w:t>Rodríguez-Peña</w:t>
      </w:r>
      <w:r w:rsidR="00315CD4">
        <w:rPr>
          <w:rFonts w:ascii="Garamond" w:hAnsi="Garamond" w:cs="Times New Roman"/>
          <w:kern w:val="0"/>
        </w:rPr>
        <w:t xml:space="preserve"> (</w:t>
      </w:r>
      <w:r w:rsidR="00315CD4" w:rsidRPr="00163C1E">
        <w:rPr>
          <w:rFonts w:ascii="Garamond" w:hAnsi="Garamond" w:cs="Times New Roman"/>
          <w:kern w:val="0"/>
        </w:rPr>
        <w:t>2025)</w:t>
      </w:r>
      <w:r w:rsidR="00315CD4" w:rsidRPr="00163C1E">
        <w:rPr>
          <w:rFonts w:ascii="Garamond" w:hAnsi="Garamond"/>
        </w:rPr>
        <w:fldChar w:fldCharType="end"/>
      </w:r>
      <w:r w:rsidR="00315CD4">
        <w:rPr>
          <w:rFonts w:ascii="Garamond" w:hAnsi="Garamond"/>
        </w:rPr>
        <w:t>, e</w:t>
      </w:r>
      <w:r w:rsidR="00315CD4" w:rsidRPr="00315CD4">
        <w:rPr>
          <w:rFonts w:ascii="Garamond" w:hAnsi="Garamond"/>
        </w:rPr>
        <w:t xml:space="preserve">xisting operationalizations may also face difficulties in capturing how mobility and immobility are experienced unevenly across </w:t>
      </w:r>
      <w:r w:rsidR="00315CD4">
        <w:rPr>
          <w:rFonts w:ascii="Garamond" w:hAnsi="Garamond"/>
        </w:rPr>
        <w:t>social groups</w:t>
      </w:r>
      <w:r w:rsidR="00315CD4" w:rsidRPr="00315CD4">
        <w:rPr>
          <w:rFonts w:ascii="Garamond" w:hAnsi="Garamond"/>
        </w:rPr>
        <w:t xml:space="preserve"> </w:t>
      </w:r>
      <w:r w:rsidR="00315CD4">
        <w:rPr>
          <w:rFonts w:ascii="Garamond" w:hAnsi="Garamond"/>
        </w:rPr>
        <w:fldChar w:fldCharType="begin"/>
      </w:r>
      <w:r w:rsidR="00315CD4">
        <w:rPr>
          <w:rFonts w:ascii="Garamond" w:hAnsi="Garamond"/>
        </w:rPr>
        <w:instrText xml:space="preserve"> ADDIN ZOTERO_ITEM CSL_CITATION {"citationID":"vkeM3ykV","properties":{"unsorted":false,"formattedCitation":"(Zickgraf, 2021)","plainCitation":"(Zickgraf, 2021)","noteIndex":0},"citationItems":[{"id":1809,"uris":["http://zotero.org/users/18422904/items/XQ6EBUBX"],"itemData":{"id":1809,"type":"article-journal","abstract":"The study of the relationship between environmental change and human mobility has largely focused on the movement of people as it is driven by environmental change with little regard for those who stay when faced with many of the same adverse conditions. An emerging body of work recognizes and seeks to understand the lack of migration, or immobility, in the contexts of environmental and climatic change, primarily through the notion of “trapped populations.” Theoretically, however, our understandings of immobility in relation to environmental change are underdeveloped and oversimplified, and do not do justice to the diversity, dynamism, or unevenness of (im)mobilities. In order to advance knowledge, this paper connects knowledge from environmental migration studies to immobility in broader migration research. Although there is no silver theoretical bullet, it explores the strengths and weaknesses of three frameworks in explaining and understanding (im)mobility decision-making, patterns, and consequences: (1) the New Economics of Labour Migration; (2) the aspirations-(cap)abilities framework; and (3) the mobilities paradigm. In order to break away from both sedentary and mobility biases, it asserts that scholars should theorize and analyze the entire mobility spectrum in the face of environmental change, rather than considering immobility as a separate outcome.","container-title":"Regional Environmental Change","DOI":"10.1007/s10113-021-01839-2","ISSN":"1436-378X","issue":"4","journalAbbreviation":"Reg Environ Change","language":"en","page":"126","source":"Springer Link","title":"Theorizing (im)mobility in the face of environmental change","volume":"21","author":[{"family":"Zickgraf","given":"Caroline"}],"issued":{"date-parts":[["2021",12,2]]}}}],"schema":"https://github.com/citation-style-language/schema/raw/master/csl-citation.json"} </w:instrText>
      </w:r>
      <w:r w:rsidR="00315CD4">
        <w:rPr>
          <w:rFonts w:ascii="Garamond" w:hAnsi="Garamond"/>
        </w:rPr>
        <w:fldChar w:fldCharType="separate"/>
      </w:r>
      <w:r w:rsidR="00315CD4" w:rsidRPr="00315CD4">
        <w:rPr>
          <w:rFonts w:ascii="Garamond" w:hAnsi="Garamond"/>
        </w:rPr>
        <w:t>(Zickgraf, 2021)</w:t>
      </w:r>
      <w:r w:rsidR="00315CD4">
        <w:rPr>
          <w:rFonts w:ascii="Garamond" w:hAnsi="Garamond"/>
        </w:rPr>
        <w:fldChar w:fldCharType="end"/>
      </w:r>
    </w:p>
    <w:p w14:paraId="194E48B2" w14:textId="13D4BAA9" w:rsidR="0085653E" w:rsidRPr="00163C1E" w:rsidRDefault="0085653E" w:rsidP="00D539EF">
      <w:pPr>
        <w:spacing w:line="360" w:lineRule="auto"/>
        <w:jc w:val="both"/>
        <w:rPr>
          <w:rFonts w:ascii="Garamond" w:hAnsi="Garamond" w:cs="Times New Roman"/>
        </w:rPr>
      </w:pPr>
      <w:r w:rsidRPr="00163C1E">
        <w:rPr>
          <w:rFonts w:ascii="Garamond" w:hAnsi="Garamond" w:cs="Times New Roman"/>
        </w:rPr>
        <w:t>All these observations raise important empirical and methodological questions regarding how climate-related (im)mobility should be studied</w:t>
      </w:r>
      <w:r w:rsidR="00147A83">
        <w:rPr>
          <w:rFonts w:ascii="Garamond" w:hAnsi="Garamond" w:cs="Times New Roman"/>
        </w:rPr>
        <w:t xml:space="preserve">. </w:t>
      </w:r>
      <w:r w:rsidRPr="00163C1E">
        <w:rPr>
          <w:rFonts w:ascii="Garamond" w:hAnsi="Garamond" w:cs="Times New Roman"/>
        </w:rPr>
        <w:t xml:space="preserve">In response, this paper compares different operationalizations of mobility capabilities across varying levels of aggregation and temporal dimensions. </w:t>
      </w:r>
      <w:r w:rsidRPr="000F7F38">
        <w:rPr>
          <w:rFonts w:ascii="Garamond" w:hAnsi="Garamond" w:cs="Times New Roman"/>
          <w:highlight w:val="red"/>
        </w:rPr>
        <w:t xml:space="preserve">The aim is to examine how alternative operationalizations </w:t>
      </w:r>
      <w:commentRangeStart w:id="2"/>
      <w:r w:rsidRPr="000F7F38">
        <w:rPr>
          <w:rFonts w:ascii="Garamond" w:hAnsi="Garamond" w:cs="Times New Roman"/>
          <w:highlight w:val="red"/>
        </w:rPr>
        <w:t>may</w:t>
      </w:r>
      <w:commentRangeEnd w:id="2"/>
      <w:r w:rsidR="00D61192" w:rsidRPr="000F7F38">
        <w:rPr>
          <w:rStyle w:val="CommentReference"/>
          <w:rFonts w:ascii="Garamond" w:hAnsi="Garamond" w:cs="Times New Roman"/>
          <w:sz w:val="24"/>
          <w:szCs w:val="24"/>
          <w:highlight w:val="red"/>
        </w:rPr>
        <w:commentReference w:id="2"/>
      </w:r>
      <w:r w:rsidRPr="000F7F38">
        <w:rPr>
          <w:rFonts w:ascii="Garamond" w:hAnsi="Garamond" w:cs="Times New Roman"/>
          <w:highlight w:val="red"/>
        </w:rPr>
        <w:t xml:space="preserve"> lead </w:t>
      </w:r>
      <w:r w:rsidR="00ED1777">
        <w:rPr>
          <w:rFonts w:ascii="Garamond" w:hAnsi="Garamond" w:cs="Times New Roman"/>
          <w:highlight w:val="red"/>
        </w:rPr>
        <w:t xml:space="preserve">not only </w:t>
      </w:r>
      <w:r w:rsidRPr="000F7F38">
        <w:rPr>
          <w:rFonts w:ascii="Garamond" w:hAnsi="Garamond" w:cs="Times New Roman"/>
          <w:highlight w:val="red"/>
        </w:rPr>
        <w:t>to different identifications of mobility-constrained or involuntarily immobile populations</w:t>
      </w:r>
      <w:r w:rsidR="00ED1777">
        <w:rPr>
          <w:rFonts w:ascii="Garamond" w:hAnsi="Garamond" w:cs="Times New Roman"/>
        </w:rPr>
        <w:t xml:space="preserve"> </w:t>
      </w:r>
      <w:r w:rsidR="00ED1777" w:rsidRPr="00ED1777">
        <w:rPr>
          <w:rFonts w:ascii="Garamond" w:hAnsi="Garamond" w:cs="Times New Roman"/>
          <w:highlight w:val="yellow"/>
        </w:rPr>
        <w:t>but also different policy approaches</w:t>
      </w:r>
      <w:r w:rsidR="00507A8F" w:rsidRPr="00ED1777">
        <w:rPr>
          <w:rFonts w:ascii="Garamond" w:hAnsi="Garamond" w:cs="Times New Roman"/>
          <w:highlight w:val="yellow"/>
        </w:rPr>
        <w:t>.</w:t>
      </w:r>
      <w:r w:rsidR="00507A8F" w:rsidRPr="00163C1E">
        <w:rPr>
          <w:rFonts w:ascii="Garamond" w:hAnsi="Garamond" w:cs="Times New Roman"/>
        </w:rPr>
        <w:t xml:space="preserve"> </w:t>
      </w:r>
      <w:r w:rsidRPr="00163C1E">
        <w:rPr>
          <w:rFonts w:ascii="Garamond" w:hAnsi="Garamond" w:cs="Times New Roman"/>
        </w:rPr>
        <w:t>To explore these issues empirically, the paper draws on data from three waves of the Mexican Family Life Survey</w:t>
      </w:r>
      <w:r w:rsidR="00A86A91">
        <w:rPr>
          <w:rFonts w:ascii="Garamond" w:hAnsi="Garamond" w:cs="Times New Roman"/>
        </w:rPr>
        <w:t xml:space="preserve"> (MxFLS)</w:t>
      </w:r>
      <w:r w:rsidRPr="00163C1E">
        <w:rPr>
          <w:rFonts w:ascii="Garamond" w:hAnsi="Garamond" w:cs="Times New Roman"/>
        </w:rPr>
        <w:t xml:space="preserve"> panel and is organized into four sections. Following the introduction, the second section reviews some of the main operationalizations of mobility capabilities found in the empirical literature. The third section applies selected operationalizations to the Mexican case using the available panel data. The final section presents the conclusions and preliminary policy recommendations.</w:t>
      </w:r>
    </w:p>
    <w:p w14:paraId="0096993F" w14:textId="0951D018" w:rsidR="003D07A1" w:rsidRDefault="003D07A1" w:rsidP="00D539EF">
      <w:pPr>
        <w:pStyle w:val="Heading1"/>
        <w:numPr>
          <w:ilvl w:val="0"/>
          <w:numId w:val="4"/>
        </w:numPr>
        <w:spacing w:line="360" w:lineRule="auto"/>
        <w:rPr>
          <w:rFonts w:ascii="Garamond" w:hAnsi="Garamond" w:cs="Times New Roman"/>
          <w:b/>
          <w:bCs/>
          <w:color w:val="000000" w:themeColor="text1"/>
          <w:sz w:val="24"/>
          <w:szCs w:val="24"/>
        </w:rPr>
      </w:pPr>
      <w:bookmarkStart w:id="3" w:name="_Toc230511833"/>
      <w:r w:rsidRPr="00163C1E">
        <w:rPr>
          <w:rFonts w:ascii="Garamond" w:hAnsi="Garamond" w:cs="Times New Roman"/>
          <w:b/>
          <w:bCs/>
          <w:color w:val="000000" w:themeColor="text1"/>
          <w:sz w:val="24"/>
          <w:szCs w:val="24"/>
        </w:rPr>
        <w:t>Re</w:t>
      </w:r>
      <w:r w:rsidR="000C0648" w:rsidRPr="00163C1E">
        <w:rPr>
          <w:rFonts w:ascii="Garamond" w:hAnsi="Garamond" w:cs="Times New Roman"/>
          <w:b/>
          <w:bCs/>
          <w:color w:val="000000" w:themeColor="text1"/>
          <w:sz w:val="24"/>
          <w:szCs w:val="24"/>
        </w:rPr>
        <w:t>vie</w:t>
      </w:r>
      <w:r w:rsidR="005820ED" w:rsidRPr="00163C1E">
        <w:rPr>
          <w:rFonts w:ascii="Garamond" w:hAnsi="Garamond" w:cs="Times New Roman"/>
          <w:b/>
          <w:bCs/>
          <w:color w:val="000000" w:themeColor="text1"/>
          <w:sz w:val="24"/>
          <w:szCs w:val="24"/>
        </w:rPr>
        <w:t>w</w:t>
      </w:r>
      <w:r w:rsidR="000C0648" w:rsidRPr="00163C1E">
        <w:rPr>
          <w:rFonts w:ascii="Garamond" w:hAnsi="Garamond" w:cs="Times New Roman"/>
          <w:b/>
          <w:bCs/>
          <w:color w:val="000000" w:themeColor="text1"/>
          <w:sz w:val="24"/>
          <w:szCs w:val="24"/>
        </w:rPr>
        <w:t xml:space="preserve"> methodology and re</w:t>
      </w:r>
      <w:r w:rsidRPr="00163C1E">
        <w:rPr>
          <w:rFonts w:ascii="Garamond" w:hAnsi="Garamond" w:cs="Times New Roman"/>
          <w:b/>
          <w:bCs/>
          <w:color w:val="000000" w:themeColor="text1"/>
          <w:sz w:val="24"/>
          <w:szCs w:val="24"/>
        </w:rPr>
        <w:t>search questio</w:t>
      </w:r>
      <w:r w:rsidR="008014C4" w:rsidRPr="00163C1E">
        <w:rPr>
          <w:rFonts w:ascii="Garamond" w:hAnsi="Garamond" w:cs="Times New Roman"/>
          <w:b/>
          <w:bCs/>
          <w:color w:val="000000" w:themeColor="text1"/>
          <w:sz w:val="24"/>
          <w:szCs w:val="24"/>
        </w:rPr>
        <w:t>ns</w:t>
      </w:r>
      <w:bookmarkEnd w:id="3"/>
    </w:p>
    <w:p w14:paraId="45D47AC6" w14:textId="6FFA39EF" w:rsidR="006B0B46" w:rsidRPr="00163C1E" w:rsidRDefault="00CE0212" w:rsidP="00D539EF">
      <w:pPr>
        <w:spacing w:line="360" w:lineRule="auto"/>
        <w:jc w:val="both"/>
        <w:rPr>
          <w:rFonts w:ascii="Garamond" w:hAnsi="Garamond"/>
        </w:rPr>
      </w:pPr>
      <w:r w:rsidRPr="00CE0212">
        <w:rPr>
          <w:rFonts w:ascii="Garamond" w:hAnsi="Garamond"/>
        </w:rPr>
        <w:t>To guide the retrieval of studies for this review, the main research question was defined using the Population–Concept–Context (PCC) framework, as presented in Table 1. This process yielded the following central research question:</w:t>
      </w:r>
    </w:p>
    <w:p w14:paraId="34B3BD43" w14:textId="6988F64C" w:rsidR="005267E0" w:rsidRDefault="005267E0" w:rsidP="00D539EF">
      <w:pPr>
        <w:pStyle w:val="ListParagraph"/>
        <w:numPr>
          <w:ilvl w:val="0"/>
          <w:numId w:val="3"/>
        </w:numPr>
        <w:spacing w:line="360" w:lineRule="auto"/>
        <w:jc w:val="both"/>
        <w:rPr>
          <w:rFonts w:ascii="Garamond" w:hAnsi="Garamond"/>
        </w:rPr>
      </w:pPr>
      <w:r w:rsidRPr="00163C1E">
        <w:rPr>
          <w:rFonts w:ascii="Garamond" w:hAnsi="Garamond"/>
        </w:rPr>
        <w:t xml:space="preserve">How has the capability to migrate been operationalized in the climate-related (im)mobility </w:t>
      </w:r>
      <w:r w:rsidR="00D4732C">
        <w:rPr>
          <w:rFonts w:ascii="Garamond" w:hAnsi="Garamond"/>
        </w:rPr>
        <w:t>theoretical frameworks</w:t>
      </w:r>
      <w:r w:rsidRPr="00163C1E">
        <w:rPr>
          <w:rFonts w:ascii="Garamond" w:hAnsi="Garamond"/>
        </w:rPr>
        <w:t>?</w:t>
      </w:r>
    </w:p>
    <w:p w14:paraId="49E786F4" w14:textId="3EBF5A43" w:rsidR="00CE0212" w:rsidRPr="00CE0212" w:rsidRDefault="00CE0212" w:rsidP="00D539EF">
      <w:pPr>
        <w:pStyle w:val="Caption"/>
        <w:spacing w:line="360" w:lineRule="auto"/>
        <w:rPr>
          <w:b/>
          <w:bCs/>
          <w:color w:val="000000" w:themeColor="text1"/>
          <w:sz w:val="24"/>
          <w:szCs w:val="24"/>
        </w:rPr>
      </w:pPr>
      <w:r w:rsidRPr="00CE0212">
        <w:rPr>
          <w:b/>
          <w:bCs/>
          <w:color w:val="000000" w:themeColor="text1"/>
          <w:sz w:val="24"/>
          <w:szCs w:val="24"/>
        </w:rPr>
        <w:lastRenderedPageBreak/>
        <w:t xml:space="preserve">Table </w:t>
      </w:r>
      <w:r w:rsidRPr="00CE0212">
        <w:rPr>
          <w:b/>
          <w:bCs/>
          <w:color w:val="000000" w:themeColor="text1"/>
          <w:sz w:val="24"/>
          <w:szCs w:val="24"/>
        </w:rPr>
        <w:fldChar w:fldCharType="begin"/>
      </w:r>
      <w:r w:rsidRPr="00CE0212">
        <w:rPr>
          <w:b/>
          <w:bCs/>
          <w:color w:val="000000" w:themeColor="text1"/>
          <w:sz w:val="24"/>
          <w:szCs w:val="24"/>
        </w:rPr>
        <w:instrText xml:space="preserve"> SEQ Table \* ARABIC </w:instrText>
      </w:r>
      <w:r w:rsidRPr="00CE0212">
        <w:rPr>
          <w:b/>
          <w:bCs/>
          <w:color w:val="000000" w:themeColor="text1"/>
          <w:sz w:val="24"/>
          <w:szCs w:val="24"/>
        </w:rPr>
        <w:fldChar w:fldCharType="separate"/>
      </w:r>
      <w:r w:rsidR="00E83E25">
        <w:rPr>
          <w:b/>
          <w:bCs/>
          <w:noProof/>
          <w:color w:val="000000" w:themeColor="text1"/>
          <w:sz w:val="24"/>
          <w:szCs w:val="24"/>
        </w:rPr>
        <w:t>1</w:t>
      </w:r>
      <w:r w:rsidRPr="00CE0212">
        <w:rPr>
          <w:b/>
          <w:bCs/>
          <w:color w:val="000000" w:themeColor="text1"/>
          <w:sz w:val="24"/>
          <w:szCs w:val="24"/>
        </w:rPr>
        <w:fldChar w:fldCharType="end"/>
      </w:r>
      <w:r w:rsidRPr="00CE0212">
        <w:rPr>
          <w:b/>
          <w:bCs/>
          <w:color w:val="000000" w:themeColor="text1"/>
          <w:sz w:val="24"/>
          <w:szCs w:val="24"/>
        </w:rPr>
        <w:t>.</w:t>
      </w:r>
    </w:p>
    <w:p w14:paraId="664648C3" w14:textId="0000B3D2" w:rsidR="00CE0212" w:rsidRDefault="00CE0212" w:rsidP="00D539EF">
      <w:pPr>
        <w:spacing w:line="360" w:lineRule="auto"/>
        <w:rPr>
          <w:b/>
          <w:bCs/>
        </w:rPr>
      </w:pPr>
      <w:r w:rsidRPr="00CE0212">
        <w:rPr>
          <w:b/>
          <w:bCs/>
        </w:rPr>
        <w:t>Population – Concept – Context (PCC) framework application</w:t>
      </w:r>
    </w:p>
    <w:tbl>
      <w:tblPr>
        <w:tblStyle w:val="PlainTable2"/>
        <w:tblW w:w="0" w:type="auto"/>
        <w:tblLook w:val="04A0" w:firstRow="1" w:lastRow="0" w:firstColumn="1" w:lastColumn="0" w:noHBand="0" w:noVBand="1"/>
      </w:tblPr>
      <w:tblGrid>
        <w:gridCol w:w="2830"/>
        <w:gridCol w:w="5998"/>
      </w:tblGrid>
      <w:tr w:rsidR="00CE0212" w14:paraId="4528F075" w14:textId="77777777" w:rsidTr="00CE02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000000"/>
            </w:tcBorders>
          </w:tcPr>
          <w:p w14:paraId="3C0B6DE0" w14:textId="6A315B32" w:rsidR="00CE0212" w:rsidRPr="00CE0212" w:rsidRDefault="00CE0212" w:rsidP="00D539EF">
            <w:pPr>
              <w:spacing w:line="360" w:lineRule="auto"/>
            </w:pPr>
            <w:r w:rsidRPr="00CE0212">
              <w:t>Population</w:t>
            </w:r>
          </w:p>
        </w:tc>
        <w:tc>
          <w:tcPr>
            <w:tcW w:w="5998" w:type="dxa"/>
            <w:tcBorders>
              <w:top w:val="single" w:sz="4" w:space="0" w:color="000000"/>
            </w:tcBorders>
          </w:tcPr>
          <w:p w14:paraId="1D82FCCC" w14:textId="5D6235B2" w:rsidR="00CE0212" w:rsidRPr="00CE0212" w:rsidRDefault="00CE0212" w:rsidP="00D539EF">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CE0212">
              <w:rPr>
                <w:b w:val="0"/>
                <w:bCs w:val="0"/>
              </w:rPr>
              <w:t>Households and individuals exposed or vulnerable to climate-related shocks / Trapped populations</w:t>
            </w:r>
          </w:p>
        </w:tc>
      </w:tr>
      <w:tr w:rsidR="00CE0212" w14:paraId="29299712" w14:textId="77777777" w:rsidTr="00CE02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E9D83E2" w14:textId="0FE92411" w:rsidR="00CE0212" w:rsidRPr="00CE0212" w:rsidRDefault="00CE0212" w:rsidP="00D539EF">
            <w:pPr>
              <w:spacing w:line="360" w:lineRule="auto"/>
            </w:pPr>
            <w:r w:rsidRPr="00CE0212">
              <w:t>Concept</w:t>
            </w:r>
          </w:p>
        </w:tc>
        <w:tc>
          <w:tcPr>
            <w:tcW w:w="5998" w:type="dxa"/>
          </w:tcPr>
          <w:p w14:paraId="0BD9449B" w14:textId="2DA9496B" w:rsidR="00CE0212" w:rsidRPr="00CE0212" w:rsidRDefault="00CE0212" w:rsidP="00D539EF">
            <w:pPr>
              <w:spacing w:line="360" w:lineRule="auto"/>
              <w:cnfStyle w:val="000000100000" w:firstRow="0" w:lastRow="0" w:firstColumn="0" w:lastColumn="0" w:oddVBand="0" w:evenVBand="0" w:oddHBand="1" w:evenHBand="0" w:firstRowFirstColumn="0" w:firstRowLastColumn="0" w:lastRowFirstColumn="0" w:lastRowLastColumn="0"/>
            </w:pPr>
            <w:r w:rsidRPr="00CE0212">
              <w:t>Operationalizations and indicators of mobility capabilities</w:t>
            </w:r>
          </w:p>
        </w:tc>
      </w:tr>
      <w:tr w:rsidR="00CE0212" w14:paraId="176C9F88" w14:textId="77777777" w:rsidTr="00CE0212">
        <w:tc>
          <w:tcPr>
            <w:cnfStyle w:val="001000000000" w:firstRow="0" w:lastRow="0" w:firstColumn="1" w:lastColumn="0" w:oddVBand="0" w:evenVBand="0" w:oddHBand="0" w:evenHBand="0" w:firstRowFirstColumn="0" w:firstRowLastColumn="0" w:lastRowFirstColumn="0" w:lastRowLastColumn="0"/>
            <w:tcW w:w="2830" w:type="dxa"/>
            <w:tcBorders>
              <w:bottom w:val="single" w:sz="4" w:space="0" w:color="000000"/>
            </w:tcBorders>
          </w:tcPr>
          <w:p w14:paraId="3B956030" w14:textId="5B6B0488" w:rsidR="00CE0212" w:rsidRPr="00CE0212" w:rsidRDefault="00CE0212" w:rsidP="00D539EF">
            <w:pPr>
              <w:spacing w:line="360" w:lineRule="auto"/>
            </w:pPr>
            <w:r w:rsidRPr="00CE0212">
              <w:t>Context</w:t>
            </w:r>
          </w:p>
        </w:tc>
        <w:tc>
          <w:tcPr>
            <w:tcW w:w="5998" w:type="dxa"/>
            <w:tcBorders>
              <w:bottom w:val="single" w:sz="4" w:space="0" w:color="000000"/>
            </w:tcBorders>
          </w:tcPr>
          <w:p w14:paraId="6C97D253" w14:textId="6FC39504" w:rsidR="00CE0212" w:rsidRPr="00CE0212" w:rsidRDefault="00CE0212" w:rsidP="00D539EF">
            <w:pPr>
              <w:spacing w:line="360" w:lineRule="auto"/>
              <w:cnfStyle w:val="000000000000" w:firstRow="0" w:lastRow="0" w:firstColumn="0" w:lastColumn="0" w:oddVBand="0" w:evenVBand="0" w:oddHBand="0" w:evenHBand="0" w:firstRowFirstColumn="0" w:firstRowLastColumn="0" w:lastRowFirstColumn="0" w:lastRowLastColumn="0"/>
            </w:pPr>
            <w:r w:rsidRPr="00CE0212">
              <w:t>Climate-related (im)mobility and environmental migration</w:t>
            </w:r>
          </w:p>
        </w:tc>
      </w:tr>
    </w:tbl>
    <w:p w14:paraId="7B9D0845" w14:textId="0C7642E9" w:rsidR="00CE0212" w:rsidRPr="005278C3" w:rsidRDefault="005278C3" w:rsidP="00D539EF">
      <w:pPr>
        <w:spacing w:line="360" w:lineRule="auto"/>
      </w:pPr>
      <w:r w:rsidRPr="005278C3">
        <w:t xml:space="preserve">Source: </w:t>
      </w:r>
      <w:r w:rsidR="00CA24C1">
        <w:t>Author</w:t>
      </w:r>
    </w:p>
    <w:p w14:paraId="2F4EF57A" w14:textId="088FE791" w:rsidR="005278C3" w:rsidRPr="005278C3" w:rsidRDefault="005278C3" w:rsidP="00D539EF">
      <w:pPr>
        <w:spacing w:line="360" w:lineRule="auto"/>
        <w:jc w:val="both"/>
      </w:pPr>
      <w:r w:rsidRPr="005278C3">
        <w:t>Building on this main question, the study is further guided by the following secondary questions:</w:t>
      </w:r>
    </w:p>
    <w:p w14:paraId="06252125" w14:textId="3EC9CF36" w:rsidR="001E669A" w:rsidRPr="00395D22" w:rsidRDefault="001E669A" w:rsidP="00D539EF">
      <w:pPr>
        <w:pStyle w:val="ListParagraph"/>
        <w:numPr>
          <w:ilvl w:val="0"/>
          <w:numId w:val="3"/>
        </w:numPr>
        <w:spacing w:before="100" w:beforeAutospacing="1" w:after="100" w:afterAutospacing="1" w:line="360" w:lineRule="auto"/>
        <w:jc w:val="both"/>
        <w:rPr>
          <w:rFonts w:ascii="Garamond" w:eastAsia="Times New Roman" w:hAnsi="Garamond" w:cs="Times New Roman"/>
          <w:kern w:val="0"/>
          <w:lang w:eastAsia="en-CA"/>
          <w14:ligatures w14:val="none"/>
        </w:rPr>
      </w:pPr>
      <w:r w:rsidRPr="001E669A">
        <w:rPr>
          <w:rFonts w:asciiTheme="majorHAnsi" w:eastAsia="Times New Roman" w:hAnsiTheme="majorHAnsi" w:cs="Times New Roman"/>
          <w:kern w:val="0"/>
          <w:lang w:eastAsia="en-CA"/>
          <w14:ligatures w14:val="none"/>
        </w:rPr>
        <w:t xml:space="preserve">What </w:t>
      </w:r>
      <w:r>
        <w:rPr>
          <w:rFonts w:asciiTheme="majorHAnsi" w:eastAsia="Times New Roman" w:hAnsiTheme="majorHAnsi" w:cs="Times New Roman"/>
          <w:kern w:val="0"/>
          <w:lang w:eastAsia="en-CA"/>
          <w14:ligatures w14:val="none"/>
        </w:rPr>
        <w:t>gaps</w:t>
      </w:r>
      <w:r w:rsidRPr="001E669A">
        <w:rPr>
          <w:rFonts w:asciiTheme="majorHAnsi" w:eastAsia="Times New Roman" w:hAnsiTheme="majorHAnsi" w:cs="Times New Roman"/>
          <w:kern w:val="0"/>
          <w:lang w:eastAsia="en-CA"/>
          <w14:ligatures w14:val="none"/>
        </w:rPr>
        <w:t xml:space="preserve"> do existing operationalizations present in capturing the spatial, temporal, and unequal nature of mobility capabilities?</w:t>
      </w:r>
    </w:p>
    <w:p w14:paraId="77D79EB0" w14:textId="61ED7655" w:rsidR="00395D22" w:rsidRPr="00395D22" w:rsidRDefault="00395D22" w:rsidP="00395D22">
      <w:pPr>
        <w:pStyle w:val="ListParagraph"/>
        <w:numPr>
          <w:ilvl w:val="0"/>
          <w:numId w:val="3"/>
        </w:numPr>
        <w:spacing w:after="0" w:line="360" w:lineRule="auto"/>
        <w:jc w:val="both"/>
        <w:rPr>
          <w:rFonts w:asciiTheme="majorHAnsi" w:eastAsia="Times New Roman" w:hAnsiTheme="majorHAnsi" w:cs="Times New Roman"/>
          <w:kern w:val="0"/>
          <w:sz w:val="28"/>
          <w:szCs w:val="28"/>
          <w:lang w:eastAsia="en-CA"/>
          <w14:ligatures w14:val="none"/>
        </w:rPr>
      </w:pPr>
      <w:r w:rsidRPr="00395D22">
        <w:rPr>
          <w:rFonts w:asciiTheme="majorHAnsi" w:eastAsia="Times New Roman" w:hAnsiTheme="majorHAnsi" w:cs="Times New Roman"/>
          <w:kern w:val="0"/>
          <w:lang w:eastAsia="en-CA"/>
          <w14:ligatures w14:val="none"/>
        </w:rPr>
        <w:t xml:space="preserve">How do selected operationalizations of capabilities apply </w:t>
      </w:r>
      <w:r>
        <w:rPr>
          <w:rFonts w:asciiTheme="majorHAnsi" w:eastAsia="Times New Roman" w:hAnsiTheme="majorHAnsi" w:cs="Times New Roman"/>
          <w:kern w:val="0"/>
          <w:lang w:eastAsia="en-CA"/>
          <w14:ligatures w14:val="none"/>
        </w:rPr>
        <w:t>to the</w:t>
      </w:r>
      <w:r w:rsidRPr="00395D22">
        <w:rPr>
          <w:rFonts w:asciiTheme="majorHAnsi" w:eastAsia="Times New Roman" w:hAnsiTheme="majorHAnsi" w:cs="Times New Roman"/>
          <w:kern w:val="0"/>
          <w:lang w:eastAsia="en-CA"/>
          <w14:ligatures w14:val="none"/>
        </w:rPr>
        <w:t xml:space="preserve"> Mexic</w:t>
      </w:r>
      <w:r w:rsidR="001102E6">
        <w:rPr>
          <w:rFonts w:asciiTheme="majorHAnsi" w:eastAsia="Times New Roman" w:hAnsiTheme="majorHAnsi" w:cs="Times New Roman"/>
          <w:kern w:val="0"/>
          <w:lang w:eastAsia="en-CA"/>
          <w14:ligatures w14:val="none"/>
        </w:rPr>
        <w:t>o</w:t>
      </w:r>
      <w:r w:rsidRPr="00395D22">
        <w:rPr>
          <w:rFonts w:asciiTheme="majorHAnsi" w:eastAsia="Times New Roman" w:hAnsiTheme="majorHAnsi" w:cs="Times New Roman"/>
          <w:kern w:val="0"/>
          <w:lang w:eastAsia="en-CA"/>
          <w14:ligatures w14:val="none"/>
        </w:rPr>
        <w:t xml:space="preserve"> data and which trade-offs does </w:t>
      </w:r>
      <w:r>
        <w:rPr>
          <w:rFonts w:asciiTheme="majorHAnsi" w:eastAsia="Times New Roman" w:hAnsiTheme="majorHAnsi" w:cs="Times New Roman"/>
          <w:kern w:val="0"/>
          <w:lang w:eastAsia="en-CA"/>
          <w14:ligatures w14:val="none"/>
        </w:rPr>
        <w:t>this</w:t>
      </w:r>
      <w:r w:rsidRPr="00395D22">
        <w:rPr>
          <w:rFonts w:asciiTheme="majorHAnsi" w:eastAsia="Times New Roman" w:hAnsiTheme="majorHAnsi" w:cs="Times New Roman"/>
          <w:kern w:val="0"/>
          <w:lang w:eastAsia="en-CA"/>
          <w14:ligatures w14:val="none"/>
        </w:rPr>
        <w:t xml:space="preserve"> reveal</w:t>
      </w:r>
      <w:r>
        <w:rPr>
          <w:rFonts w:asciiTheme="majorHAnsi" w:eastAsia="Times New Roman" w:hAnsiTheme="majorHAnsi" w:cs="Times New Roman"/>
          <w:kern w:val="0"/>
          <w:lang w:eastAsia="en-CA"/>
          <w14:ligatures w14:val="none"/>
        </w:rPr>
        <w:t>?</w:t>
      </w:r>
    </w:p>
    <w:p w14:paraId="69A549F7" w14:textId="39B8098A" w:rsidR="009E6E6C" w:rsidRPr="009E6E6C" w:rsidRDefault="009E6E6C" w:rsidP="009E6E6C">
      <w:pPr>
        <w:spacing w:before="100" w:beforeAutospacing="1" w:after="100" w:afterAutospacing="1" w:line="360" w:lineRule="auto"/>
        <w:jc w:val="both"/>
        <w:rPr>
          <w:rFonts w:ascii="Garamond" w:eastAsia="Times New Roman" w:hAnsi="Garamond" w:cs="Times New Roman"/>
          <w:kern w:val="0"/>
          <w:lang w:eastAsia="en-CA"/>
          <w14:ligatures w14:val="none"/>
        </w:rPr>
      </w:pPr>
      <w:r w:rsidRPr="009E6E6C">
        <w:rPr>
          <w:rFonts w:ascii="Garamond" w:eastAsia="Times New Roman" w:hAnsi="Garamond" w:cs="Times New Roman"/>
          <w:kern w:val="0"/>
          <w:lang w:eastAsia="en-CA"/>
          <w14:ligatures w14:val="none"/>
        </w:rPr>
        <w:t>To identify studies relevant to these questions, a literature review of articles published between 2011 and 2026 was conducted using Scopus, ScienceDirect</w:t>
      </w:r>
      <w:r w:rsidR="000F2584">
        <w:rPr>
          <w:rFonts w:ascii="Garamond" w:eastAsia="Times New Roman" w:hAnsi="Garamond" w:cs="Times New Roman"/>
          <w:kern w:val="0"/>
          <w:lang w:eastAsia="en-CA"/>
          <w14:ligatures w14:val="none"/>
        </w:rPr>
        <w:t xml:space="preserve"> (50 studies)</w:t>
      </w:r>
      <w:r w:rsidRPr="009E6E6C">
        <w:rPr>
          <w:rFonts w:ascii="Garamond" w:eastAsia="Times New Roman" w:hAnsi="Garamond" w:cs="Times New Roman"/>
          <w:kern w:val="0"/>
          <w:lang w:eastAsia="en-CA"/>
          <w14:ligatures w14:val="none"/>
        </w:rPr>
        <w:t>, and Google Scholar, complemented through backward snowballing. Following</w:t>
      </w:r>
      <w:r>
        <w:rPr>
          <w:rFonts w:ascii="Garamond" w:eastAsia="Times New Roman" w:hAnsi="Garamond" w:cs="Times New Roman"/>
          <w:kern w:val="0"/>
          <w:lang w:eastAsia="en-CA"/>
          <w14:ligatures w14:val="none"/>
        </w:rPr>
        <w:t xml:space="preserve"> </w:t>
      </w:r>
      <w:r>
        <w:rPr>
          <w:rFonts w:ascii="Garamond" w:eastAsia="Times New Roman" w:hAnsi="Garamond" w:cs="Times New Roman"/>
          <w:kern w:val="0"/>
          <w:lang w:eastAsia="en-CA"/>
          <w14:ligatures w14:val="none"/>
        </w:rPr>
        <w:fldChar w:fldCharType="begin"/>
      </w:r>
      <w:r>
        <w:rPr>
          <w:rFonts w:ascii="Garamond" w:eastAsia="Times New Roman" w:hAnsi="Garamond" w:cs="Times New Roman"/>
          <w:kern w:val="0"/>
          <w:lang w:eastAsia="en-CA"/>
          <w14:ligatures w14:val="none"/>
        </w:rPr>
        <w:instrText xml:space="preserve"> ADDIN ZOTERO_ITEM CSL_CITATION {"citationID":"a0Bz82ix","properties":{"unsorted":false,"formattedCitation":"(Sengupta, 2025)","plainCitation":"(Sengupta, 2025)","dontUpdate":true,"noteIndex":0},"citationItems":[{"id":9,"uris":["http://zotero.org/users/18422904/items/BKFLSSJU"],"itemData":{"id":9,"type":"article-journal","abstract":"Environmental migration research has traditionally focused on mobility outcomes in the face of environmental change. However, the ‘trapped populations’ concept introduced in the influential Foresight Report (2011) drew attention to immobility outcomes owing to people’s inability or unwillingness to migrate away from environmentally high-risk settings. To assess the evolution of the empirical research landscape of environmental immobility, this paper systematically reviews 55 studies in terms of their thematic focus areas, theoretical and methodological concerns, geographical distribution, the interplay between environmental and societal contexts, the characterisation of immobility processes, and interrelations with mobility processes. The findings suggest a predominant focus on the causes of immobility based on a dichotomisation of immobility as ‘forced’ and ‘voluntary’. Using insights from migration theory, this paper provides a schematic framework that helps us think analytically about environmental immobility processes in terms of a continuum of choices and constraints and implications for stayers’ well-being.","container-title":"Ambio","DOI":"10.1007/s13280-025-02195-9","ISSN":"1654-7209","issue":"11","journalAbbreviation":"Ambio","language":"en","page":"1729-1756","source":"Springer Link","title":"Environmental immobility: A systematic review of empirical research","title-short":"Environmental immobility","volume":"54","author":[{"family":"Sengupta","given":"Moitrayee"}],"issued":{"date-parts":[["2025",11,1]]}}}],"schema":"https://github.com/citation-style-language/schema/raw/master/csl-citation.json"} </w:instrText>
      </w:r>
      <w:r>
        <w:rPr>
          <w:rFonts w:ascii="Garamond" w:eastAsia="Times New Roman" w:hAnsi="Garamond" w:cs="Times New Roman"/>
          <w:kern w:val="0"/>
          <w:lang w:eastAsia="en-CA"/>
          <w14:ligatures w14:val="none"/>
        </w:rPr>
        <w:fldChar w:fldCharType="separate"/>
      </w:r>
      <w:r w:rsidRPr="005278C3">
        <w:rPr>
          <w:rFonts w:ascii="Garamond" w:hAnsi="Garamond"/>
          <w:lang w:eastAsia="en-CA"/>
        </w:rPr>
        <w:t>Sengupta</w:t>
      </w:r>
      <w:r>
        <w:rPr>
          <w:rFonts w:ascii="Garamond" w:hAnsi="Garamond"/>
          <w:lang w:eastAsia="en-CA"/>
        </w:rPr>
        <w:t xml:space="preserve"> (</w:t>
      </w:r>
      <w:r w:rsidRPr="005278C3">
        <w:rPr>
          <w:rFonts w:ascii="Garamond" w:hAnsi="Garamond"/>
          <w:lang w:eastAsia="en-CA"/>
        </w:rPr>
        <w:t>2025)</w:t>
      </w:r>
      <w:r>
        <w:rPr>
          <w:rFonts w:ascii="Garamond" w:eastAsia="Times New Roman" w:hAnsi="Garamond" w:cs="Times New Roman"/>
          <w:kern w:val="0"/>
          <w:lang w:eastAsia="en-CA"/>
          <w14:ligatures w14:val="none"/>
        </w:rPr>
        <w:fldChar w:fldCharType="end"/>
      </w:r>
      <w:r w:rsidRPr="009E6E6C">
        <w:rPr>
          <w:rFonts w:ascii="Garamond" w:eastAsia="Times New Roman" w:hAnsi="Garamond" w:cs="Times New Roman"/>
          <w:kern w:val="0"/>
          <w:lang w:eastAsia="en-CA"/>
          <w14:ligatures w14:val="none"/>
        </w:rPr>
        <w:t xml:space="preserve">, 2011 was selected as the starting point because the Foresight Report published that year helped establish immobility and “trapped populations” as topics within migration research. Due to time constraints, the review is limited to approximately </w:t>
      </w:r>
      <w:commentRangeStart w:id="4"/>
      <w:r w:rsidRPr="00A86A91">
        <w:rPr>
          <w:rFonts w:ascii="Garamond" w:eastAsia="Times New Roman" w:hAnsi="Garamond" w:cs="Times New Roman"/>
          <w:kern w:val="0"/>
          <w:highlight w:val="yellow"/>
          <w:lang w:eastAsia="en-CA"/>
          <w14:ligatures w14:val="none"/>
        </w:rPr>
        <w:t>30–35 studies</w:t>
      </w:r>
      <w:commentRangeEnd w:id="4"/>
      <w:r w:rsidR="00D61192" w:rsidRPr="009E6E6C">
        <w:rPr>
          <w:rStyle w:val="CommentReference"/>
          <w:rFonts w:ascii="Garamond" w:eastAsia="Times New Roman" w:hAnsi="Garamond" w:cs="Times New Roman"/>
          <w:kern w:val="0"/>
          <w:sz w:val="24"/>
          <w:szCs w:val="24"/>
          <w:lang w:eastAsia="en-CA"/>
          <w14:ligatures w14:val="none"/>
        </w:rPr>
        <w:commentReference w:id="4"/>
      </w:r>
      <w:r w:rsidRPr="009E6E6C">
        <w:rPr>
          <w:rFonts w:ascii="Garamond" w:eastAsia="Times New Roman" w:hAnsi="Garamond" w:cs="Times New Roman"/>
          <w:kern w:val="0"/>
          <w:lang w:eastAsia="en-CA"/>
          <w14:ligatures w14:val="none"/>
        </w:rPr>
        <w:t>. Search strings are presented in Annex 1.</w:t>
      </w:r>
    </w:p>
    <w:p w14:paraId="67D771A8" w14:textId="6038BCB1" w:rsidR="003D07A1" w:rsidRPr="00163C1E" w:rsidRDefault="003D07A1" w:rsidP="00D539EF">
      <w:pPr>
        <w:pStyle w:val="Heading1"/>
        <w:numPr>
          <w:ilvl w:val="0"/>
          <w:numId w:val="4"/>
        </w:numPr>
        <w:spacing w:line="360" w:lineRule="auto"/>
        <w:rPr>
          <w:rFonts w:ascii="Garamond" w:hAnsi="Garamond" w:cs="Times New Roman"/>
          <w:b/>
          <w:bCs/>
          <w:color w:val="000000" w:themeColor="text1"/>
          <w:sz w:val="24"/>
          <w:szCs w:val="24"/>
        </w:rPr>
      </w:pPr>
      <w:bookmarkStart w:id="5" w:name="_Toc230511834"/>
      <w:r w:rsidRPr="00163C1E">
        <w:rPr>
          <w:rFonts w:ascii="Garamond" w:hAnsi="Garamond" w:cs="Times New Roman"/>
          <w:b/>
          <w:bCs/>
          <w:color w:val="000000" w:themeColor="text1"/>
          <w:sz w:val="24"/>
          <w:szCs w:val="24"/>
        </w:rPr>
        <w:t>Limitations of the paper</w:t>
      </w:r>
      <w:bookmarkEnd w:id="5"/>
    </w:p>
    <w:p w14:paraId="28F4FF90" w14:textId="09D6C393" w:rsidR="009E6E6C" w:rsidRDefault="009E6E6C" w:rsidP="00D539EF">
      <w:pPr>
        <w:spacing w:line="360" w:lineRule="auto"/>
        <w:jc w:val="both"/>
        <w:rPr>
          <w:rFonts w:ascii="Garamond" w:hAnsi="Garamond"/>
        </w:rPr>
      </w:pPr>
      <w:r w:rsidRPr="009E6E6C">
        <w:rPr>
          <w:rFonts w:ascii="Garamond" w:hAnsi="Garamond"/>
        </w:rPr>
        <w:t xml:space="preserve">The limitations of this paper stem from its scope, time constraints, and the nature of the dataset used to explore the research questions. First, although the aspirations–capabilities framework conceptualizes immobility as the result of both migration aspirations and mobility capabilities, this paper focuses primarily on problematizing the operationalization of the latter. This is not to say that aspirations are free from conceptual ambiguities, as several authors have shown </w:t>
      </w:r>
      <w:r w:rsidRPr="00163C1E">
        <w:rPr>
          <w:rFonts w:ascii="Garamond" w:hAnsi="Garamond"/>
        </w:rPr>
        <w:fldChar w:fldCharType="begin"/>
      </w:r>
      <w:r>
        <w:rPr>
          <w:rFonts w:ascii="Garamond" w:hAnsi="Garamond"/>
        </w:rPr>
        <w:instrText xml:space="preserve"> ADDIN ZOTERO_ITEM CSL_CITATION {"citationID":"qrTeTGfT","properties":{"unsorted":false,"formattedCitation":"(Black &amp; Collyer, 2014; Carling &amp; Schewel, 2019; Schewel, 2020; Zickgraf, 2018)","plainCitation":"(Black &amp; Collyer, 2014; Carling &amp; Schewel, 2019; Schewel, 2020; Zickgraf, 2018)","noteIndex":0},"citationItems":[{"id":1833,"uris":["http://zotero.org/users/18422904/items/Z2NZJMCJ"],"itemData":{"id":1833,"type":"chapter","abstract":"Amid widespread policy interest in the numbers of individuals likely to be displaced by humanitarian crises, there is a growing weight of evidence that particular drivers, such as environmental change, may actually prevent rather than encourage movement\n                           1\n                         (Black et al. 2011; Gray and Mueller 2012b). There are obvious humanitarian reasons to be concerned about situations in which individuals are unable to move to escape danger, as such immobility both magnifies their vulnerability and may inhibit the access of humanitarian actors. Yet a research agenda investigating why populations might become “trapped” is still very much in its infancy, and faces a number of challenges. This chapter considers these challenges using the limited information on trapped populations in a variety of contexts globally. It sets out a justification for a research agenda on how and why people become trapped in times of crisis, and considers how research could progress in this currently very limited but potentially highly significant field. The chapter concludes with a consideration of the policy implications of this agenda.","container-title":"Humanitarian Crises and Migration","note":"number-of-pages: 19","publisher":"Routledge","title":"“Trapped” Populations: Limits on mobility at times of crisis","title-short":"“Trapped” Populations","author":[{"family":"Black","given":"Richard"},{"family":"Collyer","given":"Michael"}],"issued":{"date-parts":[["2014"]]}}},{"id":1794,"uris":["http://zotero.org/users/18422904/items/RD9US8U7"],"itemData":{"id":1794,"type":"chapter","abstract":"It is a refreshingly simple thought that migration is the combined result of two factors: the aspiration to migrate and the ability to migrate. Without having to resort to overly structural or individualistic explanations, this analytical distinction helps disentangle complex questions around why some people migrate but others do not. Still, aspiration and ability raise their own thorny theoretical and methodological questions. To begin with, what does it mean to have migration aspirations? How can such concepts be objects of empirical research? And is it meaningful to say that individuals possess the ability to migrate if their preference is to stay? The aspiration/ability model was originally proposed in this journal and has since been diversely applied and adapted. In this article, we look back at more than a decade of research to examine a series of theoretical and empirical developments related to the aspiration/ability model and its extensions. We identify two-step approaches as a class of analytical frameworks that share the basic logic of the aspiration/ability model. Covering expansive theoretical, methodological and empirical ground, we seek to lay a foundation for new research on global migration in its diverse forms.","container-title":"Aspiration, Desire and the Drivers of Migration","note":"number-of-pages: 19","publisher":"Routledge","title":": Revisiting aspiration and ability in international migration","author":[{"family":"Carling","given":"Jørgen"},{"family":"Schewel","given":"Kerilyn"}],"issued":{"date-parts":[["2019"]]}}},{"id":1779,"uris":["http://zotero.org/users/18422904/items/MQMAISN3"],"itemData":{"id":1779,"type":"article-journal","abstract":"This article suggests that there is a mobility bias in migration research: by focusing on the “drivers” of migration — the forces that lead to the initiation and perpetuation of migration flows — migration theories neglect the countervailing structural and personal forces that restrict or resist these drivers and lead to different immobility outcomes. To advance a research agenda on immobility, it offers a definition of immobility, further develops the aspiration-capability framework as an analytical tool for exploring the determinants of different forms of (im)mobility, synthesizes decades of interdisciplinary research to help explain why people do not migrate or desire to migrate, and considers future directions for further qualitative and quantitative research on immobility.","container-title":"International Migration Review","DOI":"10.1177/0197918319831952","ISSN":"0197-9183","issue":"2","language":"EN","page":"328-355","publisher":"SAGE Publications Inc","source":"SAGE Journals","title":"Understanding Immobility: Moving Beyond the Mobility Bias in Migration Studies","title-short":"Understanding Immobility","volume":"54","author":[{"family":"Schewel","given":"Kerilyn"}],"issued":{"date-parts":[["2020",6,1]]}}},{"id":1822,"uris":["http://zotero.org/users/18422904/items/QZCPAADF"],"itemData":{"id":1822,"type":"chapter","container-title":"Routledge Handbook of Environmental Displacement and Migration","ISSN":"978-1-138-19446-5","publisher-place":"New York","title":"Immobility","author":[{"family":"Zickgraf","given":"Caroline"}],"editor":[{"family":"McLeman","given":"Robert"},{"family":"Gemenne","given":"François"}],"issued":{"date-parts":[["2018"]]}}}],"schema":"https://github.com/citation-style-language/schema/raw/master/csl-citation.json"} </w:instrText>
      </w:r>
      <w:r w:rsidRPr="00163C1E">
        <w:rPr>
          <w:rFonts w:ascii="Garamond" w:hAnsi="Garamond"/>
        </w:rPr>
        <w:fldChar w:fldCharType="separate"/>
      </w:r>
      <w:r w:rsidRPr="00885BD5">
        <w:rPr>
          <w:rFonts w:ascii="Garamond" w:hAnsi="Garamond"/>
        </w:rPr>
        <w:t>(Black &amp; Collyer, 2014; Carling &amp; Schewel, 2019; Schewel, 2020; Zickgraf, 2018)</w:t>
      </w:r>
      <w:r w:rsidRPr="00163C1E">
        <w:rPr>
          <w:rFonts w:ascii="Garamond" w:hAnsi="Garamond"/>
        </w:rPr>
        <w:fldChar w:fldCharType="end"/>
      </w:r>
      <w:r>
        <w:rPr>
          <w:rFonts w:ascii="Garamond" w:hAnsi="Garamond"/>
        </w:rPr>
        <w:t xml:space="preserve"> </w:t>
      </w:r>
      <w:r w:rsidRPr="009E6E6C">
        <w:rPr>
          <w:rFonts w:ascii="Garamond" w:hAnsi="Garamond"/>
        </w:rPr>
        <w:t xml:space="preserve">but addressing both dimensions simultaneously falls beyond the scope of this review. Similarly, meta-analyses on climate-related (im)mobility </w:t>
      </w:r>
      <w:r w:rsidRPr="009A0BA3">
        <w:rPr>
          <w:rFonts w:ascii="Garamond" w:hAnsi="Garamond"/>
        </w:rPr>
        <w:t>(see</w:t>
      </w:r>
      <w:r>
        <w:rPr>
          <w:rFonts w:ascii="Garamond" w:hAnsi="Garamond"/>
        </w:rPr>
        <w:t xml:space="preserve"> </w:t>
      </w:r>
      <w:r>
        <w:rPr>
          <w:rFonts w:ascii="Garamond" w:hAnsi="Garamond"/>
        </w:rPr>
        <w:fldChar w:fldCharType="begin"/>
      </w:r>
      <w:r>
        <w:rPr>
          <w:rFonts w:ascii="Garamond" w:hAnsi="Garamond"/>
        </w:rPr>
        <w:instrText xml:space="preserve"> ADDIN ZOTERO_ITEM CSL_CITATION {"citationID":"mSQRmuO2","properties":{"unsorted":false,"formattedCitation":"(Beine &amp; Jeusette, 2018)","plainCitation":"(Beine &amp; Jeusette, 2018)","dontUpdate":true,"noteIndex":0},"citationItems":[{"id":1777,"uris":["http://zotero.org/users/18422904/items/ECVNK659"],"itemData":{"id":1777,"type":"article-journal","abstract":"Recent surveys of the literature devoted to climate change and migration empha- size the important diversity of outcomes and approaches of the empirical studies. In this paper, we carry out a meta-analysis in order to investigate the role of the vari- ous methodological choices of these empirical studies in finding some particular results concerning the role of climatic factors as drivers of human mobility. To that aim, we code 45 papers representative of the existing literature in terms of methodological approaches. This results in the coding of more than 80 variables capturing the methodology of the main dimensions of the methods. These dimensions include among others authors' reputation, type of mobility, measures of mobility, type of data, context of the study, econometric methods and last but not least measures of the climatic factors. We look at the influence of these characteristics on the probability of finding any effect of climate change, of finding a displacement effect, of finding an increase in immobility and of finding evidence in favour of a direct versus an indirect effect. Our results highlight the role of some main methodological choices, such as the frequency of the data on mobility, the level of development of the covered area, the particular measures of human mobility and of the climate factors as well as the econometric methodology.","collection-title":"DEM Discussion Paper Series","container-title":"DEM Discussion Paper Series","language":"en","note":"number: 18-05","publisher":"Department of Economics at the University of Luxembourg","source":"ideas.repec.org","title":"A Meta-Analysis of the Literature on Climate Change and Migration","URL":"https://ideas.repec.org//p/luc/wpaper/18-05.html","author":[{"family":"Beine","given":"Michel"},{"family":"Jeusette","given":"Lionel"}],"accessed":{"date-parts":[["2026",5,15]]},"issued":{"date-parts":[["2018"]]}}}],"schema":"https://github.com/citation-style-language/schema/raw/master/csl-citation.json"} </w:instrText>
      </w:r>
      <w:r>
        <w:rPr>
          <w:rFonts w:ascii="Garamond" w:hAnsi="Garamond"/>
        </w:rPr>
        <w:fldChar w:fldCharType="separate"/>
      </w:r>
      <w:r w:rsidRPr="009A0BA3">
        <w:rPr>
          <w:rFonts w:ascii="Garamond" w:hAnsi="Garamond"/>
        </w:rPr>
        <w:t>Beine &amp; Jeusette</w:t>
      </w:r>
      <w:r>
        <w:rPr>
          <w:rFonts w:ascii="Garamond" w:hAnsi="Garamond"/>
        </w:rPr>
        <w:t xml:space="preserve"> (</w:t>
      </w:r>
      <w:r w:rsidRPr="009A0BA3">
        <w:rPr>
          <w:rFonts w:ascii="Garamond" w:hAnsi="Garamond"/>
        </w:rPr>
        <w:t>2018)</w:t>
      </w:r>
      <w:r>
        <w:rPr>
          <w:rFonts w:ascii="Garamond" w:hAnsi="Garamond"/>
        </w:rPr>
        <w:fldChar w:fldCharType="end"/>
      </w:r>
      <w:r w:rsidRPr="009A0BA3">
        <w:rPr>
          <w:rFonts w:ascii="Garamond" w:hAnsi="Garamond"/>
        </w:rPr>
        <w:t xml:space="preserve">) </w:t>
      </w:r>
      <w:r w:rsidRPr="009E6E6C">
        <w:rPr>
          <w:rFonts w:ascii="Garamond" w:hAnsi="Garamond"/>
        </w:rPr>
        <w:t xml:space="preserve"> suggest that differences in findings are also shaped by contextual conditions, the measurement of climate stressors, econometric </w:t>
      </w:r>
      <w:r w:rsidRPr="009E6E6C">
        <w:rPr>
          <w:rFonts w:ascii="Garamond" w:hAnsi="Garamond"/>
        </w:rPr>
        <w:lastRenderedPageBreak/>
        <w:t xml:space="preserve">methodologies, and the frequency of mobility data, aspects which </w:t>
      </w:r>
      <w:r>
        <w:rPr>
          <w:rFonts w:ascii="Garamond" w:hAnsi="Garamond"/>
        </w:rPr>
        <w:t xml:space="preserve">also </w:t>
      </w:r>
      <w:r w:rsidRPr="009A0BA3">
        <w:rPr>
          <w:rFonts w:ascii="Garamond" w:hAnsi="Garamond"/>
        </w:rPr>
        <w:t>fall beyond the scope of this paper.</w:t>
      </w:r>
      <w:r w:rsidR="005477C4">
        <w:rPr>
          <w:rFonts w:ascii="Garamond" w:hAnsi="Garamond"/>
        </w:rPr>
        <w:t xml:space="preserve"> </w:t>
      </w:r>
      <w:r w:rsidR="00A86A91" w:rsidRPr="00A86A91">
        <w:rPr>
          <w:rFonts w:ascii="Garamond" w:hAnsi="Garamond"/>
        </w:rPr>
        <w:t>It is also beyond the scope of this paper to empirically examine all potential operationalizations proposed in the literature. Therefore, only a selected set of measures will be explored using the MxFLS data, namely two unidimensional indicators (employment status and educational attainment) and one multidimensional operationalization.</w:t>
      </w:r>
    </w:p>
    <w:p w14:paraId="263933F7" w14:textId="1DC20194" w:rsidR="009E6E6C" w:rsidRPr="009E6E6C" w:rsidRDefault="009E6E6C" w:rsidP="009E6E6C">
      <w:pPr>
        <w:spacing w:line="360" w:lineRule="auto"/>
        <w:jc w:val="both"/>
        <w:rPr>
          <w:rFonts w:ascii="Garamond" w:hAnsi="Garamond"/>
        </w:rPr>
      </w:pPr>
      <w:r w:rsidRPr="00885F40">
        <w:rPr>
          <w:rFonts w:ascii="Garamond" w:hAnsi="Garamond"/>
          <w:highlight w:val="yellow"/>
        </w:rPr>
        <w:t xml:space="preserve">Second, while some studies examine mobility capabilities at broader structural or national scales, the micro-level nature of the dataset used in this </w:t>
      </w:r>
      <w:commentRangeStart w:id="6"/>
      <w:r w:rsidRPr="00885F40">
        <w:rPr>
          <w:rFonts w:ascii="Garamond" w:hAnsi="Garamond"/>
          <w:highlight w:val="yellow"/>
        </w:rPr>
        <w:t xml:space="preserve">paper </w:t>
      </w:r>
      <w:commentRangeEnd w:id="6"/>
      <w:r w:rsidR="00D61192" w:rsidRPr="00885F40">
        <w:rPr>
          <w:rStyle w:val="CommentReference"/>
          <w:rFonts w:ascii="Garamond" w:hAnsi="Garamond"/>
          <w:sz w:val="24"/>
          <w:szCs w:val="24"/>
          <w:highlight w:val="yellow"/>
        </w:rPr>
        <w:commentReference w:id="6"/>
      </w:r>
      <w:r w:rsidRPr="00885F40">
        <w:rPr>
          <w:rFonts w:ascii="Garamond" w:hAnsi="Garamond"/>
          <w:highlight w:val="yellow"/>
        </w:rPr>
        <w:t>limits the empirical exploration to individual, household, and community-level dimensions</w:t>
      </w:r>
      <w:r w:rsidRPr="009E6E6C">
        <w:rPr>
          <w:rFonts w:ascii="Garamond" w:hAnsi="Garamond"/>
        </w:rPr>
        <w:t>. In addition, because mobility capabilities are understood as dynamic and evolving constructs, the three-wave structure of the dataset may not fully capture long-term responses</w:t>
      </w:r>
      <w:r w:rsidR="00115A86">
        <w:rPr>
          <w:rFonts w:ascii="Garamond" w:hAnsi="Garamond"/>
        </w:rPr>
        <w:t xml:space="preserve">, particularly </w:t>
      </w:r>
      <w:r w:rsidRPr="009E6E6C">
        <w:rPr>
          <w:rFonts w:ascii="Garamond" w:hAnsi="Garamond"/>
        </w:rPr>
        <w:t>to slow-onset environmental change. Existing literature also suggests that immobility should be understood relationally, as the (im)mobility decisions of some household members may shape the mobility capabilities of others</w:t>
      </w:r>
      <w:r>
        <w:rPr>
          <w:rFonts w:ascii="Garamond" w:hAnsi="Garamond"/>
        </w:rPr>
        <w:t xml:space="preserve"> or what </w:t>
      </w:r>
      <w:r>
        <w:rPr>
          <w:rFonts w:ascii="Garamond" w:hAnsi="Garamond"/>
          <w:highlight w:val="red"/>
        </w:rPr>
        <w:fldChar w:fldCharType="begin"/>
      </w:r>
      <w:r>
        <w:rPr>
          <w:rFonts w:ascii="Garamond" w:hAnsi="Garamond"/>
          <w:highlight w:val="red"/>
        </w:rPr>
        <w:instrText xml:space="preserve"> ADDIN ZOTERO_ITEM CSL_CITATION {"citationID":"zVWsLYOk","properties":{"unsorted":false,"formattedCitation":"(Ayeb-Karlsson et\\uc0\\u160{}al., 2018)","plainCitation":"(Ayeb-Karlsson et al., 2018)","dontUpdate":true,"noteIndex":0},"citationItems":[{"id":1804,"uris":["http://zotero.org/users/18422904/items/4KDMIPVN"],"itemData":{"id":1804,"type":"article-journal","abstract":"First mooted in 2011, the concept of Trapped Populations referring to people unable to move from environmentally high-risk areas broadened the study of human responses to environmental change. While a seemingly straightforward concept, the underlying discourses around the reasons for being ‘trapped’, and the language describing the concept have profound influences on the way in which policy and practice approaches the needs of populations at risk from environmental stresses and shocks. In this article, we apply a Critical Discourse Analysis to the academic literature on the subject to reveal some of the assumptions implicit within discussing ‘trapped’ populations. The analysis reveals a dominant school of thought that assisted migration, relocation, and resettlement in the face of climate change are potentially effective adaptation strategies along a gradient of migrant agency and governance.","container-title":"Ambio","DOI":"10.1007/s13280-017-1007-6","ISSN":"1654-7209","issue":"5","journalAbbreviation":"Ambio","language":"en","page":"557-573","source":"Springer Link","title":"A discursive review of the textual use of ‘trapped’ in environmental migration studies: The conceptual birth and troubled teenage years of trapped populations","title-short":"A discursive review of the textual use of ‘trapped’ in environmental migration studies","volume":"47","author":[{"family":"Ayeb-Karlsson","given":"Sonja"},{"family":"Smith","given":"Christopher D."},{"family":"Kniveton","given":"Dominic"}],"issued":{"date-parts":[["2018",9,1]]}}}],"schema":"https://github.com/citation-style-language/schema/raw/master/csl-citation.json"} </w:instrText>
      </w:r>
      <w:r>
        <w:rPr>
          <w:rFonts w:ascii="Garamond" w:hAnsi="Garamond"/>
          <w:highlight w:val="red"/>
        </w:rPr>
        <w:fldChar w:fldCharType="separate"/>
      </w:r>
      <w:r w:rsidRPr="00F156B6">
        <w:rPr>
          <w:rFonts w:ascii="Garamond" w:hAnsi="Garamond" w:cs="Times New Roman"/>
          <w:kern w:val="0"/>
        </w:rPr>
        <w:t xml:space="preserve">Ayeb-Karlsson et al., </w:t>
      </w:r>
      <w:r>
        <w:rPr>
          <w:rFonts w:ascii="Garamond" w:hAnsi="Garamond" w:cs="Times New Roman"/>
          <w:kern w:val="0"/>
        </w:rPr>
        <w:t>(</w:t>
      </w:r>
      <w:r w:rsidRPr="00F156B6">
        <w:rPr>
          <w:rFonts w:ascii="Garamond" w:hAnsi="Garamond" w:cs="Times New Roman"/>
          <w:kern w:val="0"/>
        </w:rPr>
        <w:t>2018)</w:t>
      </w:r>
      <w:r>
        <w:rPr>
          <w:rFonts w:ascii="Garamond" w:hAnsi="Garamond"/>
          <w:highlight w:val="red"/>
        </w:rPr>
        <w:fldChar w:fldCharType="end"/>
      </w:r>
      <w:r>
        <w:rPr>
          <w:rFonts w:ascii="Garamond" w:hAnsi="Garamond"/>
          <w:highlight w:val="red"/>
        </w:rPr>
        <w:t xml:space="preserve"> terms “enabling immobility</w:t>
      </w:r>
      <w:r>
        <w:rPr>
          <w:rFonts w:ascii="Garamond" w:hAnsi="Garamond"/>
        </w:rPr>
        <w:t xml:space="preserve">”. </w:t>
      </w:r>
      <w:commentRangeStart w:id="7"/>
      <w:r w:rsidRPr="009E6E6C">
        <w:rPr>
          <w:rFonts w:ascii="Garamond" w:hAnsi="Garamond"/>
        </w:rPr>
        <w:t>However, quantitatively operationalizing these interrelational dynamics remains methodologically difficult. Finally, because mobility capabilities constitute a latent construct that may only become observable when migration emerges as a concrete possibility, some underlying mechanisms may not be fully captured through quantitative data alone.</w:t>
      </w:r>
      <w:commentRangeEnd w:id="7"/>
      <w:r w:rsidR="00D61192" w:rsidRPr="009E6E6C">
        <w:rPr>
          <w:rStyle w:val="CommentReference"/>
          <w:rFonts w:ascii="Garamond" w:hAnsi="Garamond"/>
          <w:sz w:val="24"/>
          <w:szCs w:val="24"/>
        </w:rPr>
        <w:commentReference w:id="7"/>
      </w:r>
    </w:p>
    <w:p w14:paraId="5220ED8B" w14:textId="77777777" w:rsidR="005820ED" w:rsidRDefault="003D07A1" w:rsidP="00D539EF">
      <w:pPr>
        <w:pStyle w:val="Heading1"/>
        <w:numPr>
          <w:ilvl w:val="0"/>
          <w:numId w:val="4"/>
        </w:numPr>
        <w:spacing w:line="360" w:lineRule="auto"/>
        <w:rPr>
          <w:rFonts w:ascii="Garamond" w:hAnsi="Garamond"/>
          <w:b/>
          <w:bCs/>
          <w:color w:val="000000" w:themeColor="text1"/>
          <w:sz w:val="24"/>
          <w:szCs w:val="24"/>
        </w:rPr>
      </w:pPr>
      <w:bookmarkStart w:id="8" w:name="_Toc230511835"/>
      <w:r w:rsidRPr="00163C1E">
        <w:rPr>
          <w:rFonts w:ascii="Garamond" w:hAnsi="Garamond"/>
          <w:b/>
          <w:bCs/>
          <w:color w:val="000000" w:themeColor="text1"/>
          <w:sz w:val="24"/>
          <w:szCs w:val="24"/>
        </w:rPr>
        <w:t>Literature review</w:t>
      </w:r>
      <w:bookmarkEnd w:id="8"/>
    </w:p>
    <w:p w14:paraId="6C623C0F" w14:textId="7A4FA2C2" w:rsidR="00432876" w:rsidRPr="00432876" w:rsidRDefault="00432876" w:rsidP="00D539EF">
      <w:pPr>
        <w:spacing w:before="100" w:beforeAutospacing="1" w:after="100" w:afterAutospacing="1" w:line="360" w:lineRule="auto"/>
        <w:jc w:val="both"/>
        <w:rPr>
          <w:rFonts w:ascii="Garamond" w:eastAsia="Times New Roman" w:hAnsi="Garamond" w:cs="Times New Roman"/>
          <w:kern w:val="0"/>
          <w:lang w:eastAsia="en-CA"/>
          <w14:ligatures w14:val="none"/>
        </w:rPr>
      </w:pPr>
      <w:r w:rsidRPr="00432876">
        <w:rPr>
          <w:rFonts w:ascii="Garamond" w:eastAsia="Times New Roman" w:hAnsi="Garamond" w:cs="Times New Roman"/>
          <w:kern w:val="0"/>
          <w:lang w:eastAsia="en-CA"/>
          <w14:ligatures w14:val="none"/>
        </w:rPr>
        <w:t xml:space="preserve">This literature review is structured in four parts. First, it outlines the evolution of the main theoretical approaches used to understand climate-related immobility, as these later shape the indicators used to operationalize mobility capabilities empirically. </w:t>
      </w:r>
      <w:r w:rsidRPr="00ED1777">
        <w:rPr>
          <w:rFonts w:ascii="Garamond" w:eastAsia="Times New Roman" w:hAnsi="Garamond" w:cs="Times New Roman"/>
          <w:kern w:val="0"/>
          <w:highlight w:val="red"/>
          <w:lang w:eastAsia="en-CA"/>
          <w14:ligatures w14:val="none"/>
        </w:rPr>
        <w:t>Second, it compares how these approaches conceptualize mobility capability across different levels of analysis</w:t>
      </w:r>
      <w:r w:rsidR="00532B53" w:rsidRPr="00ED1777">
        <w:rPr>
          <w:rFonts w:ascii="Garamond" w:eastAsia="Times New Roman" w:hAnsi="Garamond" w:cs="Times New Roman"/>
          <w:kern w:val="0"/>
          <w:highlight w:val="red"/>
          <w:lang w:eastAsia="en-CA"/>
          <w14:ligatures w14:val="none"/>
        </w:rPr>
        <w:t xml:space="preserve"> (i.e. individual – households)</w:t>
      </w:r>
      <w:r w:rsidRPr="00ED1777">
        <w:rPr>
          <w:rFonts w:ascii="Garamond" w:eastAsia="Times New Roman" w:hAnsi="Garamond" w:cs="Times New Roman"/>
          <w:kern w:val="0"/>
          <w:highlight w:val="red"/>
          <w:lang w:eastAsia="en-CA"/>
          <w14:ligatures w14:val="none"/>
        </w:rPr>
        <w:t>.</w:t>
      </w:r>
      <w:r w:rsidRPr="00432876">
        <w:rPr>
          <w:rFonts w:ascii="Garamond" w:eastAsia="Times New Roman" w:hAnsi="Garamond" w:cs="Times New Roman"/>
          <w:kern w:val="0"/>
          <w:lang w:eastAsia="en-CA"/>
          <w14:ligatures w14:val="none"/>
        </w:rPr>
        <w:t xml:space="preserve"> Third, it reviews the main proxies and indicators used to identify mobility-constrained and voluntarily immobile populations. Finally, it critically examines the extent to which these operationalizations capture the spatial and temporal dynamics of climate-related (im)mobility</w:t>
      </w:r>
      <w:r w:rsidR="00532B53">
        <w:rPr>
          <w:rFonts w:ascii="Garamond" w:eastAsia="Times New Roman" w:hAnsi="Garamond" w:cs="Times New Roman"/>
          <w:kern w:val="0"/>
          <w:lang w:eastAsia="en-CA"/>
          <w14:ligatures w14:val="none"/>
        </w:rPr>
        <w:t>.</w:t>
      </w:r>
    </w:p>
    <w:p w14:paraId="6B066F06" w14:textId="7C759262" w:rsidR="00115A86" w:rsidRPr="00115A86" w:rsidRDefault="00466402" w:rsidP="00115A86">
      <w:pPr>
        <w:pStyle w:val="Heading2"/>
        <w:numPr>
          <w:ilvl w:val="1"/>
          <w:numId w:val="4"/>
        </w:numPr>
        <w:spacing w:line="360" w:lineRule="auto"/>
        <w:rPr>
          <w:b/>
          <w:bCs/>
          <w:color w:val="auto"/>
          <w:sz w:val="24"/>
          <w:szCs w:val="24"/>
        </w:rPr>
      </w:pPr>
      <w:bookmarkStart w:id="9" w:name="_Toc230511836"/>
      <w:r w:rsidRPr="001E16DD">
        <w:rPr>
          <w:b/>
          <w:bCs/>
          <w:color w:val="auto"/>
          <w:sz w:val="24"/>
          <w:szCs w:val="24"/>
        </w:rPr>
        <w:t xml:space="preserve">Evolution </w:t>
      </w:r>
      <w:r w:rsidR="00B85136">
        <w:rPr>
          <w:b/>
          <w:bCs/>
          <w:color w:val="auto"/>
          <w:sz w:val="24"/>
          <w:szCs w:val="24"/>
        </w:rPr>
        <w:t>and competing</w:t>
      </w:r>
      <w:r w:rsidR="00CE0212" w:rsidRPr="001E16DD">
        <w:rPr>
          <w:b/>
          <w:bCs/>
          <w:color w:val="auto"/>
          <w:sz w:val="24"/>
          <w:szCs w:val="24"/>
        </w:rPr>
        <w:t xml:space="preserve"> </w:t>
      </w:r>
      <w:r w:rsidR="00B85136">
        <w:rPr>
          <w:b/>
          <w:bCs/>
          <w:color w:val="auto"/>
          <w:sz w:val="24"/>
          <w:szCs w:val="24"/>
        </w:rPr>
        <w:t xml:space="preserve">theoretical </w:t>
      </w:r>
      <w:r w:rsidR="00CE0212" w:rsidRPr="001E16DD">
        <w:rPr>
          <w:b/>
          <w:bCs/>
          <w:color w:val="auto"/>
          <w:sz w:val="24"/>
          <w:szCs w:val="24"/>
        </w:rPr>
        <w:t>approaches to (im)mobility</w:t>
      </w:r>
      <w:bookmarkEnd w:id="9"/>
    </w:p>
    <w:p w14:paraId="012D5CBB" w14:textId="78F13685" w:rsidR="00115A86" w:rsidRDefault="00115A86" w:rsidP="007C56CE">
      <w:pPr>
        <w:spacing w:line="360" w:lineRule="auto"/>
        <w:jc w:val="both"/>
      </w:pPr>
      <w:r w:rsidRPr="00115A86">
        <w:t xml:space="preserve">Building on the reviews by Ayeb-Karlsson et al. (2018) and Zickgraf (2021), approaches to climate-related immobility can be broadly classified into three stages: (a) neoclassical approaches, </w:t>
      </w:r>
      <w:r w:rsidRPr="00115A86">
        <w:lastRenderedPageBreak/>
        <w:t>(b) expanded neoclassical approaches, and (c) agency-oriented approaches. According to these authors, the literature has progressively shifted from explaining immobility mainly through financial constraints toward emphasizing the role of agency and decision-making. Early studies, strongly influenced by the Foresight report, understood immobility primarily as the result of resource-related barriers such as asset loss, poverty traps, or insufficient financial capital. Later approaches expanded this perspective by incorporating legal and social constraints</w:t>
      </w:r>
      <w:r w:rsidR="002E61B5">
        <w:t xml:space="preserve"> (i.e. people are not just trapped in places but also in situations)</w:t>
      </w:r>
      <w:r w:rsidRPr="00115A86">
        <w:t>, while also emphasizing that vulnerability to involuntary immobility is unevenly distributed across social groups. In this regard, the focus of analysis gradually shifted from identifying “what” constrains mobility to understanding “who” is disproportionately constrained. More recent agency-oriented approaches further challenge the assumption that immobility necessarily reflects an inability to migrate, highlighting that some individuals may voluntarily remain in environmentally vulnerable areas due to emotional, cultural, or place-based attachments that extend beyond purely economic forms of decision-making.</w:t>
      </w:r>
    </w:p>
    <w:p w14:paraId="09748E51" w14:textId="765E40FF" w:rsidR="003072BB" w:rsidRPr="00B103FB" w:rsidRDefault="00B85136" w:rsidP="007C56CE">
      <w:pPr>
        <w:spacing w:line="360" w:lineRule="auto"/>
        <w:jc w:val="both"/>
      </w:pPr>
      <w:r w:rsidRPr="00B85136">
        <w:t xml:space="preserve">Within this broader evolution, three frameworks </w:t>
      </w:r>
      <w:r>
        <w:t>are particularly useful to conceptualize (im)mobility outcomes in the face of environmental degradation</w:t>
      </w:r>
      <w:r w:rsidRPr="00B85136">
        <w:t xml:space="preserve">: </w:t>
      </w:r>
      <w:r w:rsidR="002E61B5">
        <w:t xml:space="preserve">i) </w:t>
      </w:r>
      <w:r w:rsidRPr="00B85136">
        <w:t>the New Economics of Labour Migration (NELM)</w:t>
      </w:r>
      <w:r w:rsidR="00115A86">
        <w:t xml:space="preserve"> which aligns more closely w</w:t>
      </w:r>
      <w:r w:rsidR="002E61B5">
        <w:t>ith earlier resource constraint approaches, ii)</w:t>
      </w:r>
      <w:r w:rsidR="00115A86">
        <w:t xml:space="preserve"> </w:t>
      </w:r>
      <w:r w:rsidRPr="00B85136">
        <w:t>the aspirations–capabilities framework</w:t>
      </w:r>
      <w:r w:rsidR="002E61B5">
        <w:t xml:space="preserve"> which aligns with both assumptions of the second and third stage</w:t>
      </w:r>
      <w:r w:rsidRPr="00B85136">
        <w:t>, and the mobilities paradigm</w:t>
      </w:r>
      <w:r w:rsidR="002E61B5">
        <w:t>, which aligns with the third stage as well but</w:t>
      </w:r>
      <w:r w:rsidR="002E61B5" w:rsidRPr="002E61B5">
        <w:t xml:space="preserve"> further expands attention toward the dynamic and relational nature of mobility </w:t>
      </w:r>
      <w:r>
        <w:t>(</w:t>
      </w:r>
      <w:r w:rsidR="007C56CE">
        <w:fldChar w:fldCharType="begin"/>
      </w:r>
      <w:r w:rsidR="004361CD">
        <w:instrText xml:space="preserve"> ADDIN ZOTERO_ITEM CSL_CITATION {"citationID":"mg0Q8QPC","properties":{"unsorted":false,"formattedCitation":"(Zickgraf, 2021)","plainCitation":"(Zickgraf, 2021)","dontUpdate":true,"noteIndex":0},"citationItems":[{"id":1809,"uris":["http://zotero.org/users/18422904/items/XQ6EBUBX"],"itemData":{"id":1809,"type":"article-journal","abstract":"The study of the relationship between environmental change and human mobility has largely focused on the movement of people as it is driven by environmental change with little regard for those who stay when faced with many of the same adverse conditions. An emerging body of work recognizes and seeks to understand the lack of migration, or immobility, in the contexts of environmental and climatic change, primarily through the notion of “trapped populations.” Theoretically, however, our understandings of immobility in relation to environmental change are underdeveloped and oversimplified, and do not do justice to the diversity, dynamism, or unevenness of (im)mobilities. In order to advance knowledge, this paper connects knowledge from environmental migration studies to immobility in broader migration research. Although there is no silver theoretical bullet, it explores the strengths and weaknesses of three frameworks in explaining and understanding (im)mobility decision-making, patterns, and consequences: (1) the New Economics of Labour Migration; (2) the aspirations-(cap)abilities framework; and (3) the mobilities paradigm. In order to break away from both sedentary and mobility biases, it asserts that scholars should theorize and analyze the entire mobility spectrum in the face of environmental change, rather than considering immobility as a separate outcome.","container-title":"Regional Environmental Change","DOI":"10.1007/s10113-021-01839-2","ISSN":"1436-378X","issue":"4","journalAbbreviation":"Reg Environ Change","language":"en","page":"126","source":"Springer Link","title":"Theorizing (im)mobility in the face of environmental change","volume":"21","author":[{"family":"Zickgraf","given":"Caroline"}],"issued":{"date-parts":[["2021",12,2]]}}}],"schema":"https://github.com/citation-style-language/schema/raw/master/csl-citation.json"} </w:instrText>
      </w:r>
      <w:r w:rsidR="007C56CE">
        <w:fldChar w:fldCharType="separate"/>
      </w:r>
      <w:r w:rsidR="007C56CE" w:rsidRPr="007C56CE">
        <w:rPr>
          <w:rFonts w:ascii="Garamond" w:hAnsi="Garamond"/>
        </w:rPr>
        <w:t>Zickgraf</w:t>
      </w:r>
      <w:r>
        <w:rPr>
          <w:rFonts w:ascii="Garamond" w:hAnsi="Garamond"/>
        </w:rPr>
        <w:t xml:space="preserve">, </w:t>
      </w:r>
      <w:r w:rsidR="007C56CE" w:rsidRPr="007C56CE">
        <w:rPr>
          <w:rFonts w:ascii="Garamond" w:hAnsi="Garamond"/>
        </w:rPr>
        <w:t>2021)</w:t>
      </w:r>
      <w:r w:rsidR="007C56CE">
        <w:fldChar w:fldCharType="end"/>
      </w:r>
      <w:r w:rsidR="00115A86">
        <w:t>.</w:t>
      </w:r>
      <w:r w:rsidRPr="00B85136">
        <w:t xml:space="preserve"> </w:t>
      </w:r>
      <w:r>
        <w:t>As will be discussed below, t</w:t>
      </w:r>
      <w:r w:rsidRPr="00B85136">
        <w:t>hese frameworks differ not only in their assumptions regarding mobility and immobility, but also in their preferred levels of analysis, ranging from household-centered to more individual or relational perspectives</w:t>
      </w:r>
      <w:r w:rsidR="00C1533D" w:rsidRPr="00C1533D">
        <w:t xml:space="preserve"> </w:t>
      </w:r>
    </w:p>
    <w:p w14:paraId="0A99302D" w14:textId="46874C9F" w:rsidR="00F3686C" w:rsidRDefault="00F3686C" w:rsidP="00D539EF">
      <w:pPr>
        <w:pStyle w:val="Heading3"/>
        <w:numPr>
          <w:ilvl w:val="2"/>
          <w:numId w:val="4"/>
        </w:numPr>
        <w:spacing w:line="360" w:lineRule="auto"/>
        <w:rPr>
          <w:b/>
          <w:bCs/>
          <w:color w:val="000000" w:themeColor="text1"/>
          <w:sz w:val="24"/>
          <w:szCs w:val="24"/>
        </w:rPr>
      </w:pPr>
      <w:bookmarkStart w:id="10" w:name="_Toc230511837"/>
      <w:r w:rsidRPr="006418DB">
        <w:rPr>
          <w:b/>
          <w:bCs/>
          <w:color w:val="000000" w:themeColor="text1"/>
          <w:sz w:val="24"/>
          <w:szCs w:val="24"/>
        </w:rPr>
        <w:t xml:space="preserve">New </w:t>
      </w:r>
      <w:r w:rsidR="006418DB">
        <w:rPr>
          <w:b/>
          <w:bCs/>
          <w:color w:val="000000" w:themeColor="text1"/>
          <w:sz w:val="24"/>
          <w:szCs w:val="24"/>
        </w:rPr>
        <w:t>e</w:t>
      </w:r>
      <w:r w:rsidRPr="006418DB">
        <w:rPr>
          <w:b/>
          <w:bCs/>
          <w:color w:val="000000" w:themeColor="text1"/>
          <w:sz w:val="24"/>
          <w:szCs w:val="24"/>
        </w:rPr>
        <w:t xml:space="preserve">conomics of </w:t>
      </w:r>
      <w:r w:rsidR="006418DB">
        <w:rPr>
          <w:b/>
          <w:bCs/>
          <w:color w:val="000000" w:themeColor="text1"/>
          <w:sz w:val="24"/>
          <w:szCs w:val="24"/>
        </w:rPr>
        <w:t>l</w:t>
      </w:r>
      <w:r w:rsidRPr="006418DB">
        <w:rPr>
          <w:b/>
          <w:bCs/>
          <w:color w:val="000000" w:themeColor="text1"/>
          <w:sz w:val="24"/>
          <w:szCs w:val="24"/>
        </w:rPr>
        <w:t xml:space="preserve">abour </w:t>
      </w:r>
      <w:r w:rsidR="006418DB">
        <w:rPr>
          <w:b/>
          <w:bCs/>
          <w:color w:val="000000" w:themeColor="text1"/>
          <w:sz w:val="24"/>
          <w:szCs w:val="24"/>
        </w:rPr>
        <w:t>m</w:t>
      </w:r>
      <w:r w:rsidRPr="006418DB">
        <w:rPr>
          <w:b/>
          <w:bCs/>
          <w:color w:val="000000" w:themeColor="text1"/>
          <w:sz w:val="24"/>
          <w:szCs w:val="24"/>
        </w:rPr>
        <w:t>igration</w:t>
      </w:r>
      <w:r w:rsidR="006418DB">
        <w:rPr>
          <w:b/>
          <w:bCs/>
          <w:color w:val="000000" w:themeColor="text1"/>
          <w:sz w:val="24"/>
          <w:szCs w:val="24"/>
        </w:rPr>
        <w:t xml:space="preserve"> (NELM)</w:t>
      </w:r>
      <w:bookmarkEnd w:id="10"/>
    </w:p>
    <w:p w14:paraId="5403CD8A" w14:textId="5AF62E5E" w:rsidR="00B55960" w:rsidRDefault="007D5753" w:rsidP="00044101">
      <w:pPr>
        <w:spacing w:line="360" w:lineRule="auto"/>
        <w:jc w:val="both"/>
      </w:pPr>
      <w:r>
        <w:t>Originally</w:t>
      </w:r>
      <w:r w:rsidR="009D7116">
        <w:t xml:space="preserve"> proposed by </w:t>
      </w:r>
      <w:r w:rsidR="009D7116">
        <w:fldChar w:fldCharType="begin"/>
      </w:r>
      <w:r w:rsidR="005423E4">
        <w:instrText xml:space="preserve"> ADDIN ZOTERO_ITEM CSL_CITATION {"citationID":"5DeupGja","properties":{"unsorted":false,"formattedCitation":"(Stark &amp; Bloom, 1985)","plainCitation":"(Stark &amp; Bloom, 1985)","dontUpdate":true,"noteIndex":0},"citationItems":[{"id":1823,"uris":["http://zotero.org/users/18422904/items/DPWIKW9Y"],"itemData":{"id":1823,"type":"article-journal","container-title":"The American Economic Review","ISSN":"0002-8282","issue":"2","page":"173-178","publisher":"American Economic Association","source":"JSTOR","title":"The New Economics of Labor Migration","volume":"75","author":[{"family":"Stark","given":"Oded"},{"family":"Bloom","given":"David E."}],"issued":{"date-parts":[["1985"]]}}}],"schema":"https://github.com/citation-style-language/schema/raw/master/csl-citation.json"} </w:instrText>
      </w:r>
      <w:r w:rsidR="009D7116">
        <w:fldChar w:fldCharType="separate"/>
      </w:r>
      <w:r w:rsidR="009D7116" w:rsidRPr="009D7116">
        <w:rPr>
          <w:rFonts w:ascii="Garamond" w:hAnsi="Garamond"/>
        </w:rPr>
        <w:t>Stark &amp; Bloom</w:t>
      </w:r>
      <w:r w:rsidR="009D7116">
        <w:rPr>
          <w:rFonts w:ascii="Garamond" w:hAnsi="Garamond"/>
        </w:rPr>
        <w:t xml:space="preserve"> (</w:t>
      </w:r>
      <w:r w:rsidR="009D7116" w:rsidRPr="009D7116">
        <w:rPr>
          <w:rFonts w:ascii="Garamond" w:hAnsi="Garamond"/>
        </w:rPr>
        <w:t>1985)</w:t>
      </w:r>
      <w:r w:rsidR="009D7116">
        <w:fldChar w:fldCharType="end"/>
      </w:r>
      <w:r w:rsidR="009D7116">
        <w:t xml:space="preserve"> the New Economics of Labour Migration theory </w:t>
      </w:r>
      <w:r w:rsidR="0083194D">
        <w:t>shifted</w:t>
      </w:r>
      <w:r w:rsidR="009D7116">
        <w:t xml:space="preserve"> </w:t>
      </w:r>
      <w:r>
        <w:t xml:space="preserve">the </w:t>
      </w:r>
      <w:r w:rsidR="009D7116">
        <w:t xml:space="preserve">focus </w:t>
      </w:r>
      <w:r w:rsidR="0083194D">
        <w:t xml:space="preserve">from individuals </w:t>
      </w:r>
      <w:r w:rsidR="00E961E5">
        <w:t>as the primary migration decision-making</w:t>
      </w:r>
      <w:r w:rsidR="00B55960">
        <w:t xml:space="preserve"> unit </w:t>
      </w:r>
      <w:r w:rsidR="0083194D">
        <w:t xml:space="preserve">to households as </w:t>
      </w:r>
      <w:r w:rsidR="00B55960">
        <w:t>the</w:t>
      </w:r>
      <w:r w:rsidR="00D45681">
        <w:t xml:space="preserve"> decision-making unit</w:t>
      </w:r>
      <w:r w:rsidR="0083194D">
        <w:t xml:space="preserve">, </w:t>
      </w:r>
      <w:r w:rsidR="00E961E5" w:rsidRPr="00E961E5">
        <w:t>conceptualizing migration as a</w:t>
      </w:r>
      <w:r w:rsidR="00B55960">
        <w:t xml:space="preserve"> collective </w:t>
      </w:r>
      <w:r w:rsidR="00E961E5">
        <w:t>s</w:t>
      </w:r>
      <w:r w:rsidR="00E961E5" w:rsidRPr="00E961E5">
        <w:t xml:space="preserve">trategy to </w:t>
      </w:r>
      <w:r w:rsidR="00B261EF">
        <w:t>diversify income</w:t>
      </w:r>
      <w:r w:rsidR="00B55960">
        <w:t xml:space="preserve"> </w:t>
      </w:r>
      <w:r w:rsidR="00B261EF">
        <w:t xml:space="preserve"> through risk spreading</w:t>
      </w:r>
      <w:r w:rsidR="00B55960">
        <w:t xml:space="preserve">, while responding to </w:t>
      </w:r>
      <w:r w:rsidR="00E961E5">
        <w:t xml:space="preserve">broader </w:t>
      </w:r>
      <w:r w:rsidR="00E961E5" w:rsidRPr="00E961E5">
        <w:t>market failures</w:t>
      </w:r>
      <w:r w:rsidR="00D45681">
        <w:t xml:space="preserve"> </w:t>
      </w:r>
      <w:r w:rsidR="00E961E5">
        <w:fldChar w:fldCharType="begin"/>
      </w:r>
      <w:r w:rsidR="00E961E5">
        <w:instrText xml:space="preserve"> ADDIN ZOTERO_ITEM CSL_CITATION {"citationID":"J3VqHpSf","properties":{"unsorted":false,"formattedCitation":"(Massey et\\uc0\\u160{}al., 1993)","plainCitation":"(Massey et al., 1993)","noteIndex":0},"citationItems":[{"id":1824,"uris":["http://zotero.org/users/18422904/items/FSFSHJPA"],"itemData":{"id":1824,"type":"article-journal","abstract":"This article surveys contemporary theories of international migration in order to illuminate their leading propositions, assumptions, and hypotheses. In doing so, it hopes to pave the way for a systematic empirical evaluation of their guiding tenets. The authors divide the theories conceptually into those advanced to explain the initiation of international migration and those put forth to account for the persistence of migration across space and time. The review suggests that, because they are specified at such different levels of analysis, the theories are not inherently logically inconsistent. The task of selecting between theories and propositions thus becomes an empirical exercise, one that must occur before a truly integrated theoretical framework can be fully realized.","container-title":"Population and Development Review","DOI":"10.2307/2938462","ISSN":"0098-7921","issue":"3","page":"431-466","publisher":"[Population Council, Wiley]","source":"JSTOR","title":"Theories of International Migration: A Review and Appraisal","title-short":"Theories of International Migration","volume":"19","author":[{"family":"Massey","given":"Douglas S."},{"family":"Arango","given":"Joaquín"},{"family":"Hugo","given":"Graeme"},{"family":"Kouaouci","given":"Ali"},{"family":"Pellegrino","given":"Adela"},{"family":"Taylor","given":"J. Edward"}],"issued":{"date-parts":[["1993"]]}}}],"schema":"https://github.com/citation-style-language/schema/raw/master/csl-citation.json"} </w:instrText>
      </w:r>
      <w:r w:rsidR="00E961E5">
        <w:fldChar w:fldCharType="separate"/>
      </w:r>
      <w:r w:rsidR="00E961E5" w:rsidRPr="00E961E5">
        <w:rPr>
          <w:rFonts w:ascii="Garamond" w:hAnsi="Garamond" w:cs="Times New Roman"/>
          <w:kern w:val="0"/>
        </w:rPr>
        <w:t>(Massey et al., 1993)</w:t>
      </w:r>
      <w:r w:rsidR="00E961E5">
        <w:fldChar w:fldCharType="end"/>
      </w:r>
      <w:r w:rsidR="00E961E5">
        <w:t>.</w:t>
      </w:r>
      <w:r w:rsidR="0086617C">
        <w:t xml:space="preserve"> </w:t>
      </w:r>
      <w:r w:rsidR="00E961E5">
        <w:t>Therefore, migration was not longer seen as an individual-driven rational response to wage differen</w:t>
      </w:r>
      <w:r w:rsidR="0086617C">
        <w:t>tials</w:t>
      </w:r>
      <w:r w:rsidR="00E961E5">
        <w:t xml:space="preserve"> in the labour market. In regards to</w:t>
      </w:r>
      <w:r w:rsidR="0086617C">
        <w:t xml:space="preserve"> its application</w:t>
      </w:r>
      <w:r w:rsidR="00E961E5">
        <w:t xml:space="preserve">, </w:t>
      </w:r>
      <w:r w:rsidR="00044101">
        <w:fldChar w:fldCharType="begin"/>
      </w:r>
      <w:r w:rsidR="00044101">
        <w:instrText xml:space="preserve"> ADDIN ZOTERO_ITEM CSL_CITATION {"citationID":"Ytb1Hog0","properties":{"unsorted":false,"formattedCitation":"(Zickgraf, 2021)","plainCitation":"(Zickgraf, 2021)","dontUpdate":true,"noteIndex":0},"citationItems":[{"id":1809,"uris":["http://zotero.org/users/18422904/items/XQ6EBUBX"],"itemData":{"id":1809,"type":"article-journal","abstract":"The study of the relationship between environmental change and human mobility has largely focused on the movement of people as it is driven by environmental change with little regard for those who stay when faced with many of the same adverse conditions. An emerging body of work recognizes and seeks to understand the lack of migration, or immobility, in the contexts of environmental and climatic change, primarily through the notion of “trapped populations.” Theoretically, however, our understandings of immobility in relation to environmental change are underdeveloped and oversimplified, and do not do justice to the diversity, dynamism, or unevenness of (im)mobilities. In order to advance knowledge, this paper connects knowledge from environmental migration studies to immobility in broader migration research. Although there is no silver theoretical bullet, it explores the strengths and weaknesses of three frameworks in explaining and understanding (im)mobility decision-making, patterns, and consequences: (1) the New Economics of Labour Migration; (2) the aspirations-(cap)abilities framework; and (3) the mobilities paradigm. In order to break away from both sedentary and mobility biases, it asserts that scholars should theorize and analyze the entire mobility spectrum in the face of environmental change, rather than considering immobility as a separate outcome.","container-title":"Regional Environmental Change","DOI":"10.1007/s10113-021-01839-2","ISSN":"1436-378X","issue":"4","journalAbbreviation":"Reg Environ Change","language":"en","page":"126","source":"Springer Link","title":"Theorizing (im)mobility in the face of environmental change","volume":"21","author":[{"family":"Zickgraf","given":"Caroline"}],"issued":{"date-parts":[["2021",12,2]]}}}],"schema":"https://github.com/citation-style-language/schema/raw/master/csl-citation.json"} </w:instrText>
      </w:r>
      <w:r w:rsidR="00044101">
        <w:fldChar w:fldCharType="separate"/>
      </w:r>
      <w:r w:rsidR="00044101" w:rsidRPr="00044101">
        <w:rPr>
          <w:rFonts w:ascii="Garamond" w:hAnsi="Garamond"/>
        </w:rPr>
        <w:t>Zickgraf (2021)</w:t>
      </w:r>
      <w:r w:rsidR="00044101">
        <w:fldChar w:fldCharType="end"/>
      </w:r>
      <w:r w:rsidR="00044101">
        <w:t xml:space="preserve"> </w:t>
      </w:r>
      <w:r w:rsidR="0083194D">
        <w:t>notes</w:t>
      </w:r>
      <w:r w:rsidR="00044101">
        <w:t xml:space="preserve"> that</w:t>
      </w:r>
      <w:r w:rsidR="0083194D">
        <w:t>,</w:t>
      </w:r>
      <w:r w:rsidR="00F0331C" w:rsidRPr="00F0331C">
        <w:t xml:space="preserve"> </w:t>
      </w:r>
      <w:r w:rsidR="00F0331C">
        <w:t xml:space="preserve">although NELM </w:t>
      </w:r>
      <w:r w:rsidR="00F0331C" w:rsidRPr="00F0331C">
        <w:t xml:space="preserve">had not been directly applied to studies of </w:t>
      </w:r>
      <w:r w:rsidR="00E961E5">
        <w:t xml:space="preserve">trapped populations or involuntary </w:t>
      </w:r>
      <w:r w:rsidR="00E961E5">
        <w:lastRenderedPageBreak/>
        <w:t>immobility</w:t>
      </w:r>
      <w:r w:rsidR="00F0331C" w:rsidRPr="00F0331C">
        <w:t xml:space="preserve">, </w:t>
      </w:r>
      <w:r w:rsidR="00B55960" w:rsidRPr="00B55960">
        <w:t xml:space="preserve">there was growing interest in understanding migration as </w:t>
      </w:r>
      <w:r w:rsidR="00B55960">
        <w:t xml:space="preserve">part of an array of adaption </w:t>
      </w:r>
      <w:r w:rsidR="00B55960" w:rsidRPr="00B55960">
        <w:t>strategies in response to environmental change</w:t>
      </w:r>
      <w:r>
        <w:t xml:space="preserve">. </w:t>
      </w:r>
      <w:r w:rsidR="00B55960" w:rsidRPr="00B55960">
        <w:t xml:space="preserve">More recently, however, </w:t>
      </w:r>
      <w:r w:rsidR="00B55960">
        <w:fldChar w:fldCharType="begin"/>
      </w:r>
      <w:r w:rsidR="00B55960">
        <w:instrText xml:space="preserve"> ADDIN ZOTERO_ITEM CSL_CITATION {"citationID":"Y5iA8Plk","properties":{"unsorted":false,"formattedCitation":"(Letta et\\uc0\\u160{}al., 2024)","plainCitation":"(Letta et al., 2024)","dontUpdate":true,"noteIndex":0},"citationItems":[{"id":14,"uris":["http://zotero.org/users/18422904/items/3YDCBJP7"],"itemData":{"id":14,"type":"article","abstract":"The complex relationship between climate shocks, migration, and adaptation hampers a rigorous understanding of the heterogeneous mobility outcomes of farm households exposed to climate risk. To unpack this heterogeneity, the analysis combines longitudinal multi-topic household survey data from Nigeria with a causal machine learning approach, tailored to a conceptual framework bridging economic migration theory and the poverty traps literature. The results show that pre-shock asset levels, in situ adaptive capacity, and cumulative shock exposure drive not just the magnitude but also the sign of the impact of agriculture-relevant weather anomalies on the mobility outcomes of farming households. While local adaptation acts as a substitute for migration, the roles played by wealth constraints and repeated shock exposure suggest the presence of climate-induced immobility traps.","DOI":"10.48550/arXiv.2403.09470","note":"arXiv:2403.09470 [econ]","number":"arXiv:2403.09470","publisher":"arXiv","source":"arXiv.org","title":"Climate Immobility Traps: A Household-Level Test","title-short":"Climate Immobility Traps","URL":"http://arxiv.org/abs/2403.09470","author":[{"family":"Letta","given":"Marco"},{"family":"Montalbano","given":"Pierluigi"},{"family":"Paolantonio","given":"Adriana"}],"accessed":{"date-parts":[["2026",4,24]]},"issued":{"date-parts":[["2024",3,14]]}}}],"schema":"https://github.com/citation-style-language/schema/raw/master/csl-citation.json"} </w:instrText>
      </w:r>
      <w:r w:rsidR="00B55960">
        <w:fldChar w:fldCharType="separate"/>
      </w:r>
      <w:r w:rsidR="00B55960" w:rsidRPr="00F0331C">
        <w:rPr>
          <w:rFonts w:ascii="Garamond" w:hAnsi="Garamond" w:cs="Times New Roman"/>
          <w:kern w:val="0"/>
        </w:rPr>
        <w:t xml:space="preserve">Letta et al., </w:t>
      </w:r>
      <w:r w:rsidR="00B55960">
        <w:rPr>
          <w:rFonts w:ascii="Garamond" w:hAnsi="Garamond" w:cs="Times New Roman"/>
          <w:kern w:val="0"/>
        </w:rPr>
        <w:t>(</w:t>
      </w:r>
      <w:r w:rsidR="00B55960" w:rsidRPr="00F0331C">
        <w:rPr>
          <w:rFonts w:ascii="Garamond" w:hAnsi="Garamond" w:cs="Times New Roman"/>
          <w:kern w:val="0"/>
        </w:rPr>
        <w:t>2024)</w:t>
      </w:r>
      <w:r w:rsidR="00B55960">
        <w:fldChar w:fldCharType="end"/>
      </w:r>
      <w:r w:rsidR="00B55960">
        <w:t xml:space="preserve"> </w:t>
      </w:r>
      <w:r w:rsidR="00B55960" w:rsidRPr="00B55960">
        <w:t>explicitly applied NELM together with the notion of poverty trap thresholds to empirically identify climate immobility traps in Nigeria.</w:t>
      </w:r>
    </w:p>
    <w:p w14:paraId="4289BEE4" w14:textId="2676B8EF" w:rsidR="004836C6" w:rsidRDefault="003107DA" w:rsidP="004836C6">
      <w:pPr>
        <w:spacing w:line="360" w:lineRule="auto"/>
        <w:jc w:val="both"/>
      </w:pPr>
      <w:r w:rsidRPr="003107DA">
        <w:t xml:space="preserve">Most importantly, even when not directly used </w:t>
      </w:r>
      <w:r w:rsidR="00BF01C5">
        <w:t xml:space="preserve">to </w:t>
      </w:r>
      <w:r w:rsidRPr="003107DA">
        <w:t>estimat</w:t>
      </w:r>
      <w:r w:rsidR="00BF01C5">
        <w:t>e</w:t>
      </w:r>
      <w:r w:rsidRPr="003107DA">
        <w:t xml:space="preserve"> immobility traps, s</w:t>
      </w:r>
      <w:r w:rsidR="00BF01C5">
        <w:t xml:space="preserve">tudies </w:t>
      </w:r>
      <w:r w:rsidRPr="003107DA">
        <w:t xml:space="preserve">applying NELM to </w:t>
      </w:r>
      <w:r w:rsidR="00EE1E86">
        <w:t xml:space="preserve">households in </w:t>
      </w:r>
      <w:r w:rsidRPr="003107DA">
        <w:t>environmentally stressed contexts still provide insights into how the “immobility paradox”</w:t>
      </w:r>
      <w:r w:rsidR="00AD4E9C">
        <w:t xml:space="preserve"> </w:t>
      </w:r>
      <w:r w:rsidRPr="003107DA">
        <w:t>may emerge</w:t>
      </w:r>
      <w:r w:rsidR="00AD4E9C">
        <w:t xml:space="preserve">. </w:t>
      </w:r>
      <w:r w:rsidR="00B162B0">
        <w:t xml:space="preserve">Particularly, </w:t>
      </w:r>
      <w:r w:rsidR="00D45681">
        <w:t>NELM is able to shed light into this paradox by unpacking</w:t>
      </w:r>
      <w:r w:rsidR="00AD4E9C">
        <w:t xml:space="preserve"> the interactions between mobility and immobility process</w:t>
      </w:r>
      <w:r w:rsidR="009D2B6F">
        <w:t>es</w:t>
      </w:r>
      <w:r w:rsidR="00AD4E9C">
        <w:t xml:space="preserve"> within household</w:t>
      </w:r>
      <w:r w:rsidR="00AA7482">
        <w:t>s</w:t>
      </w:r>
      <w:r w:rsidR="00B162B0">
        <w:t xml:space="preserve"> </w:t>
      </w:r>
      <w:r w:rsidR="00B162B0">
        <w:fldChar w:fldCharType="begin"/>
      </w:r>
      <w:r w:rsidR="004B028D">
        <w:instrText xml:space="preserve"> ADDIN ZOTERO_ITEM CSL_CITATION {"citationID":"HljJGLOm","properties":{"unsorted":false,"formattedCitation":"(Sengupta, 2025)","plainCitation":"(Sengupta, 2025)","noteIndex":0},"citationItems":[{"id":9,"uris":["http://zotero.org/users/18422904/items/BKFLSSJU"],"itemData":{"id":9,"type":"article-journal","abstract":"Environmental migration research has traditionally focused on mobility outcomes in the face of environmental change. However, the ‘trapped populations’ concept introduced in the influential Foresight Report (2011) drew attention to immobility outcomes owing to people’s inability or unwillingness to migrate away from environmentally high-risk settings. To assess the evolution of the empirical research landscape of environmental immobility, this paper systematically reviews 55 studies in terms of their thematic focus areas, theoretical and methodological concerns, geographical distribution, the interplay between environmental and societal contexts, the characterisation of immobility processes, and interrelations with mobility processes. The findings suggest a predominant focus on the causes of immobility based on a dichotomisation of immobility as ‘forced’ and ‘voluntary’. Using insights from migration theory, this paper provides a schematic framework that helps us think analytically about environmental immobility processes in terms of a continuum of choices and constraints and implications for stayers’ well-being.","container-title":"Ambio","DOI":"10.1007/s13280-025-02195-9","ISSN":"1654-7209","issue":"11","journalAbbreviation":"Ambio","language":"en","page":"1729-1756","source":"Springer Link","title":"Environmental immobility: A systematic review of empirical research","title-short":"Environmental immobility","volume":"54","author":[{"family":"Sengupta","given":"Moitrayee"}],"issued":{"date-parts":[["2025",11,1]]}}}],"schema":"https://github.com/citation-style-language/schema/raw/master/csl-citation.json"} </w:instrText>
      </w:r>
      <w:r w:rsidR="00B162B0">
        <w:fldChar w:fldCharType="separate"/>
      </w:r>
      <w:r w:rsidR="004B028D" w:rsidRPr="004B028D">
        <w:rPr>
          <w:rFonts w:ascii="Garamond" w:hAnsi="Garamond"/>
        </w:rPr>
        <w:t>(Sengupta, 2025)</w:t>
      </w:r>
      <w:r w:rsidR="00B162B0">
        <w:fldChar w:fldCharType="end"/>
      </w:r>
      <w:r w:rsidR="00AD4E9C" w:rsidRPr="00AD4E9C">
        <w:rPr>
          <w:highlight w:val="yellow"/>
        </w:rPr>
        <w:t>.</w:t>
      </w:r>
      <w:r w:rsidR="00AD4E9C">
        <w:t xml:space="preserve"> </w:t>
      </w:r>
      <w:r w:rsidR="00AA7482">
        <w:t>Recent s</w:t>
      </w:r>
      <w:r w:rsidR="00AA7482" w:rsidRPr="00AA7482">
        <w:t>tudies such as</w:t>
      </w:r>
      <w:r w:rsidR="00AA7482">
        <w:t xml:space="preserve"> those of</w:t>
      </w:r>
      <w:r w:rsidR="00AA7482">
        <w:fldChar w:fldCharType="begin"/>
      </w:r>
      <w:r w:rsidR="005423E4">
        <w:instrText xml:space="preserve"> ADDIN ZOTERO_ITEM CSL_CITATION {"citationID":"HaoyR9Yc","properties":{"unsorted":false,"formattedCitation":"(Fr\\uc0\\u233{}guin\\uc0\\u8208{}Gresh &amp; Cort\\uc0\\u232{}s, 2026; Loebach, 2016)","plainCitation":"(Fréguin</w:instrText>
      </w:r>
      <w:r w:rsidR="005423E4">
        <w:rPr>
          <w:rFonts w:ascii="Cambria Math" w:hAnsi="Cambria Math" w:cs="Cambria Math"/>
        </w:rPr>
        <w:instrText>‐</w:instrText>
      </w:r>
      <w:r w:rsidR="005423E4">
        <w:instrText>Gresh &amp; Cort</w:instrText>
      </w:r>
      <w:r w:rsidR="005423E4">
        <w:rPr>
          <w:rFonts w:ascii="Garamond" w:hAnsi="Garamond" w:cs="Garamond"/>
        </w:rPr>
        <w:instrText>è</w:instrText>
      </w:r>
      <w:r w:rsidR="005423E4">
        <w:instrText>s, 2026; Loebach, 2016)","dontUpdate":true,"noteIndex":0},"citationItems":[{"id":1738,"uris":["http://zotero.org/users/18422904/items/BP93RC6T"],"itemData":{"id":1738,"type":"article-journal","abstract":"This article explores the links between agriculture, circular mobility, migration and food security in the Global South. It focuses on farm households in Nicaragua which, for generations, have engaged in diversified livelihood strategies including mobility and migration. The article proposes an original framework, based on the concept of multi-localised family food systems, to link household socio-spatial practices with food security. Multifactorial and cross-sectional analysis shows that household food security is the result of complex strategies combining agricultural practices, pluri-activity, economic diversification and the circulation of resources linked to migrant remittances and donations from networks and public policies. Although the links between migration, circular mobility and food security are neither linear nor systematic, our findings reveal that not only the maintenance of family farming but also the multi-localisation of households, circular mobility practices and migration play key roles in food supply and security. These findings suggest that public policies and the interventions of development agencies should take a better approach to support the food coping strategies of these multilocalised households, taking greater consideration of off-farm diversification, mobility and migration.","container-title":"The Geographical Journal","DOI":"10.1111/geoj.70052","ISSN":"0016-7398, 1475-4959","issue":"1","journalAbbreviation":"Geographical Journal","language":"en","page":"e70052","source":"DOI.org (Crossref)","title":"Migration, circular mobility and food security in Nicaragua: An analytical framework based on food sourcing and farm household multi</w:instrText>
      </w:r>
      <w:r w:rsidR="005423E4">
        <w:rPr>
          <w:rFonts w:ascii="Cambria Math" w:hAnsi="Cambria Math" w:cs="Cambria Math"/>
        </w:rPr>
        <w:instrText>‐</w:instrText>
      </w:r>
      <w:r w:rsidR="005423E4">
        <w:instrText>localisation","title-short":"Migration, circular mobility and food security in Nicaragua","volume":"192","author":[{"family":"Fréguin</w:instrText>
      </w:r>
      <w:r w:rsidR="005423E4">
        <w:rPr>
          <w:rFonts w:ascii="Cambria Math" w:hAnsi="Cambria Math" w:cs="Cambria Math"/>
        </w:rPr>
        <w:instrText>‐</w:instrText>
      </w:r>
      <w:r w:rsidR="005423E4">
        <w:instrText>Gresh","given":"Sandrine"},{"family":"Cort</w:instrText>
      </w:r>
      <w:r w:rsidR="005423E4">
        <w:rPr>
          <w:rFonts w:ascii="Garamond" w:hAnsi="Garamond" w:cs="Garamond"/>
        </w:rPr>
        <w:instrText>è</w:instrText>
      </w:r>
      <w:r w:rsidR="005423E4">
        <w:instrText>s","given":"Genevi</w:instrText>
      </w:r>
      <w:r w:rsidR="005423E4">
        <w:rPr>
          <w:rFonts w:ascii="Garamond" w:hAnsi="Garamond" w:cs="Garamond"/>
        </w:rPr>
        <w:instrText>è</w:instrText>
      </w:r>
      <w:r w:rsidR="005423E4">
        <w:instrText xml:space="preserve">ve"}],"issued":{"date-parts":[["2026",3]]}}},{"id":1825,"uris":["http://zotero.org/users/18422904/items/VD6S7IEJ"],"itemData":{"id":1825,"type":"article-journal","abstract":"This study uses data drawn from the Nicaragua Living Standards and Measurement Study Survey to examine international livelihood migrations from Nicaragua in the years surrounding the rapid-onset Hurricane Mitch event of 1998. The likelihood of an international livelihood migration occurring between the years 1996 and 2001 is modeled utilizing discrete-time event history analysis. While findings indicate no influence of Hurricane Mitch on likelihood of livelihood migration, the Mitch event is associated with increased migrant selectivity according to past household migration experience for migrations to Costa Rica, suggesting these migrations to be livelihood adaptations of those with high capability in the form of access to migrant social networks. In addition, the Mitch event is found to be associated with decreased likelihood of migration by small business owners. This finding is interpreted as reflecting business owning households choosing to forego sending migrants to instead have ‘all hands on deck’ to assist with business operations.","container-title":"Population and Environment","DOI":"10.1007/s11111-016-0256-9","ISSN":"1573-7810","issue":"2","journalAbbreviation":"Popul Environ","language":"en","page":"185-206","source":"Springer Link","title":"Household migration as a livelihood adaptation in response to a natural disaster: Nicaragua and Hurricane Mitch","title-short":"Household migration as a livelihood adaptation in response to a natural disaster","volume":"38","author":[{"family":"Loebach","given":"Peter"}],"issued":{"date-parts":[["2016",12,1]]}}}],"schema":"https://github.com/citation-style-language/schema/raw/master/csl-citation.json"} </w:instrText>
      </w:r>
      <w:r w:rsidR="00AA7482">
        <w:fldChar w:fldCharType="separate"/>
      </w:r>
      <w:r w:rsidR="00AA7482">
        <w:rPr>
          <w:rFonts w:ascii="Garamond" w:hAnsi="Garamond" w:cs="Times New Roman"/>
          <w:kern w:val="0"/>
        </w:rPr>
        <w:t xml:space="preserve"> </w:t>
      </w:r>
      <w:r w:rsidR="00AA7482" w:rsidRPr="00AA7482">
        <w:rPr>
          <w:rFonts w:ascii="Garamond" w:hAnsi="Garamond" w:cs="Times New Roman"/>
          <w:kern w:val="0"/>
        </w:rPr>
        <w:t>Fréguin‐Gresh &amp; Cortès</w:t>
      </w:r>
      <w:r w:rsidR="00AA7482">
        <w:rPr>
          <w:rFonts w:ascii="Garamond" w:hAnsi="Garamond" w:cs="Times New Roman"/>
          <w:kern w:val="0"/>
        </w:rPr>
        <w:t xml:space="preserve"> (</w:t>
      </w:r>
      <w:r w:rsidR="00AA7482" w:rsidRPr="00AA7482">
        <w:rPr>
          <w:rFonts w:ascii="Garamond" w:hAnsi="Garamond" w:cs="Times New Roman"/>
          <w:kern w:val="0"/>
        </w:rPr>
        <w:t>2026</w:t>
      </w:r>
      <w:r w:rsidR="00AA7482">
        <w:rPr>
          <w:rFonts w:ascii="Garamond" w:hAnsi="Garamond" w:cs="Times New Roman"/>
          <w:kern w:val="0"/>
        </w:rPr>
        <w:t>)</w:t>
      </w:r>
      <w:r w:rsidR="00AA7482" w:rsidRPr="00AA7482">
        <w:rPr>
          <w:rFonts w:ascii="Garamond" w:hAnsi="Garamond" w:cs="Times New Roman"/>
          <w:kern w:val="0"/>
        </w:rPr>
        <w:t xml:space="preserve"> </w:t>
      </w:r>
      <w:r w:rsidR="00AA7482">
        <w:rPr>
          <w:rFonts w:ascii="Garamond" w:hAnsi="Garamond" w:cs="Times New Roman"/>
          <w:kern w:val="0"/>
        </w:rPr>
        <w:t xml:space="preserve">and </w:t>
      </w:r>
      <w:r w:rsidR="00AA7482" w:rsidRPr="00AA7482">
        <w:rPr>
          <w:rFonts w:ascii="Garamond" w:hAnsi="Garamond" w:cs="Times New Roman"/>
          <w:kern w:val="0"/>
        </w:rPr>
        <w:t xml:space="preserve">Loebach, </w:t>
      </w:r>
      <w:r w:rsidR="00AA7482">
        <w:rPr>
          <w:rFonts w:ascii="Garamond" w:hAnsi="Garamond" w:cs="Times New Roman"/>
          <w:kern w:val="0"/>
        </w:rPr>
        <w:t>(</w:t>
      </w:r>
      <w:r w:rsidR="00AA7482" w:rsidRPr="00AA7482">
        <w:rPr>
          <w:rFonts w:ascii="Garamond" w:hAnsi="Garamond" w:cs="Times New Roman"/>
          <w:kern w:val="0"/>
        </w:rPr>
        <w:t>2016)</w:t>
      </w:r>
      <w:r w:rsidR="00AA7482">
        <w:fldChar w:fldCharType="end"/>
      </w:r>
      <w:r w:rsidR="00AA7482">
        <w:t xml:space="preserve"> in the context of Nicaragua,</w:t>
      </w:r>
      <w:r w:rsidR="00AA7482" w:rsidRPr="00AA7482">
        <w:t xml:space="preserve"> and </w:t>
      </w:r>
      <w:r w:rsidR="00AA7482">
        <w:t xml:space="preserve">that of </w:t>
      </w:r>
      <w:r w:rsidR="00AA7482">
        <w:fldChar w:fldCharType="begin"/>
      </w:r>
      <w:r w:rsidR="005423E4">
        <w:instrText xml:space="preserve"> ADDIN ZOTERO_ITEM CSL_CITATION {"citationID":"oiYOnSBJ","properties":{"unsorted":false,"formattedCitation":"(Pakravan-charvadeh et\\uc0\\u160{}al., 2025)","plainCitation":"(Pakravan-charvadeh et al., 2025)","dontUpdate":true,"noteIndex":0},"citationItems":[{"id":1819,"uris":["http://zotero.org/users/18422904/items/LPXFGNUH"],"itemData":{"id":1819,"type":"article-journal","abstract":"As the impact of climate change intensifies, climate migration (climate change-induced migration) has become a pressing global issue that requires effective adaptation strategies to lessen its effects. Therefore, this study delved into the complex relationship between climate change adaptation strategies and climate migration with food insecurity serving as a mediating factor. We collected sample data through face-to-face interviews in Khorramabad City, Iran from February to May in 2023. Using the Structural Equation Modeling (SEM), we explored how food insecurity influences the relationship between climate change adaptation strategies and climate migration. The findings showed that while climate change adaptation strategies can boost community resilience, their success is closely tied to levels of food insecurity. About 78.72% of the surveyed households experienced certain levels of food insecurity, increasing the risk of displacement due to climate-related disasters. Climate change adaptation strategies including economic strategies, irrigation management strategies, organic-oriented strategies, sustainable development-oriented strategies, and crop variety management strategies played a significant role in reducing climate migration. Moreover, we found that climate change adaptation strategies not only impact food security, but also shape migration decisions. This research underscores the importance of an integrated approach that links climate change adaptation strategies, climate migration, and food insecurity. This study emphasizes the importance of food security for formulating sustainable adaptation strategies.","container-title":"Regional Sustainability","DOI":"10.1016/j.regsus.2025.100229","ISSN":"2666-660X","issue":"3","journalAbbreviation":"Regional Sustainability","page":"100229","source":"ScienceDirect","title":"How climate change adaptation strategies and climate migration interact to control food insecurity?","volume":"6","author":[{"family":"Pakravan-charvadeh","given":"Mohammad Reza"},{"family":"Chamcham","given":"Jeyran"},{"family":"Maleknia","given":"Rahim"}],"issued":{"date-parts":[["2025",6,1]]}}}],"schema":"https://github.com/citation-style-language/schema/raw/master/csl-citation.json"} </w:instrText>
      </w:r>
      <w:r w:rsidR="00AA7482">
        <w:fldChar w:fldCharType="separate"/>
      </w:r>
      <w:r w:rsidR="00320A6A" w:rsidRPr="00320A6A">
        <w:rPr>
          <w:rFonts w:ascii="Garamond" w:hAnsi="Garamond" w:cs="Times New Roman"/>
          <w:kern w:val="0"/>
        </w:rPr>
        <w:t xml:space="preserve">Pakravan-charvadeh et al., </w:t>
      </w:r>
      <w:r w:rsidR="00320A6A">
        <w:rPr>
          <w:rFonts w:ascii="Garamond" w:hAnsi="Garamond" w:cs="Times New Roman"/>
          <w:kern w:val="0"/>
        </w:rPr>
        <w:t>(</w:t>
      </w:r>
      <w:r w:rsidR="00320A6A" w:rsidRPr="00320A6A">
        <w:rPr>
          <w:rFonts w:ascii="Garamond" w:hAnsi="Garamond" w:cs="Times New Roman"/>
          <w:kern w:val="0"/>
        </w:rPr>
        <w:t>2025)</w:t>
      </w:r>
      <w:r w:rsidR="00AA7482">
        <w:fldChar w:fldCharType="end"/>
      </w:r>
      <w:r w:rsidR="00320A6A">
        <w:t xml:space="preserve"> </w:t>
      </w:r>
      <w:r w:rsidR="00AA7482">
        <w:t>for Iran</w:t>
      </w:r>
      <w:r w:rsidR="00AA7482" w:rsidRPr="00AA7482">
        <w:t xml:space="preserve"> illustrate how NELM helps explain bifurcated household responses to climate change, whereby some members migrate while others remain in place</w:t>
      </w:r>
      <w:r w:rsidR="00320A6A">
        <w:t xml:space="preserve"> to minimize the occurrence of </w:t>
      </w:r>
      <w:r w:rsidR="009D2B6F">
        <w:t xml:space="preserve">a </w:t>
      </w:r>
      <w:r w:rsidR="00320A6A">
        <w:t xml:space="preserve">particular risk, for example, food insecurity or livelihood </w:t>
      </w:r>
      <w:r w:rsidR="009D2B6F">
        <w:t>collapse</w:t>
      </w:r>
      <w:r w:rsidR="00AA7482" w:rsidRPr="00AA7482">
        <w:t>. At the same time, these studies also help clarify how households with different characteristics may display different preferences or capabilities for (im)mobility.</w:t>
      </w:r>
      <w:r w:rsidR="00320A6A">
        <w:fldChar w:fldCharType="begin"/>
      </w:r>
      <w:r w:rsidR="005423E4">
        <w:instrText xml:space="preserve"> ADDIN ZOTERO_ITEM CSL_CITATION {"citationID":"bRMnAjST","properties":{"unsorted":false,"formattedCitation":"(Loebach, 2016)","plainCitation":"(Loebach, 2016)","dontUpdate":true,"noteIndex":0},"citationItems":[{"id":1825,"uris":["http://zotero.org/users/18422904/items/VD6S7IEJ"],"itemData":{"id":1825,"type":"article-journal","abstract":"This study uses data drawn from the Nicaragua Living Standards and Measurement Study Survey to examine international livelihood migrations from Nicaragua in the years surrounding the rapid-onset Hurricane Mitch event of 1998. The likelihood of an international livelihood migration occurring between the years 1996 and 2001 is modeled utilizing discrete-time event history analysis. While findings indicate no influence of Hurricane Mitch on likelihood of livelihood migration, the Mitch event is associated with increased migrant selectivity according to past household migration experience for migrations to Costa Rica, suggesting these migrations to be livelihood adaptations of those with high capability in the form of access to migrant social networks. In addition, the Mitch event is found to be associated with decreased likelihood of migration by small business owners. This finding is interpreted as reflecting business owning households choosing to forego sending migrants to instead have ‘all hands on deck’ to assist with business operations.","container-title":"Population and Environment","DOI":"10.1007/s11111-016-0256-9","ISSN":"1573-7810","issue":"2","journalAbbreviation":"Popul Environ","language":"en","page":"185-206","source":"Springer Link","title":"Household migration as a livelihood adaptation in response to a natural disaster: Nicaragua and Hurricane Mitch","title-short":"Household migration as a livelihood adaptation in response to a natural disaster","volume":"38","author":[{"family":"Loebach","given":"Peter"}],"issued":{"date-parts":[["2016",12,1]]}}}],"schema":"https://github.com/citation-style-language/schema/raw/master/csl-citation.json"} </w:instrText>
      </w:r>
      <w:r w:rsidR="00320A6A">
        <w:fldChar w:fldCharType="separate"/>
      </w:r>
      <w:r w:rsidR="00320A6A">
        <w:rPr>
          <w:rFonts w:ascii="Garamond" w:hAnsi="Garamond"/>
        </w:rPr>
        <w:t xml:space="preserve"> </w:t>
      </w:r>
      <w:r w:rsidR="00320A6A" w:rsidRPr="00320A6A">
        <w:rPr>
          <w:rFonts w:ascii="Garamond" w:hAnsi="Garamond"/>
        </w:rPr>
        <w:t>Loebach</w:t>
      </w:r>
      <w:r w:rsidR="00320A6A">
        <w:rPr>
          <w:rFonts w:ascii="Garamond" w:hAnsi="Garamond"/>
        </w:rPr>
        <w:t xml:space="preserve"> (</w:t>
      </w:r>
      <w:r w:rsidR="00320A6A" w:rsidRPr="00320A6A">
        <w:rPr>
          <w:rFonts w:ascii="Garamond" w:hAnsi="Garamond"/>
        </w:rPr>
        <w:t>2016)</w:t>
      </w:r>
      <w:r w:rsidR="00320A6A">
        <w:fldChar w:fldCharType="end"/>
      </w:r>
      <w:r w:rsidR="00320A6A" w:rsidRPr="00320A6A">
        <w:t>, for example, finds that households owning businesses were less likely to adopt migration strategies</w:t>
      </w:r>
      <w:r w:rsidR="00320A6A">
        <w:t xml:space="preserve"> after Hurricane Mitch hit</w:t>
      </w:r>
      <w:r w:rsidR="00320A6A" w:rsidRPr="00320A6A">
        <w:t xml:space="preserve">, instead relying on a “hands-on-deck” approach in which all members remained to sustain local livelihoods. Importantly, the author suggests that these households could still be considered capable of migrating, thereby </w:t>
      </w:r>
      <w:r w:rsidR="00320A6A" w:rsidRPr="00F51F73">
        <w:t xml:space="preserve">illustrating a </w:t>
      </w:r>
      <w:r w:rsidR="00D45681" w:rsidRPr="00F51F73">
        <w:t xml:space="preserve">potential </w:t>
      </w:r>
      <w:r w:rsidR="00320A6A" w:rsidRPr="00F51F73">
        <w:t>form of voluntary immobilit</w:t>
      </w:r>
      <w:r w:rsidR="00D45681" w:rsidRPr="00F51F73">
        <w:t>y</w:t>
      </w:r>
      <w:r w:rsidR="00320A6A" w:rsidRPr="00F51F73">
        <w:t>.</w:t>
      </w:r>
    </w:p>
    <w:p w14:paraId="639637A2" w14:textId="6E556938" w:rsidR="004E4F6E" w:rsidRDefault="00D45681" w:rsidP="008B3403">
      <w:pPr>
        <w:spacing w:line="360" w:lineRule="auto"/>
        <w:jc w:val="both"/>
        <w:rPr>
          <w:rFonts w:ascii="Garamond" w:hAnsi="Garamond"/>
        </w:rPr>
      </w:pPr>
      <w:r>
        <w:t>Additionally to the points illustrated above</w:t>
      </w:r>
      <w:r w:rsidR="006B32FD">
        <w:t>,</w:t>
      </w:r>
      <w:r>
        <w:t xml:space="preserve"> </w:t>
      </w:r>
      <w:r>
        <w:fldChar w:fldCharType="begin"/>
      </w:r>
      <w:r w:rsidR="005423E4">
        <w:instrText xml:space="preserve"> ADDIN ZOTERO_ITEM CSL_CITATION {"citationID":"MDAdTrMs","properties":{"unsorted":false,"formattedCitation":"(Zickgraf, 2021)","plainCitation":"(Zickgraf, 2021)","dontUpdate":true,"noteIndex":0},"citationItems":[{"id":1809,"uris":["http://zotero.org/users/18422904/items/XQ6EBUBX"],"itemData":{"id":1809,"type":"article-journal","abstract":"The study of the relationship between environmental change and human mobility has largely focused on the movement of people as it is driven by environmental change with little regard for those who stay when faced with many of the same adverse conditions. An emerging body of work recognizes and seeks to understand the lack of migration, or immobility, in the contexts of environmental and climatic change, primarily through the notion of “trapped populations.” Theoretically, however, our understandings of immobility in relation to environmental change are underdeveloped and oversimplified, and do not do justice to the diversity, dynamism, or unevenness of (im)mobilities. In order to advance knowledge, this paper connects knowledge from environmental migration studies to immobility in broader migration research. Although there is no silver theoretical bullet, it explores the strengths and weaknesses of three frameworks in explaining and understanding (im)mobility decision-making, patterns, and consequences: (1) the New Economics of Labour Migration; (2) the aspirations-(cap)abilities framework; and (3) the mobilities paradigm. In order to break away from both sedentary and mobility biases, it asserts that scholars should theorize and analyze the entire mobility spectrum in the face of environmental change, rather than considering immobility as a separate outcome.","container-title":"Regional Environmental Change","DOI":"10.1007/s10113-021-01839-2","ISSN":"1436-378X","issue":"4","journalAbbreviation":"Reg Environ Change","language":"en","page":"126","source":"Springer Link","title":"Theorizing (im)mobility in the face of environmental change","volume":"21","author":[{"family":"Zickgraf","given":"Caroline"}],"issued":{"date-parts":[["2021",12,2]]}}}],"schema":"https://github.com/citation-style-language/schema/raw/master/csl-citation.json"} </w:instrText>
      </w:r>
      <w:r>
        <w:fldChar w:fldCharType="separate"/>
      </w:r>
      <w:r w:rsidRPr="00D45681">
        <w:rPr>
          <w:rFonts w:ascii="Garamond" w:hAnsi="Garamond"/>
        </w:rPr>
        <w:t>Zickgraf</w:t>
      </w:r>
      <w:r>
        <w:rPr>
          <w:rFonts w:ascii="Garamond" w:hAnsi="Garamond"/>
        </w:rPr>
        <w:t xml:space="preserve"> (</w:t>
      </w:r>
      <w:r w:rsidRPr="00D45681">
        <w:rPr>
          <w:rFonts w:ascii="Garamond" w:hAnsi="Garamond"/>
        </w:rPr>
        <w:t>2021)</w:t>
      </w:r>
      <w:r>
        <w:fldChar w:fldCharType="end"/>
      </w:r>
      <w:r w:rsidR="00D559E4">
        <w:t xml:space="preserve"> discusses a series of</w:t>
      </w:r>
      <w:r>
        <w:t xml:space="preserve"> both positive and negative aspects to adopting NELM for explaining immobility. </w:t>
      </w:r>
      <w:r w:rsidR="003C1C92">
        <w:t xml:space="preserve">A first positive aspects is that </w:t>
      </w:r>
      <w:r>
        <w:t>NELM avoids casting household members who sta</w:t>
      </w:r>
      <w:r w:rsidR="003C1C92">
        <w:t>y</w:t>
      </w:r>
      <w:r>
        <w:t xml:space="preserve"> behind as </w:t>
      </w:r>
      <w:r w:rsidR="003C1C92">
        <w:t xml:space="preserve">completely passive actors </w:t>
      </w:r>
      <w:r>
        <w:t>devoid of agency because they are at least able to</w:t>
      </w:r>
      <w:r w:rsidR="003C1C92">
        <w:t xml:space="preserve"> (in principle)</w:t>
      </w:r>
      <w:r>
        <w:t xml:space="preserve"> exercise some form of influence </w:t>
      </w:r>
      <w:r w:rsidR="003C1C92">
        <w:t>by being part of a broader household well-being strategy and by potentially sharing its benefits</w:t>
      </w:r>
      <w:r>
        <w:t xml:space="preserve">. </w:t>
      </w:r>
      <w:r w:rsidR="003C1C92">
        <w:t xml:space="preserve">Second, just like with the example of business owning households in </w:t>
      </w:r>
      <w:r w:rsidR="003C1C92" w:rsidRPr="00320A6A">
        <w:rPr>
          <w:rFonts w:ascii="Garamond" w:hAnsi="Garamond"/>
        </w:rPr>
        <w:t>Loebach</w:t>
      </w:r>
      <w:r w:rsidR="003C1C92">
        <w:rPr>
          <w:rFonts w:ascii="Garamond" w:hAnsi="Garamond"/>
        </w:rPr>
        <w:t xml:space="preserve"> (</w:t>
      </w:r>
      <w:r w:rsidR="003C1C92" w:rsidRPr="00320A6A">
        <w:rPr>
          <w:rFonts w:ascii="Garamond" w:hAnsi="Garamond"/>
        </w:rPr>
        <w:t>2016</w:t>
      </w:r>
      <w:r w:rsidR="003C1C92">
        <w:rPr>
          <w:rFonts w:ascii="Garamond" w:hAnsi="Garamond"/>
        </w:rPr>
        <w:t>)</w:t>
      </w:r>
      <w:r w:rsidR="00B162B0">
        <w:rPr>
          <w:rFonts w:ascii="Garamond" w:hAnsi="Garamond"/>
        </w:rPr>
        <w:t>,</w:t>
      </w:r>
      <w:r w:rsidR="003C1C92">
        <w:rPr>
          <w:rFonts w:ascii="Garamond" w:hAnsi="Garamond"/>
        </w:rPr>
        <w:t xml:space="preserve"> NELM can also illustrate which kinds of households are prone to becoming involuntarily immobile, recognizing that migration is not an available option for all households, specially impoverished ones who may prioritize urgent survival. Despite </w:t>
      </w:r>
      <w:r w:rsidR="001071C5">
        <w:rPr>
          <w:rFonts w:ascii="Garamond" w:hAnsi="Garamond"/>
        </w:rPr>
        <w:t>these benefits</w:t>
      </w:r>
      <w:r w:rsidR="001071C5" w:rsidRPr="001071C5">
        <w:rPr>
          <w:rFonts w:ascii="Garamond" w:hAnsi="Garamond"/>
        </w:rPr>
        <w:t xml:space="preserve">, a key limitation of NELM is that it tends to overlook </w:t>
      </w:r>
      <w:r w:rsidR="001071C5">
        <w:rPr>
          <w:rFonts w:ascii="Garamond" w:hAnsi="Garamond"/>
        </w:rPr>
        <w:t xml:space="preserve">inter and </w:t>
      </w:r>
      <w:r w:rsidR="001071C5" w:rsidRPr="001071C5">
        <w:rPr>
          <w:rFonts w:ascii="Garamond" w:hAnsi="Garamond"/>
        </w:rPr>
        <w:t xml:space="preserve">intra-household power relations and inequalities that shape who </w:t>
      </w:r>
      <w:r w:rsidR="001071C5">
        <w:rPr>
          <w:rFonts w:ascii="Garamond" w:hAnsi="Garamond"/>
        </w:rPr>
        <w:t>has the capability to</w:t>
      </w:r>
      <w:r w:rsidR="001071C5" w:rsidRPr="001071C5">
        <w:rPr>
          <w:rFonts w:ascii="Garamond" w:hAnsi="Garamond"/>
        </w:rPr>
        <w:t xml:space="preserve"> migrate and who remains behind</w:t>
      </w:r>
      <w:r w:rsidR="00B162B0">
        <w:rPr>
          <w:rFonts w:ascii="Garamond" w:hAnsi="Garamond"/>
        </w:rPr>
        <w:t xml:space="preserve"> </w:t>
      </w:r>
      <w:r w:rsidR="00B162B0">
        <w:rPr>
          <w:rFonts w:ascii="Garamond" w:hAnsi="Garamond"/>
        </w:rPr>
        <w:fldChar w:fldCharType="begin"/>
      </w:r>
      <w:r w:rsidR="00B162B0">
        <w:rPr>
          <w:rFonts w:ascii="Garamond" w:hAnsi="Garamond"/>
        </w:rPr>
        <w:instrText xml:space="preserve"> ADDIN ZOTERO_ITEM CSL_CITATION {"citationID":"PaO6C5LK","properties":{"unsorted":false,"formattedCitation":"(Zickgraf, 2021)","plainCitation":"(Zickgraf, 2021)","noteIndex":0},"citationItems":[{"id":1809,"uris":["http://zotero.org/users/18422904/items/XQ6EBUBX"],"itemData":{"id":1809,"type":"article-journal","abstract":"The study of the relationship between environmental change and human mobility has largely focused on the movement of people as it is driven by environmental change with little regard for those who stay when faced with many of the same adverse conditions. An emerging body of work recognizes and seeks to understand the lack of migration, or immobility, in the contexts of environmental and climatic change, primarily through the notion of “trapped populations.” Theoretically, however, our understandings of immobility in relation to environmental change are underdeveloped and oversimplified, and do not do justice to the diversity, dynamism, or unevenness of (im)mobilities. In order to advance knowledge, this paper connects knowledge from environmental migration studies to immobility in broader migration research. Although there is no silver theoretical bullet, it explores the strengths and weaknesses of three frameworks in explaining and understanding (im)mobility decision-making, patterns, and consequences: (1) the New Economics of Labour Migration; (2) the aspirations-(cap)abilities framework; and (3) the mobilities paradigm. In order to break away from both sedentary and mobility biases, it asserts that scholars should theorize and analyze the entire mobility spectrum in the face of environmental change, rather than considering immobility as a separate outcome.","container-title":"Regional Environmental Change","DOI":"10.1007/s10113-021-01839-2","ISSN":"1436-378X","issue":"4","journalAbbreviation":"Reg Environ Change","language":"en","page":"126","source":"Springer Link","title":"Theorizing (im)mobility in the face of environmental change","volume":"21","author":[{"family":"Zickgraf","given":"Caroline"}],"issued":{"date-parts":[["2021",12,2]]}}}],"schema":"https://github.com/citation-style-language/schema/raw/master/csl-citation.json"} </w:instrText>
      </w:r>
      <w:r w:rsidR="00B162B0">
        <w:rPr>
          <w:rFonts w:ascii="Garamond" w:hAnsi="Garamond"/>
        </w:rPr>
        <w:fldChar w:fldCharType="separate"/>
      </w:r>
      <w:r w:rsidR="00B162B0" w:rsidRPr="00B162B0">
        <w:rPr>
          <w:rFonts w:ascii="Garamond" w:hAnsi="Garamond"/>
        </w:rPr>
        <w:t>(Zickgraf, 2021)</w:t>
      </w:r>
      <w:r w:rsidR="00B162B0">
        <w:rPr>
          <w:rFonts w:ascii="Garamond" w:hAnsi="Garamond"/>
        </w:rPr>
        <w:fldChar w:fldCharType="end"/>
      </w:r>
      <w:r w:rsidR="001071C5" w:rsidRPr="001071C5">
        <w:rPr>
          <w:rFonts w:ascii="Garamond" w:hAnsi="Garamond"/>
        </w:rPr>
        <w:t>.</w:t>
      </w:r>
      <w:r w:rsidR="001071C5">
        <w:rPr>
          <w:rFonts w:ascii="Garamond" w:hAnsi="Garamond"/>
        </w:rPr>
        <w:t xml:space="preserve"> This omission is largely drive</w:t>
      </w:r>
      <w:r w:rsidR="008B3403">
        <w:rPr>
          <w:rFonts w:ascii="Garamond" w:hAnsi="Garamond"/>
        </w:rPr>
        <w:t>n</w:t>
      </w:r>
      <w:r w:rsidR="001071C5">
        <w:rPr>
          <w:rFonts w:ascii="Garamond" w:hAnsi="Garamond"/>
        </w:rPr>
        <w:t xml:space="preserve"> by NELM’s assumption that households are a harmonious collective unit where </w:t>
      </w:r>
      <w:r w:rsidR="001071C5">
        <w:rPr>
          <w:rFonts w:ascii="Garamond" w:hAnsi="Garamond"/>
        </w:rPr>
        <w:lastRenderedPageBreak/>
        <w:t xml:space="preserve">all members agree on migration decisions, that is who should migrate and how benefits (i.e. remittances) should be distributed </w:t>
      </w:r>
      <w:r w:rsidR="001071C5">
        <w:rPr>
          <w:rFonts w:ascii="Garamond" w:hAnsi="Garamond"/>
        </w:rPr>
        <w:fldChar w:fldCharType="begin"/>
      </w:r>
      <w:r w:rsidR="005423E4">
        <w:rPr>
          <w:rFonts w:ascii="Garamond" w:hAnsi="Garamond"/>
        </w:rPr>
        <w:instrText xml:space="preserve"> ADDIN ZOTERO_ITEM CSL_CITATION {"citationID":"lVQEB7Af","properties":{"unsorted":false,"formattedCitation":"(Zickgraf, 2021)","plainCitation":"(Zickgraf, 2021)","dontUpdate":true,"noteIndex":0},"citationItems":[{"id":1809,"uris":["http://zotero.org/users/18422904/items/XQ6EBUBX"],"itemData":{"id":1809,"type":"article-journal","abstract":"The study of the relationship between environmental change and human mobility has largely focused on the movement of people as it is driven by environmental change with little regard for those who stay when faced with many of the same adverse conditions. An emerging body of work recognizes and seeks to understand the lack of migration, or immobility, in the contexts of environmental and climatic change, primarily through the notion of “trapped populations.” Theoretically, however, our understandings of immobility in relation to environmental change are underdeveloped and oversimplified, and do not do justice to the diversity, dynamism, or unevenness of (im)mobilities. In order to advance knowledge, this paper connects knowledge from environmental migration studies to immobility in broader migration research. Although there is no silver theoretical bullet, it explores the strengths and weaknesses of three frameworks in explaining and understanding (im)mobility decision-making, patterns, and consequences: (1) the New Economics of Labour Migration; (2) the aspirations-(cap)abilities framework; and (3) the mobilities paradigm. In order to break away from both sedentary and mobility biases, it asserts that scholars should theorize and analyze the entire mobility spectrum in the face of environmental change, rather than considering immobility as a separate outcome.","container-title":"Regional Environmental Change","DOI":"10.1007/s10113-021-01839-2","ISSN":"1436-378X","issue":"4","journalAbbreviation":"Reg Environ Change","language":"en","page":"126","source":"Springer Link","title":"Theorizing (im)mobility in the face of environmental change","volume":"21","author":[{"family":"Zickgraf","given":"Caroline"}],"issued":{"date-parts":[["2021",12,2]]}}}],"schema":"https://github.com/citation-style-language/schema/raw/master/csl-citation.json"} </w:instrText>
      </w:r>
      <w:r w:rsidR="001071C5">
        <w:rPr>
          <w:rFonts w:ascii="Garamond" w:hAnsi="Garamond"/>
        </w:rPr>
        <w:fldChar w:fldCharType="separate"/>
      </w:r>
      <w:r w:rsidR="001071C5" w:rsidRPr="001071C5">
        <w:rPr>
          <w:rFonts w:ascii="Garamond" w:hAnsi="Garamond"/>
        </w:rPr>
        <w:t>(Zickgraf</w:t>
      </w:r>
      <w:r w:rsidR="001071C5">
        <w:rPr>
          <w:rFonts w:ascii="Garamond" w:hAnsi="Garamond"/>
        </w:rPr>
        <w:t xml:space="preserve"> (</w:t>
      </w:r>
      <w:r w:rsidR="001071C5" w:rsidRPr="001071C5">
        <w:rPr>
          <w:rFonts w:ascii="Garamond" w:hAnsi="Garamond"/>
        </w:rPr>
        <w:t>2021)</w:t>
      </w:r>
      <w:r w:rsidR="001071C5">
        <w:rPr>
          <w:rFonts w:ascii="Garamond" w:hAnsi="Garamond"/>
        </w:rPr>
        <w:fldChar w:fldCharType="end"/>
      </w:r>
      <w:r w:rsidR="001071C5">
        <w:rPr>
          <w:rFonts w:ascii="Garamond" w:hAnsi="Garamond"/>
        </w:rPr>
        <w:t xml:space="preserve"> citing </w:t>
      </w:r>
      <w:r w:rsidR="001071C5">
        <w:rPr>
          <w:rFonts w:ascii="Garamond" w:hAnsi="Garamond"/>
        </w:rPr>
        <w:fldChar w:fldCharType="begin"/>
      </w:r>
      <w:r w:rsidR="005423E4">
        <w:rPr>
          <w:rFonts w:ascii="Garamond" w:hAnsi="Garamond"/>
        </w:rPr>
        <w:instrText xml:space="preserve"> ADDIN ZOTERO_ITEM CSL_CITATION {"citationID":"hChampfp","properties":{"unsorted":false,"formattedCitation":"(De Haas &amp; Fokkema, 2010)","plainCitation":"(De Haas &amp; Fokkema, 2010)","dontUpdate":true,"noteIndex":0},"citationItems":[{"id":1827,"uris":["http://zotero.org/users/18422904/items/TNQ9Y6HT"],"itemData":{"id":1827,"type":"article-journal","abstract":"By analyzing the migration behavior and transnational residential strategies of first-generation, aging migrants from a particular Moroccan sending region, this study contributes to a conceptual critique of migration theories that identify the household as the most relevant decisionmaking unit. It highlights the role of intra-household power inequalities and conflicts in migration decisionmaking as well as the effects of migration decisions for intra-household power relations. Many labor migrants who left Morocco to work in Europe in the 1960s and 1970s did not realize their wish to return but instead ended up reunifying their families at the destination. An increasing proportion adopts a pendulum migration strategy to reconcile their own wish to retain strong ties with Morocco with the reluctance of children and spouses to return. Migrants who unilaterally decided not to reunify their families usually return after their active working life. However, this unilateral decision also blocks legal entry into Europe for their children, which has generated considerable intergenerational tensions.","container-title":"Population and Development Review","DOI":"10.1111/j.1728-4457.2010.00345.x","ISSN":"1728-4457","issue":"3","language":"en","license":"© 2010 The Population Council, Inc.","note":"_eprint: https://onlinelibrary.wiley.com/doi/pdf/10.1111/j.1728-4457.2010.00345.x","page":"541-561","source":"Wiley Online Library","title":"Intra-Household Conflicts in Migration Decisionmaking: Return and Pendulum Migration in Morocco","title-short":"Intra-Household Conflicts in Migration Decisionmaking","volume":"36","author":[{"family":"De Haas","given":"Hein"},{"family":"Fokkema","given":"Tineke"}],"issued":{"date-parts":[["2010"]]}}}],"schema":"https://github.com/citation-style-language/schema/raw/master/csl-citation.json"} </w:instrText>
      </w:r>
      <w:r w:rsidR="001071C5">
        <w:rPr>
          <w:rFonts w:ascii="Garamond" w:hAnsi="Garamond"/>
        </w:rPr>
        <w:fldChar w:fldCharType="separate"/>
      </w:r>
      <w:r w:rsidR="001071C5" w:rsidRPr="001071C5">
        <w:rPr>
          <w:rFonts w:ascii="Garamond" w:hAnsi="Garamond"/>
        </w:rPr>
        <w:t>De Haas &amp; Fokkema</w:t>
      </w:r>
      <w:r w:rsidR="00526680">
        <w:rPr>
          <w:rFonts w:ascii="Garamond" w:hAnsi="Garamond"/>
        </w:rPr>
        <w:t xml:space="preserve">, </w:t>
      </w:r>
      <w:r w:rsidR="001071C5" w:rsidRPr="001071C5">
        <w:rPr>
          <w:rFonts w:ascii="Garamond" w:hAnsi="Garamond"/>
        </w:rPr>
        <w:t>2010)</w:t>
      </w:r>
      <w:r w:rsidR="001071C5">
        <w:rPr>
          <w:rFonts w:ascii="Garamond" w:hAnsi="Garamond"/>
        </w:rPr>
        <w:fldChar w:fldCharType="end"/>
      </w:r>
      <w:r w:rsidR="001071C5">
        <w:rPr>
          <w:rFonts w:ascii="Garamond" w:hAnsi="Garamond"/>
        </w:rPr>
        <w:t xml:space="preserve">. </w:t>
      </w:r>
    </w:p>
    <w:p w14:paraId="2646DFB7" w14:textId="0F16A3FD" w:rsidR="00F3686C" w:rsidRDefault="00F3686C" w:rsidP="00D539EF">
      <w:pPr>
        <w:pStyle w:val="Heading3"/>
        <w:numPr>
          <w:ilvl w:val="2"/>
          <w:numId w:val="4"/>
        </w:numPr>
        <w:spacing w:line="360" w:lineRule="auto"/>
        <w:rPr>
          <w:b/>
          <w:bCs/>
          <w:color w:val="000000" w:themeColor="text1"/>
          <w:sz w:val="24"/>
          <w:szCs w:val="24"/>
        </w:rPr>
      </w:pPr>
      <w:bookmarkStart w:id="11" w:name="_Toc230511838"/>
      <w:r w:rsidRPr="006418DB">
        <w:rPr>
          <w:b/>
          <w:bCs/>
          <w:color w:val="000000" w:themeColor="text1"/>
          <w:sz w:val="24"/>
          <w:szCs w:val="24"/>
        </w:rPr>
        <w:t>The aspirations-capability framework</w:t>
      </w:r>
      <w:bookmarkEnd w:id="11"/>
    </w:p>
    <w:p w14:paraId="6D913DAB" w14:textId="77777777" w:rsidR="0000456A" w:rsidRDefault="0077447B" w:rsidP="0077447B">
      <w:pPr>
        <w:spacing w:line="360" w:lineRule="auto"/>
        <w:jc w:val="both"/>
      </w:pPr>
      <w:r w:rsidRPr="0077447B">
        <w:t xml:space="preserve">The second, and perhaps most influential, theoretical framework used to understand climate-related (im)mobility is de Haas’s (2021) aspirations–capability framework, which builds upon Carling’s aspirations–ability model by arguing that capability, rather than simply ability, is central to understanding migration and immobility. Drawing heavily on Amartya Sen’s capability approach, </w:t>
      </w:r>
      <w:r>
        <w:t>it</w:t>
      </w:r>
      <w:r w:rsidRPr="0077447B">
        <w:t xml:space="preserve"> conceptualizes migration as a two-level process shaped by both aspirations and capabilities to migrate within perceived geographical opportunity structures. Within this perspective, human mobility represents people’s freedom to choose where to live, meaning that both voluntary </w:t>
      </w:r>
      <w:r w:rsidR="002945E1">
        <w:t>mobility</w:t>
      </w:r>
      <w:r w:rsidRPr="0077447B">
        <w:t xml:space="preserve"> </w:t>
      </w:r>
      <w:r>
        <w:t>and</w:t>
      </w:r>
      <w:r w:rsidR="002945E1">
        <w:t xml:space="preserve"> voluntary</w:t>
      </w:r>
      <w:r w:rsidRPr="0077447B">
        <w:t xml:space="preserve"> immobility are understood as expressions of the same decision-making agency. </w:t>
      </w:r>
    </w:p>
    <w:p w14:paraId="48E6EB7A" w14:textId="00C776F1" w:rsidR="0077447B" w:rsidRPr="0077447B" w:rsidRDefault="0077447B" w:rsidP="0077447B">
      <w:pPr>
        <w:spacing w:line="360" w:lineRule="auto"/>
        <w:jc w:val="both"/>
      </w:pPr>
      <w:r w:rsidRPr="0077447B">
        <w:t>According to de Haas (2021), the framework emerged in response to earlier migration theories that struggled to simultaneously account for agency and structural constraints</w:t>
      </w:r>
      <w:r w:rsidR="002945E1">
        <w:t xml:space="preserve">, thereby </w:t>
      </w:r>
      <w:r w:rsidRPr="0077447B">
        <w:t>fail</w:t>
      </w:r>
      <w:r w:rsidR="002945E1">
        <w:t>ing</w:t>
      </w:r>
      <w:r w:rsidRPr="0077447B">
        <w:t xml:space="preserve"> to explain why migration often originates not from the poorest populations but from relatively better-off groups.</w:t>
      </w:r>
      <w:r w:rsidR="002945E1" w:rsidRPr="002945E1">
        <w:rPr>
          <w:rFonts w:ascii="Times New Roman" w:eastAsia="Times New Roman" w:hAnsi="Times New Roman" w:cs="Times New Roman"/>
          <w:kern w:val="0"/>
          <w:lang w:eastAsia="en-CA"/>
          <w14:ligatures w14:val="none"/>
        </w:rPr>
        <w:t xml:space="preserve"> </w:t>
      </w:r>
      <w:r w:rsidR="002945E1" w:rsidRPr="002945E1">
        <w:t>Similarly, the framework critiques earlier functionalist approaches, including NELM, for overlooking how unequal access to mobility opportunities may reproduce existing inequalities, while also departing from historical-structural perspectives by incorporating individual agency through migration aspirations.</w:t>
      </w:r>
      <w:r w:rsidR="002945E1">
        <w:t xml:space="preserve"> </w:t>
      </w:r>
      <w:r w:rsidRPr="0077447B">
        <w:t>Consequently, the framework proposes three outcomes resulting from the interaction between aspirations and capabilities: mobility</w:t>
      </w:r>
      <w:r w:rsidR="002945E1">
        <w:t xml:space="preserve"> (possesses both)</w:t>
      </w:r>
      <w:r w:rsidRPr="0077447B">
        <w:t>, voluntary immobility</w:t>
      </w:r>
      <w:r w:rsidR="002945E1">
        <w:t xml:space="preserve"> (capability with not aspirations)</w:t>
      </w:r>
      <w:r w:rsidRPr="0077447B">
        <w:t xml:space="preserve">, and involuntary </w:t>
      </w:r>
      <w:r w:rsidR="002945E1">
        <w:t xml:space="preserve">immobility (aspirations with no capabilities), with a fourth category, </w:t>
      </w:r>
      <w:r>
        <w:t>“</w:t>
      </w:r>
      <w:r w:rsidRPr="0077447B">
        <w:t>acquiescent immobility</w:t>
      </w:r>
      <w:r>
        <w:t>”</w:t>
      </w:r>
      <w:r w:rsidR="002945E1">
        <w:t xml:space="preserve"> added by </w:t>
      </w:r>
      <w:r w:rsidR="002945E1">
        <w:fldChar w:fldCharType="begin"/>
      </w:r>
      <w:r w:rsidR="006B32FD">
        <w:instrText xml:space="preserve"> ADDIN ZOTERO_ITEM CSL_CITATION {"citationID":"QmjkBBkn","properties":{"unsorted":false,"formattedCitation":"(Schewel, 2020)","plainCitation":"(Schewel, 2020)","dontUpdate":true,"noteIndex":0},"citationItems":[{"id":1779,"uris":["http://zotero.org/users/18422904/items/MQMAISN3"],"itemData":{"id":1779,"type":"article-journal","abstract":"This article suggests that there is a mobility bias in migration research: by focusing on the “drivers” of migration — the forces that lead to the initiation and perpetuation of migration flows — migration theories neglect the countervailing structural and personal forces that restrict or resist these drivers and lead to different immobility outcomes. To advance a research agenda on immobility, it offers a definition of immobility, further develops the aspiration-capability framework as an analytical tool for exploring the determinants of different forms of (im)mobility, synthesizes decades of interdisciplinary research to help explain why people do not migrate or desire to migrate, and considers future directions for further qualitative and quantitative research on immobility.","container-title":"International Migration Review","DOI":"10.1177/0197918319831952","ISSN":"0197-9183","issue":"2","language":"EN","page":"328-355","publisher":"SAGE Publications Inc","source":"SAGE Journals","title":"Understanding Immobility: Moving Beyond the Mobility Bias in Migration Studies","title-short":"Understanding Immobility","volume":"54","author":[{"family":"Schewel","given":"Kerilyn"}],"issued":{"date-parts":[["2020",6,1]]}}}],"schema":"https://github.com/citation-style-language/schema/raw/master/csl-citation.json"} </w:instrText>
      </w:r>
      <w:r w:rsidR="002945E1">
        <w:fldChar w:fldCharType="separate"/>
      </w:r>
      <w:r w:rsidR="002945E1" w:rsidRPr="002945E1">
        <w:rPr>
          <w:rFonts w:ascii="Garamond" w:hAnsi="Garamond"/>
        </w:rPr>
        <w:t>Schewel</w:t>
      </w:r>
      <w:r w:rsidR="002945E1">
        <w:rPr>
          <w:rFonts w:ascii="Garamond" w:hAnsi="Garamond"/>
        </w:rPr>
        <w:t xml:space="preserve"> (</w:t>
      </w:r>
      <w:r w:rsidR="002945E1" w:rsidRPr="002945E1">
        <w:rPr>
          <w:rFonts w:ascii="Garamond" w:hAnsi="Garamond"/>
        </w:rPr>
        <w:t>2020)</w:t>
      </w:r>
      <w:r w:rsidR="002945E1">
        <w:fldChar w:fldCharType="end"/>
      </w:r>
      <w:r w:rsidRPr="0077447B">
        <w:t xml:space="preserve">, referring to </w:t>
      </w:r>
      <w:r w:rsidR="002945E1">
        <w:t>when</w:t>
      </w:r>
      <w:r w:rsidRPr="0077447B">
        <w:t xml:space="preserve"> individuals </w:t>
      </w:r>
      <w:r w:rsidR="002945E1">
        <w:t>are devoid of both.</w:t>
      </w:r>
    </w:p>
    <w:p w14:paraId="1C5BB2D1" w14:textId="18A4ED92" w:rsidR="002303FF" w:rsidRPr="00791210" w:rsidRDefault="003072BB" w:rsidP="006964D6">
      <w:pPr>
        <w:spacing w:line="360" w:lineRule="auto"/>
        <w:jc w:val="both"/>
      </w:pPr>
      <w:r>
        <w:t>Since its proposal</w:t>
      </w:r>
      <w:r w:rsidR="00AA48B8">
        <w:t>,</w:t>
      </w:r>
      <w:r>
        <w:t xml:space="preserve"> a</w:t>
      </w:r>
      <w:r w:rsidR="00526680">
        <w:t xml:space="preserve"> diverse number of studies on (im)mobility have used this approach to understand the complex relationships between climate change and </w:t>
      </w:r>
      <w:r w:rsidR="00B261EF">
        <w:t>migration.</w:t>
      </w:r>
      <w:r w:rsidR="00D87622">
        <w:t xml:space="preserve"> </w:t>
      </w:r>
      <w:r w:rsidR="00AA48B8">
        <w:t xml:space="preserve">One </w:t>
      </w:r>
      <w:r w:rsidR="00553764">
        <w:t>example</w:t>
      </w:r>
      <w:r w:rsidR="00AA48B8">
        <w:t xml:space="preserve"> </w:t>
      </w:r>
      <w:r w:rsidR="00553764">
        <w:t xml:space="preserve">is that of </w:t>
      </w:r>
      <w:r w:rsidR="00553764">
        <w:fldChar w:fldCharType="begin"/>
      </w:r>
      <w:r w:rsidR="002945E1">
        <w:instrText xml:space="preserve"> ADDIN ZOTERO_ITEM CSL_CITATION {"citationID":"4jI7eULR","properties":{"unsorted":false,"formattedCitation":"(Freihardt, 2025)","plainCitation":"(Freihardt, 2025)","dontUpdate":true,"noteIndex":0},"citationItems":[{"id":21,"uris":["http://zotero.org/users/18422904/items/AJEPSWHR"],"itemData":{"id":21,"type":"article-journal","abstract":"While there has been a considerable conceptual discussion of trapped populations in the environmental migration literature, the empirical evidence on their existence is scarce. I examine why many people remain in environmentally vulnerable areas by analyzing newly collected survey panel data of 1515 household heads living along the Jamuna River in Bangladesh, an area affected by riverbank erosion and flooding. To examine whether immobility is voluntary or involuntary, I assess the migration aspirations and capability to move of those who did not migrate after environmental shocks occurred in their village. The majority (82%) of non-migrants can be classified as voluntary non-migrants, while 13% can be considered “trapped” and the remaining 5% as acquiescent non-migrants. Being affected by erosion significantly increases the likelihood that immobility is involuntary by 7.9 percentage points, while also lowering the socio-economic status of the affected population. Taken together, these results suggest that environmental change may indeed lead to the “trapping” of parts of the population in exposed areas by eroding their capability to move while simultaneously increasing their migration aspirations. The findings have important policy implications, as they raise a word of caution against prematurely labeling all populations staying in environmentally exposed areas as “trapped” without considering their migration aspirations—a majority may in fact be voluntary non-migrants.","container-title":"Regional Environmental Change","DOI":"10.1007/s10113-025-02452-3","ISSN":"1436-378X","issue":"4","journalAbbreviation":"Reg Environ Change","language":"en","page":"117","source":"Springer Link","title":"Trapped by climate change? (In)voluntary immobility in Bangladesh","title-short":"Trapped by climate change?","volume":"25","author":[{"family":"Freihardt","given":"Jan"}],"issued":{"date-parts":[["2025",9,8]]}}}],"schema":"https://github.com/citation-style-language/schema/raw/master/csl-citation.json"} </w:instrText>
      </w:r>
      <w:r w:rsidR="00553764">
        <w:fldChar w:fldCharType="separate"/>
      </w:r>
      <w:r w:rsidR="00553764" w:rsidRPr="00553764">
        <w:rPr>
          <w:rFonts w:ascii="Garamond" w:hAnsi="Garamond"/>
        </w:rPr>
        <w:t>Freihardt</w:t>
      </w:r>
      <w:r w:rsidR="002303FF">
        <w:rPr>
          <w:rFonts w:ascii="Garamond" w:hAnsi="Garamond"/>
        </w:rPr>
        <w:t>'s</w:t>
      </w:r>
      <w:r w:rsidR="00553764">
        <w:rPr>
          <w:rFonts w:ascii="Garamond" w:hAnsi="Garamond"/>
        </w:rPr>
        <w:t xml:space="preserve"> (</w:t>
      </w:r>
      <w:r w:rsidR="00553764" w:rsidRPr="00553764">
        <w:rPr>
          <w:rFonts w:ascii="Garamond" w:hAnsi="Garamond"/>
        </w:rPr>
        <w:t>2025)</w:t>
      </w:r>
      <w:r w:rsidR="00553764">
        <w:fldChar w:fldCharType="end"/>
      </w:r>
      <w:r w:rsidR="00553764">
        <w:t xml:space="preserve"> </w:t>
      </w:r>
      <w:r w:rsidR="002303FF" w:rsidRPr="002303FF">
        <w:t xml:space="preserve">study in Bangladesh, which directly applies the framework to analyze involuntary immobility. </w:t>
      </w:r>
      <w:r w:rsidR="0000456A" w:rsidRPr="0000456A">
        <w:t xml:space="preserve">The author argues that environmental degradation may simultaneously increase migration aspirations while </w:t>
      </w:r>
      <w:r w:rsidR="0000456A">
        <w:t xml:space="preserve">disproportionally </w:t>
      </w:r>
      <w:r w:rsidR="0000456A" w:rsidRPr="0000456A">
        <w:t xml:space="preserve">eroding </w:t>
      </w:r>
      <w:r w:rsidR="00791210">
        <w:t>their</w:t>
      </w:r>
      <w:r w:rsidR="0000456A" w:rsidRPr="0000456A">
        <w:t xml:space="preserve"> capabilities, thereby generating forms of involuntary immobility </w:t>
      </w:r>
      <w:r w:rsidR="002303FF" w:rsidRPr="002303FF">
        <w:t>(see</w:t>
      </w:r>
      <w:r w:rsidR="002303FF">
        <w:t xml:space="preserve"> </w:t>
      </w:r>
      <w:r w:rsidR="002303FF">
        <w:fldChar w:fldCharType="begin"/>
      </w:r>
      <w:r w:rsidR="002303FF">
        <w:instrText xml:space="preserve"> REF _Ref230158812 \h </w:instrText>
      </w:r>
      <w:r w:rsidR="002303FF">
        <w:fldChar w:fldCharType="separate"/>
      </w:r>
      <w:r w:rsidR="002303FF" w:rsidRPr="00FB6F04">
        <w:rPr>
          <w:b/>
          <w:bCs/>
          <w:color w:val="000000" w:themeColor="text1"/>
        </w:rPr>
        <w:t xml:space="preserve">Figure </w:t>
      </w:r>
      <w:r w:rsidR="002303FF" w:rsidRPr="00FB6F04">
        <w:rPr>
          <w:b/>
          <w:bCs/>
          <w:noProof/>
          <w:color w:val="000000" w:themeColor="text1"/>
        </w:rPr>
        <w:t>1</w:t>
      </w:r>
      <w:r w:rsidR="002303FF">
        <w:fldChar w:fldCharType="end"/>
      </w:r>
      <w:r w:rsidR="002303FF" w:rsidRPr="002303FF">
        <w:t xml:space="preserve">). The study also incorporates de Haas’s argument that aspirations and capabilities are not fully separate </w:t>
      </w:r>
      <w:r w:rsidR="00791210" w:rsidRPr="002303FF">
        <w:t>dimensions but</w:t>
      </w:r>
      <w:r w:rsidR="00791210">
        <w:t xml:space="preserve"> rather interact with each other</w:t>
      </w:r>
      <w:r w:rsidR="002303FF" w:rsidRPr="002303FF">
        <w:t>.</w:t>
      </w:r>
      <w:r w:rsidR="00885BD5">
        <w:t xml:space="preserve"> </w:t>
      </w:r>
      <w:r w:rsidR="00791210">
        <w:t xml:space="preserve">Additionally, </w:t>
      </w:r>
      <w:r w:rsidR="00791210" w:rsidRPr="00791210">
        <w:t xml:space="preserve">Black &amp; Collyer (2014) make an important contribution by </w:t>
      </w:r>
      <w:r w:rsidR="00791210" w:rsidRPr="00791210">
        <w:lastRenderedPageBreak/>
        <w:t xml:space="preserve">suggesting that what distinguishes trapped populations </w:t>
      </w:r>
      <w:r w:rsidR="00791210">
        <w:t xml:space="preserve">in environmental contexts </w:t>
      </w:r>
      <w:r w:rsidR="00791210" w:rsidRPr="00791210">
        <w:t xml:space="preserve">from broader forms of involuntary immobility is the notion of need, as migration aspirations alone may not be sufficient to classify someone as </w:t>
      </w:r>
      <w:r w:rsidR="00791210">
        <w:t xml:space="preserve">environmentally </w:t>
      </w:r>
      <w:r w:rsidR="00791210" w:rsidRPr="00791210">
        <w:t>trapped</w:t>
      </w:r>
      <w:r w:rsidR="00791210">
        <w:t xml:space="preserve"> </w:t>
      </w:r>
      <w:r w:rsidR="00791210">
        <w:fldChar w:fldCharType="begin"/>
      </w:r>
      <w:r w:rsidR="00791210">
        <w:instrText xml:space="preserve"> ADDIN ZOTERO_ITEM CSL_CITATION {"citationID":"Jis8g6LT","properties":{"unsorted":false,"formattedCitation":"(Zickgraf, 2021)","plainCitation":"(Zickgraf, 2021)","noteIndex":0},"citationItems":[{"id":1809,"uris":["http://zotero.org/users/18422904/items/XQ6EBUBX"],"itemData":{"id":1809,"type":"article-journal","abstract":"The study of the relationship between environmental change and human mobility has largely focused on the movement of people as it is driven by environmental change with little regard for those who stay when faced with many of the same adverse conditions. An emerging body of work recognizes and seeks to understand the lack of migration, or immobility, in the contexts of environmental and climatic change, primarily through the notion of “trapped populations.” Theoretically, however, our understandings of immobility in relation to environmental change are underdeveloped and oversimplified, and do not do justice to the diversity, dynamism, or unevenness of (im)mobilities. In order to advance knowledge, this paper connects knowledge from environmental migration studies to immobility in broader migration research. Although there is no silver theoretical bullet, it explores the strengths and weaknesses of three frameworks in explaining and understanding (im)mobility decision-making, patterns, and consequences: (1) the New Economics of Labour Migration; (2) the aspirations-(cap)abilities framework; and (3) the mobilities paradigm. In order to break away from both sedentary and mobility biases, it asserts that scholars should theorize and analyze the entire mobility spectrum in the face of environmental change, rather than considering immobility as a separate outcome.","container-title":"Regional Environmental Change","DOI":"10.1007/s10113-021-01839-2","ISSN":"1436-378X","issue":"4","journalAbbreviation":"Reg Environ Change","language":"en","page":"126","source":"Springer Link","title":"Theorizing (im)mobility in the face of environmental change","volume":"21","author":[{"family":"Zickgraf","given":"Caroline"}],"issued":{"date-parts":[["2021",12,2]]}}}],"schema":"https://github.com/citation-style-language/schema/raw/master/csl-citation.json"} </w:instrText>
      </w:r>
      <w:r w:rsidR="00791210">
        <w:fldChar w:fldCharType="separate"/>
      </w:r>
      <w:r w:rsidR="00791210" w:rsidRPr="00791210">
        <w:rPr>
          <w:rFonts w:ascii="Garamond" w:hAnsi="Garamond"/>
        </w:rPr>
        <w:t>(Zickgraf, 2021)</w:t>
      </w:r>
      <w:r w:rsidR="00791210">
        <w:fldChar w:fldCharType="end"/>
      </w:r>
      <w:r w:rsidR="00791210" w:rsidRPr="008B4E93">
        <w:rPr>
          <w:rStyle w:val="FootnoteReference"/>
        </w:rPr>
        <w:footnoteReference w:id="2"/>
      </w:r>
      <w:r w:rsidR="00791210" w:rsidRPr="00791210">
        <w:t>. At the same time, some authors emphasize that mobility capabilities should not be conflated with capabilities to remain in place, a distinction that has received increasing attention in recent research</w:t>
      </w:r>
      <w:r w:rsidR="00CA24C1">
        <w:t xml:space="preserve"> </w:t>
      </w:r>
      <w:r w:rsidR="00CA24C1">
        <w:fldChar w:fldCharType="begin"/>
      </w:r>
      <w:r w:rsidR="00CA24C1">
        <w:instrText xml:space="preserve"> ADDIN ZOTERO_ITEM CSL_CITATION {"citationID":"DPhh4Nda","properties":{"unsorted":false,"formattedCitation":"(Zickgraf, 2021)","plainCitation":"(Zickgraf, 2021)","noteIndex":0},"citationItems":[{"id":1809,"uris":["http://zotero.org/users/18422904/items/XQ6EBUBX"],"itemData":{"id":1809,"type":"article-journal","abstract":"The study of the relationship between environmental change and human mobility has largely focused on the movement of people as it is driven by environmental change with little regard for those who stay when faced with many of the same adverse conditions. An emerging body of work recognizes and seeks to understand the lack of migration, or immobility, in the contexts of environmental and climatic change, primarily through the notion of “trapped populations.” Theoretically, however, our understandings of immobility in relation to environmental change are underdeveloped and oversimplified, and do not do justice to the diversity, dynamism, or unevenness of (im)mobilities. In order to advance knowledge, this paper connects knowledge from environmental migration studies to immobility in broader migration research. Although there is no silver theoretical bullet, it explores the strengths and weaknesses of three frameworks in explaining and understanding (im)mobility decision-making, patterns, and consequences: (1) the New Economics of Labour Migration; (2) the aspirations-(cap)abilities framework; and (3) the mobilities paradigm. In order to break away from both sedentary and mobility biases, it asserts that scholars should theorize and analyze the entire mobility spectrum in the face of environmental change, rather than considering immobility as a separate outcome.","container-title":"Regional Environmental Change","DOI":"10.1007/s10113-021-01839-2","ISSN":"1436-378X","issue":"4","journalAbbreviation":"Reg Environ Change","language":"en","page":"126","source":"Springer Link","title":"Theorizing (im)mobility in the face of environmental change","volume":"21","author":[{"family":"Zickgraf","given":"Caroline"}],"issued":{"date-parts":[["2021",12,2]]}}}],"schema":"https://github.com/citation-style-language/schema/raw/master/csl-citation.json"} </w:instrText>
      </w:r>
      <w:r w:rsidR="00CA24C1">
        <w:fldChar w:fldCharType="separate"/>
      </w:r>
      <w:r w:rsidR="00CA24C1" w:rsidRPr="00CA24C1">
        <w:rPr>
          <w:rFonts w:ascii="Garamond" w:hAnsi="Garamond"/>
        </w:rPr>
        <w:t>(Zickgraf, 2021)</w:t>
      </w:r>
      <w:r w:rsidR="00CA24C1">
        <w:fldChar w:fldCharType="end"/>
      </w:r>
      <w:r w:rsidR="00791210" w:rsidRPr="00791210">
        <w:t>.</w:t>
      </w:r>
    </w:p>
    <w:p w14:paraId="33698ABC" w14:textId="599D7BAA" w:rsidR="00791210" w:rsidRDefault="0092778B" w:rsidP="006964D6">
      <w:pPr>
        <w:spacing w:line="360" w:lineRule="auto"/>
        <w:jc w:val="both"/>
      </w:pPr>
      <w:r w:rsidRPr="0092778B">
        <w:t>Apart from offering alternative explanations for how involuntary immobility may emerge following climate shocks, the aspirations–capability framework also helps address some limitations of NELM-type approaches by placing greater emphasis on individual-level aspirations and capabilities. In doing so, it highlights how unequal power relations within households shape migration and immobility outcomes</w:t>
      </w:r>
      <w:r>
        <w:t xml:space="preserve">, </w:t>
      </w:r>
      <w:r w:rsidRPr="005368EA">
        <w:t>where some household members</w:t>
      </w:r>
      <w:r w:rsidR="00B55960">
        <w:t xml:space="preserve"> (mainly women)</w:t>
      </w:r>
      <w:r w:rsidRPr="005368EA">
        <w:t xml:space="preserve"> remain behind to enable the mobility of others</w:t>
      </w:r>
      <w:r>
        <w:t xml:space="preserve"> by, for example, assuming care responsibilities</w:t>
      </w:r>
      <w:r w:rsidR="00B55960">
        <w:t xml:space="preserve"> </w:t>
      </w:r>
      <w:r w:rsidR="005423E4">
        <w:fldChar w:fldCharType="begin"/>
      </w:r>
      <w:r w:rsidR="005423E4">
        <w:instrText xml:space="preserve"> ADDIN ZOTERO_ITEM CSL_CITATION {"citationID":"0uGEa4iM","properties":{"unsorted":false,"formattedCitation":"(Zickgraf, 2021)","plainCitation":"(Zickgraf, 2021)","noteIndex":0},"citationItems":[{"id":1809,"uris":["http://zotero.org/users/18422904/items/XQ6EBUBX"],"itemData":{"id":1809,"type":"article-journal","abstract":"The study of the relationship between environmental change and human mobility has largely focused on the movement of people as it is driven by environmental change with little regard for those who stay when faced with many of the same adverse conditions. An emerging body of work recognizes and seeks to understand the lack of migration, or immobility, in the contexts of environmental and climatic change, primarily through the notion of “trapped populations.” Theoretically, however, our understandings of immobility in relation to environmental change are underdeveloped and oversimplified, and do not do justice to the diversity, dynamism, or unevenness of (im)mobilities. In order to advance knowledge, this paper connects knowledge from environmental migration studies to immobility in broader migration research. Although there is no silver theoretical bullet, it explores the strengths and weaknesses of three frameworks in explaining and understanding (im)mobility decision-making, patterns, and consequences: (1) the New Economics of Labour Migration; (2) the aspirations-(cap)abilities framework; and (3) the mobilities paradigm. In order to break away from both sedentary and mobility biases, it asserts that scholars should theorize and analyze the entire mobility spectrum in the face of environmental change, rather than considering immobility as a separate outcome.","container-title":"Regional Environmental Change","DOI":"10.1007/s10113-021-01839-2","ISSN":"1436-378X","issue":"4","journalAbbreviation":"Reg Environ Change","language":"en","page":"126","source":"Springer Link","title":"Theorizing (im)mobility in the face of environmental change","volume":"21","author":[{"family":"Zickgraf","given":"Caroline"}],"issued":{"date-parts":[["2021",12,2]]}}}],"schema":"https://github.com/citation-style-language/schema/raw/master/csl-citation.json"} </w:instrText>
      </w:r>
      <w:r w:rsidR="005423E4">
        <w:fldChar w:fldCharType="separate"/>
      </w:r>
      <w:r w:rsidR="005423E4" w:rsidRPr="005423E4">
        <w:rPr>
          <w:rFonts w:ascii="Garamond" w:hAnsi="Garamond"/>
        </w:rPr>
        <w:t>(Zickgraf, 2021)</w:t>
      </w:r>
      <w:r w:rsidR="005423E4">
        <w:fldChar w:fldCharType="end"/>
      </w:r>
      <w:r w:rsidR="00CA24C1">
        <w:t xml:space="preserve">, what is termed </w:t>
      </w:r>
      <w:r w:rsidR="007421B1">
        <w:t xml:space="preserve">as </w:t>
      </w:r>
      <w:r w:rsidR="00CA24C1">
        <w:t>“enabling immobility”</w:t>
      </w:r>
      <w:r w:rsidR="007421B1">
        <w:t xml:space="preserve"> by </w:t>
      </w:r>
      <w:r w:rsidR="007421B1">
        <w:fldChar w:fldCharType="begin"/>
      </w:r>
      <w:r w:rsidR="00FA7C1A">
        <w:instrText xml:space="preserve"> ADDIN ZOTERO_ITEM CSL_CITATION {"citationID":"UMsmxufn","properties":{"unsorted":false,"formattedCitation":"(Ayeb-Karlsson et\\uc0\\u160{}al., 2018)","plainCitation":"(Ayeb-Karlsson et al., 2018)","dontUpdate":true,"noteIndex":0},"citationItems":[{"id":1804,"uris":["http://zotero.org/users/18422904/items/4KDMIPVN"],"itemData":{"id":1804,"type":"article-journal","abstract":"First mooted in 2011, the concept of Trapped Populations referring to people unable to move from environmentally high-risk areas broadened the study of human responses to environmental change. While a seemingly straightforward concept, the underlying discourses around the reasons for being ‘trapped’, and the language describing the concept have profound influences on the way in which policy and practice approaches the needs of populations at risk from environmental stresses and shocks. In this article, we apply a Critical Discourse Analysis to the academic literature on the subject to reveal some of the assumptions implicit within discussing ‘trapped’ populations. The analysis reveals a dominant school of thought that assisted migration, relocation, and resettlement in the face of climate change are potentially effective adaptation strategies along a gradient of migrant agency and governance.","container-title":"Ambio","DOI":"10.1007/s13280-017-1007-6","ISSN":"1654-7209","issue":"5","journalAbbreviation":"Ambio","language":"en","page":"557-573","source":"Springer Link","title":"A discursive review of the textual use of ‘trapped’ in environmental migration studies: The conceptual birth and troubled teenage years of trapped populations","title-short":"A discursive review of the textual use of ‘trapped’ in environmental migration studies","volume":"47","author":[{"family":"Ayeb-Karlsson","given":"Sonja"},{"family":"Smith","given":"Christopher D."},{"family":"Kniveton","given":"Dominic"}],"issued":{"date-parts":[["2018",9,1]]}}}],"schema":"https://github.com/citation-style-language/schema/raw/master/csl-citation.json"} </w:instrText>
      </w:r>
      <w:r w:rsidR="007421B1">
        <w:fldChar w:fldCharType="separate"/>
      </w:r>
      <w:r w:rsidR="007421B1" w:rsidRPr="007421B1">
        <w:rPr>
          <w:rFonts w:ascii="Garamond" w:hAnsi="Garamond" w:cs="Times New Roman"/>
          <w:kern w:val="0"/>
        </w:rPr>
        <w:t xml:space="preserve">Ayeb-Karlsson et al., </w:t>
      </w:r>
      <w:r w:rsidR="007421B1">
        <w:rPr>
          <w:rFonts w:ascii="Garamond" w:hAnsi="Garamond" w:cs="Times New Roman"/>
          <w:kern w:val="0"/>
        </w:rPr>
        <w:t>(</w:t>
      </w:r>
      <w:r w:rsidR="007421B1" w:rsidRPr="007421B1">
        <w:rPr>
          <w:rFonts w:ascii="Garamond" w:hAnsi="Garamond" w:cs="Times New Roman"/>
          <w:kern w:val="0"/>
        </w:rPr>
        <w:t>2018)</w:t>
      </w:r>
      <w:r w:rsidR="007421B1">
        <w:fldChar w:fldCharType="end"/>
      </w:r>
      <w:r w:rsidR="007421B1">
        <w:t xml:space="preserve"> or as “care-based immobility” by </w:t>
      </w:r>
      <w:r w:rsidR="007421B1">
        <w:fldChar w:fldCharType="begin"/>
      </w:r>
      <w:r w:rsidR="00FA7C1A">
        <w:instrText xml:space="preserve"> ADDIN ZOTERO_ITEM CSL_CITATION {"citationID":"WQV1KCy3","properties":{"unsorted":false,"formattedCitation":"(Boldrini &amp; Saggiomo, 2026)","plainCitation":"(Boldrini &amp; Saggiomo, 2026)","dontUpdate":true,"noteIndex":0},"citationItems":[{"id":1846,"uris":["http://zotero.org/users/18422904/items/KYERZ5FV"],"itemData":{"id":1846,"type":"article-journal","abstract":"This article examines the gendered dynamics of climate-related migration and immobility in rural Ghana, focusing on the Bono and Bono East regions. Drawing on ethnographic fieldwork conducted between 2022 and 2023, it explores how male out-migration, often framed as an adaptive response to environmental stress, reshapes the gendered distribution of labor, women’s responsibilities, and their opportunities for mobility.\nThe study introduces the concept of care-based immobility as a central analytical contribution. It conceptualizes women’s staying as a socially produced condition rooted in three interrelated domains—economic management, food security, and caregiving. These responsibilities simultaneously anchor women geographically while enabling household and community survival, demonstrating that immobility operates as both a structural constraint and an active strategy of climate adaptation.\nBy integrating feminist political ecology with critical mobility and immobility frameworks, the analysis moves beyond environmentally deterministic narratives of climate migration and situates women’s (im)mobility within relational socio-ecological hierarchies. The article thus underscores the importance of gender-sensitive and locally grounded approaches to climate resilience.","container-title":"Migraciones. Publicación del Instituto Universitario de Estudios sobre Migraciones","DOI":"10.14422/mig.23420.012","ISSN":"2341-0833","issue":"66","language":"en","license":"https://creativecommons.org/licenses/by-sa/4.0","page":"1-21","source":"revistas.comillas.edu","title":"On Women’s Shoulders: Care-Based Immobility and Climate Adaptation in Rural Ghana","title-short":"On Women’s Shoulders","author":[{"family":"Boldrini","given":"Mariachiara"},{"family":"Saggiomo","given":"Valeria"}],"issued":{"date-parts":[["2026",3,13]]}}}],"schema":"https://github.com/citation-style-language/schema/raw/master/csl-citation.json"} </w:instrText>
      </w:r>
      <w:r w:rsidR="007421B1">
        <w:fldChar w:fldCharType="separate"/>
      </w:r>
      <w:r w:rsidR="007421B1" w:rsidRPr="007421B1">
        <w:rPr>
          <w:rFonts w:ascii="Garamond" w:hAnsi="Garamond"/>
        </w:rPr>
        <w:t>Boldrini &amp; Saggiomo</w:t>
      </w:r>
      <w:r w:rsidR="007421B1">
        <w:rPr>
          <w:rFonts w:ascii="Garamond" w:hAnsi="Garamond"/>
        </w:rPr>
        <w:t xml:space="preserve"> (</w:t>
      </w:r>
      <w:r w:rsidR="007421B1" w:rsidRPr="007421B1">
        <w:rPr>
          <w:rFonts w:ascii="Garamond" w:hAnsi="Garamond"/>
        </w:rPr>
        <w:t>2026)</w:t>
      </w:r>
      <w:r w:rsidR="007421B1">
        <w:fldChar w:fldCharType="end"/>
      </w:r>
      <w:r w:rsidR="004D0395" w:rsidRPr="004D0395">
        <w:t>.</w:t>
      </w:r>
      <w:r w:rsidR="004D0395">
        <w:t xml:space="preserve"> Another</w:t>
      </w:r>
      <w:r w:rsidR="004D0395" w:rsidRPr="004D0395">
        <w:t xml:space="preserve"> example is </w:t>
      </w:r>
      <w:r w:rsidR="004D0395">
        <w:fldChar w:fldCharType="begin"/>
      </w:r>
      <w:r w:rsidR="002945E1">
        <w:instrText xml:space="preserve"> ADDIN ZOTERO_ITEM CSL_CITATION {"citationID":"XsKkPE7i","properties":{"unsorted":false,"formattedCitation":"(Vlase, 2025)","plainCitation":"(Vlase, 2025)","dontUpdate":true,"noteIndex":0},"citationItems":[{"id":1829,"uris":["http://zotero.org/users/18422904/items/RHTIJV8R"],"itemData":{"id":1829,"type":"article-journal","abstract":"The Roma represent the largest ethnic minority in Europe, with Romania hosting the largest share. A significant proportion of this population seeks to improve their living conditions through migration. Drawing on the aspirations–capabilities framework, this study examines the micro-, meso-, and macro-level factors influencing Romanian Roma's intentions to migrate abroad. Using data from the 2021 EU Fundamental Rights Agency (FRA) survey on Roma, we apply binary logistic regression to analyze the determinants of future migration intentions. Our findings show that migration intentions among disadvantaged groups are shaped not only by negative experiences in their home countries such as harassment and social exclusion, but also by relative forms of empowerment, including higher levels of education, economic independence through self-employment, and increased social interaction with dissimilar others. Younger Roma are more likely to consider leaving Romania compared to those aged 45 and older. Similarly, individuals with more than 13 years of education are more likely to intend to migrate than those with no formal education. Employment situation also plays a role: Roma engaged in self-employment or in education or training are more likely to express migration intentions than those in paid employment. In addition, intense feelings of social exclusion and experiences of hate-motivated harassment are positively associated with the intention to migrate. Conversely, higher levels of institutional trust and stronger social ties homophily are associated with lower the likelihood of migration plans. These findings underscore the need for nuanced policy interventions that go beyond addressing material deprivation of marginalized groups.","container-title":"Sociology Compass","DOI":"10.1111/soc4.70144","ISSN":"1751-9020","issue":"12","language":"en","license":"© 2025 The Author(s). Sociology Compass published by John Wiley &amp; Sons Ltd.","note":"_eprint: https://compass.onlinelibrary.wiley.com/doi/pdf/10.1111/soc4.70144","page":"e70144","source":"Wiley Online Library","title":"Roma Migration Intentions: An Aspirations–Capabilities Approach","title-short":"Roma Migration Intentions","volume":"19","author":[{"family":"Vlase","given":"Ionela"}],"issued":{"date-parts":[["2025"]]}}}],"schema":"https://github.com/citation-style-language/schema/raw/master/csl-citation.json"} </w:instrText>
      </w:r>
      <w:r w:rsidR="004D0395">
        <w:fldChar w:fldCharType="separate"/>
      </w:r>
      <w:r w:rsidR="004D0395" w:rsidRPr="004D0395">
        <w:rPr>
          <w:rFonts w:ascii="Garamond" w:hAnsi="Garamond"/>
        </w:rPr>
        <w:t>Vlase</w:t>
      </w:r>
      <w:r w:rsidR="004D0395">
        <w:rPr>
          <w:rFonts w:ascii="Garamond" w:hAnsi="Garamond"/>
        </w:rPr>
        <w:t>'s</w:t>
      </w:r>
      <w:r w:rsidR="004D0395" w:rsidRPr="004D0395">
        <w:rPr>
          <w:rFonts w:ascii="Garamond" w:hAnsi="Garamond"/>
        </w:rPr>
        <w:t xml:space="preserve"> </w:t>
      </w:r>
      <w:r w:rsidR="004D0395">
        <w:rPr>
          <w:rFonts w:ascii="Garamond" w:hAnsi="Garamond"/>
        </w:rPr>
        <w:t>(</w:t>
      </w:r>
      <w:r w:rsidR="004D0395" w:rsidRPr="004D0395">
        <w:rPr>
          <w:rFonts w:ascii="Garamond" w:hAnsi="Garamond"/>
        </w:rPr>
        <w:t>2025)</w:t>
      </w:r>
      <w:r w:rsidR="004D0395">
        <w:fldChar w:fldCharType="end"/>
      </w:r>
      <w:r>
        <w:t xml:space="preserve"> </w:t>
      </w:r>
      <w:r w:rsidR="004D0395" w:rsidRPr="004D0395">
        <w:t xml:space="preserve">study on Roma women, which argues that patriarchal household structures can limit </w:t>
      </w:r>
      <w:r w:rsidR="007421B1">
        <w:t>their</w:t>
      </w:r>
      <w:r w:rsidR="004D0395" w:rsidRPr="004D0395">
        <w:t xml:space="preserve"> migration capabilities by restricting their access to resources, while also reinforcing perceptions of migration as risky and inappropriate for women</w:t>
      </w:r>
      <w:r w:rsidR="004D0395">
        <w:t xml:space="preserve">, </w:t>
      </w:r>
      <w:r w:rsidR="00CA24C1">
        <w:t>leading to</w:t>
      </w:r>
      <w:r w:rsidR="004D0395">
        <w:t xml:space="preserve"> internaliz</w:t>
      </w:r>
      <w:r w:rsidR="00CA24C1">
        <w:t>ed</w:t>
      </w:r>
      <w:r w:rsidR="004D0395">
        <w:t xml:space="preserve"> negative </w:t>
      </w:r>
      <w:r w:rsidR="00B55960">
        <w:t>perception</w:t>
      </w:r>
      <w:r w:rsidR="004D0395">
        <w:t xml:space="preserve">s, similar to what </w:t>
      </w:r>
      <w:r w:rsidR="004D0395">
        <w:fldChar w:fldCharType="begin"/>
      </w:r>
      <w:r w:rsidR="002945E1">
        <w:instrText xml:space="preserve"> ADDIN ZOTERO_ITEM CSL_CITATION {"citationID":"oRcBvoMf","properties":{"unsorted":false,"formattedCitation":"(Schewel, 2020)","plainCitation":"(Schewel, 2020)","dontUpdate":true,"noteIndex":0},"citationItems":[{"id":1779,"uris":["http://zotero.org/users/18422904/items/MQMAISN3"],"itemData":{"id":1779,"type":"article-journal","abstract":"This article suggests that there is a mobility bias in migration research: by focusing on the “drivers” of migration — the forces that lead to the initiation and perpetuation of migration flows — migration theories neglect the countervailing structural and personal forces that restrict or resist these drivers and lead to different immobility outcomes. To advance a research agenda on immobility, it offers a definition of immobility, further develops the aspiration-capability framework as an analytical tool for exploring the determinants of different forms of (im)mobility, synthesizes decades of interdisciplinary research to help explain why people do not migrate or desire to migrate, and considers future directions for further qualitative and quantitative research on immobility.","container-title":"International Migration Review","DOI":"10.1177/0197918319831952","ISSN":"0197-9183","issue":"2","language":"EN","page":"328-355","publisher":"SAGE Publications Inc","source":"SAGE Journals","title":"Understanding Immobility: Moving Beyond the Mobility Bias in Migration Studies","title-short":"Understanding Immobility","volume":"54","author":[{"family":"Schewel","given":"Kerilyn"}],"issued":{"date-parts":[["2020",6,1]]}}}],"schema":"https://github.com/citation-style-language/schema/raw/master/csl-citation.json"} </w:instrText>
      </w:r>
      <w:r w:rsidR="004D0395">
        <w:fldChar w:fldCharType="separate"/>
      </w:r>
      <w:r w:rsidR="004D0395" w:rsidRPr="004D0395">
        <w:rPr>
          <w:rFonts w:ascii="Garamond" w:hAnsi="Garamond"/>
        </w:rPr>
        <w:t>Schewel</w:t>
      </w:r>
      <w:r w:rsidR="004D0395">
        <w:rPr>
          <w:rFonts w:ascii="Garamond" w:hAnsi="Garamond"/>
        </w:rPr>
        <w:t xml:space="preserve"> (</w:t>
      </w:r>
      <w:r w:rsidR="004D0395" w:rsidRPr="004D0395">
        <w:rPr>
          <w:rFonts w:ascii="Garamond" w:hAnsi="Garamond"/>
        </w:rPr>
        <w:t>2020)</w:t>
      </w:r>
      <w:r w:rsidR="004D0395">
        <w:fldChar w:fldCharType="end"/>
      </w:r>
      <w:r w:rsidR="004D0395">
        <w:t xml:space="preserve"> terms “repel” factors.</w:t>
      </w:r>
    </w:p>
    <w:p w14:paraId="7B446FA5" w14:textId="0B7C1089" w:rsidR="00791210" w:rsidRDefault="00791210">
      <w:r>
        <w:br w:type="page"/>
      </w:r>
    </w:p>
    <w:p w14:paraId="0292FECB" w14:textId="2B74FC71" w:rsidR="00FB6F04" w:rsidRPr="006768BA" w:rsidRDefault="00FB6F04" w:rsidP="00FB6F04">
      <w:pPr>
        <w:pStyle w:val="Caption"/>
        <w:rPr>
          <w:b/>
          <w:bCs/>
          <w:i w:val="0"/>
          <w:iCs w:val="0"/>
          <w:color w:val="000000" w:themeColor="text1"/>
          <w:sz w:val="24"/>
          <w:szCs w:val="24"/>
        </w:rPr>
      </w:pPr>
      <w:bookmarkStart w:id="12" w:name="_Ref230158812"/>
      <w:r w:rsidRPr="006768BA">
        <w:rPr>
          <w:b/>
          <w:bCs/>
          <w:i w:val="0"/>
          <w:iCs w:val="0"/>
          <w:color w:val="000000" w:themeColor="text1"/>
          <w:sz w:val="24"/>
          <w:szCs w:val="24"/>
        </w:rPr>
        <w:lastRenderedPageBreak/>
        <w:t xml:space="preserve">Figure </w:t>
      </w:r>
      <w:r w:rsidRPr="006768BA">
        <w:rPr>
          <w:b/>
          <w:bCs/>
          <w:i w:val="0"/>
          <w:iCs w:val="0"/>
          <w:color w:val="000000" w:themeColor="text1"/>
          <w:sz w:val="24"/>
          <w:szCs w:val="24"/>
        </w:rPr>
        <w:fldChar w:fldCharType="begin"/>
      </w:r>
      <w:r w:rsidRPr="006768BA">
        <w:rPr>
          <w:b/>
          <w:bCs/>
          <w:i w:val="0"/>
          <w:iCs w:val="0"/>
          <w:color w:val="000000" w:themeColor="text1"/>
          <w:sz w:val="24"/>
          <w:szCs w:val="24"/>
        </w:rPr>
        <w:instrText xml:space="preserve"> SEQ Figure \* ARABIC </w:instrText>
      </w:r>
      <w:r w:rsidRPr="006768BA">
        <w:rPr>
          <w:b/>
          <w:bCs/>
          <w:i w:val="0"/>
          <w:iCs w:val="0"/>
          <w:color w:val="000000" w:themeColor="text1"/>
          <w:sz w:val="24"/>
          <w:szCs w:val="24"/>
        </w:rPr>
        <w:fldChar w:fldCharType="separate"/>
      </w:r>
      <w:r w:rsidRPr="006768BA">
        <w:rPr>
          <w:b/>
          <w:bCs/>
          <w:i w:val="0"/>
          <w:iCs w:val="0"/>
          <w:noProof/>
          <w:color w:val="000000" w:themeColor="text1"/>
          <w:sz w:val="24"/>
          <w:szCs w:val="24"/>
        </w:rPr>
        <w:t>1</w:t>
      </w:r>
      <w:r w:rsidRPr="006768BA">
        <w:rPr>
          <w:b/>
          <w:bCs/>
          <w:i w:val="0"/>
          <w:iCs w:val="0"/>
          <w:color w:val="000000" w:themeColor="text1"/>
          <w:sz w:val="24"/>
          <w:szCs w:val="24"/>
        </w:rPr>
        <w:fldChar w:fldCharType="end"/>
      </w:r>
      <w:bookmarkEnd w:id="12"/>
    </w:p>
    <w:p w14:paraId="615FE2F5" w14:textId="49EDBB26" w:rsidR="00FB6F04" w:rsidRPr="006768BA" w:rsidRDefault="00FB6F04" w:rsidP="00FB6F04">
      <w:r w:rsidRPr="006768BA">
        <w:t>Effect</w:t>
      </w:r>
      <w:r w:rsidR="002303FF" w:rsidRPr="006768BA">
        <w:t xml:space="preserve"> channel</w:t>
      </w:r>
      <w:r w:rsidRPr="006768BA">
        <w:t xml:space="preserve"> of climate shocks on aspirations and capabilities according to </w:t>
      </w:r>
      <w:r w:rsidRPr="006768BA">
        <w:fldChar w:fldCharType="begin"/>
      </w:r>
      <w:r w:rsidR="002945E1" w:rsidRPr="006768BA">
        <w:instrText xml:space="preserve"> ADDIN ZOTERO_ITEM CSL_CITATION {"citationID":"GHCIqWTm","properties":{"unsorted":false,"formattedCitation":"(Freihardt, 2025)","plainCitation":"(Freihardt, 2025)","dontUpdate":true,"noteIndex":0},"citationItems":[{"id":21,"uris":["http://zotero.org/users/18422904/items/AJEPSWHR"],"itemData":{"id":21,"type":"article-journal","abstract":"While there has been a considerable conceptual discussion of trapped populations in the environmental migration literature, the empirical evidence on their existence is scarce. I examine why many people remain in environmentally vulnerable areas by analyzing newly collected survey panel data of 1515 household heads living along the Jamuna River in Bangladesh, an area affected by riverbank erosion and flooding. To examine whether immobility is voluntary or involuntary, I assess the migration aspirations and capability to move of those who did not migrate after environmental shocks occurred in their village. The majority (82%) of non-migrants can be classified as voluntary non-migrants, while 13% can be considered “trapped” and the remaining 5% as acquiescent non-migrants. Being affected by erosion significantly increases the likelihood that immobility is involuntary by 7.9 percentage points, while also lowering the socio-economic status of the affected population. Taken together, these results suggest that environmental change may indeed lead to the “trapping” of parts of the population in exposed areas by eroding their capability to move while simultaneously increasing their migration aspirations. The findings have important policy implications, as they raise a word of caution against prematurely labeling all populations staying in environmentally exposed areas as “trapped” without considering their migration aspirations—a majority may in fact be voluntary non-migrants.","container-title":"Regional Environmental Change","DOI":"10.1007/s10113-025-02452-3","ISSN":"1436-378X","issue":"4","journalAbbreviation":"Reg Environ Change","language":"en","page":"117","source":"Springer Link","title":"Trapped by climate change? (In)voluntary immobility in Bangladesh","title-short":"Trapped by climate change?","volume":"25","author":[{"family":"Freihardt","given":"Jan"}],"issued":{"date-parts":[["2025",9,8]]}}}],"schema":"https://github.com/citation-style-language/schema/raw/master/csl-citation.json"} </w:instrText>
      </w:r>
      <w:r w:rsidRPr="006768BA">
        <w:fldChar w:fldCharType="separate"/>
      </w:r>
      <w:r w:rsidRPr="006768BA">
        <w:rPr>
          <w:rFonts w:ascii="Garamond" w:hAnsi="Garamond"/>
        </w:rPr>
        <w:t>Freihardt (2025)</w:t>
      </w:r>
      <w:r w:rsidRPr="006768BA">
        <w:fldChar w:fldCharType="end"/>
      </w:r>
    </w:p>
    <w:tbl>
      <w:tblPr>
        <w:tblStyle w:val="TableGrid"/>
        <w:tblW w:w="0" w:type="auto"/>
        <w:tblInd w:w="1413" w:type="dxa"/>
        <w:tblLook w:val="04A0" w:firstRow="1" w:lastRow="0" w:firstColumn="1" w:lastColumn="0" w:noHBand="0" w:noVBand="1"/>
      </w:tblPr>
      <w:tblGrid>
        <w:gridCol w:w="6237"/>
      </w:tblGrid>
      <w:tr w:rsidR="00553764" w14:paraId="50705DC3" w14:textId="77777777" w:rsidTr="0018554D">
        <w:tc>
          <w:tcPr>
            <w:tcW w:w="6237" w:type="dxa"/>
          </w:tcPr>
          <w:p w14:paraId="3F6F540C" w14:textId="3150D696" w:rsidR="00553764" w:rsidRDefault="00FB6F04" w:rsidP="006964D6">
            <w:pPr>
              <w:spacing w:line="360" w:lineRule="auto"/>
              <w:jc w:val="both"/>
            </w:pPr>
            <w:r>
              <w:rPr>
                <w:noProof/>
              </w:rPr>
              <mc:AlternateContent>
                <mc:Choice Requires="wpg">
                  <w:drawing>
                    <wp:anchor distT="0" distB="0" distL="114300" distR="114300" simplePos="0" relativeHeight="251684864" behindDoc="0" locked="0" layoutInCell="1" allowOverlap="1" wp14:anchorId="054503A6" wp14:editId="667B7246">
                      <wp:simplePos x="0" y="0"/>
                      <wp:positionH relativeFrom="column">
                        <wp:posOffset>56102</wp:posOffset>
                      </wp:positionH>
                      <wp:positionV relativeFrom="paragraph">
                        <wp:posOffset>100566</wp:posOffset>
                      </wp:positionV>
                      <wp:extent cx="3735238" cy="3105510"/>
                      <wp:effectExtent l="0" t="0" r="17780" b="19050"/>
                      <wp:wrapNone/>
                      <wp:docPr id="1499941796" name="Group 9"/>
                      <wp:cNvGraphicFramePr/>
                      <a:graphic xmlns:a="http://schemas.openxmlformats.org/drawingml/2006/main">
                        <a:graphicData uri="http://schemas.microsoft.com/office/word/2010/wordprocessingGroup">
                          <wpg:wgp>
                            <wpg:cNvGrpSpPr/>
                            <wpg:grpSpPr>
                              <a:xfrm>
                                <a:off x="0" y="0"/>
                                <a:ext cx="3735238" cy="3105510"/>
                                <a:chOff x="0" y="0"/>
                                <a:chExt cx="4477110" cy="3165895"/>
                              </a:xfrm>
                            </wpg:grpSpPr>
                            <wps:wsp>
                              <wps:cNvPr id="342546381" name="Rectangle: Rounded Corners 1"/>
                              <wps:cNvSpPr/>
                              <wps:spPr>
                                <a:xfrm>
                                  <a:off x="319178" y="2294627"/>
                                  <a:ext cx="1630393" cy="345057"/>
                                </a:xfrm>
                                <a:prstGeom prst="roundRect">
                                  <a:avLst/>
                                </a:prstGeom>
                                <a:noFill/>
                                <a:ln w="12700">
                                  <a:noFill/>
                                </a:ln>
                              </wps:spPr>
                              <wps:style>
                                <a:lnRef idx="2">
                                  <a:schemeClr val="dk1"/>
                                </a:lnRef>
                                <a:fillRef idx="1">
                                  <a:schemeClr val="lt1"/>
                                </a:fillRef>
                                <a:effectRef idx="0">
                                  <a:schemeClr val="dk1"/>
                                </a:effectRef>
                                <a:fontRef idx="minor">
                                  <a:schemeClr val="dk1"/>
                                </a:fontRef>
                              </wps:style>
                              <wps:txbx>
                                <w:txbxContent>
                                  <w:p w14:paraId="53FCE4B8" w14:textId="37CEF771" w:rsidR="00DC2F95" w:rsidRPr="00DC2F95" w:rsidRDefault="00DC2F95" w:rsidP="00DC2F95">
                                    <w:pPr>
                                      <w:jc w:val="center"/>
                                      <w:rPr>
                                        <w:lang w:val="en-US"/>
                                      </w:rPr>
                                    </w:pPr>
                                    <w:r>
                                      <w:rPr>
                                        <w:lang w:val="en-US"/>
                                      </w:rPr>
                                      <w:t>Both present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066020686" name="Group 8"/>
                              <wpg:cNvGrpSpPr/>
                              <wpg:grpSpPr>
                                <a:xfrm>
                                  <a:off x="0" y="0"/>
                                  <a:ext cx="4477110" cy="3165895"/>
                                  <a:chOff x="0" y="0"/>
                                  <a:chExt cx="4477110" cy="3165895"/>
                                </a:xfrm>
                              </wpg:grpSpPr>
                              <wps:wsp>
                                <wps:cNvPr id="1574153810" name="Right Bracket 3"/>
                                <wps:cNvSpPr/>
                                <wps:spPr>
                                  <a:xfrm rot="5400000">
                                    <a:off x="2208997" y="535473"/>
                                    <a:ext cx="162141" cy="2749778"/>
                                  </a:xfrm>
                                  <a:prstGeom prst="rightBracket">
                                    <a:avLst/>
                                  </a:prstGeom>
                                  <a:ln w="12700"/>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471644805" name="Group 4"/>
                                <wpg:cNvGrpSpPr/>
                                <wpg:grpSpPr>
                                  <a:xfrm>
                                    <a:off x="1271678" y="1992702"/>
                                    <a:ext cx="1928722" cy="802257"/>
                                    <a:chOff x="0" y="0"/>
                                    <a:chExt cx="2540994" cy="1164207"/>
                                  </a:xfrm>
                                </wpg:grpSpPr>
                                <wps:wsp>
                                  <wps:cNvPr id="387685286" name="Straight Arrow Connector 2"/>
                                  <wps:cNvCnPr/>
                                  <wps:spPr>
                                    <a:xfrm flipH="1">
                                      <a:off x="0" y="8626"/>
                                      <a:ext cx="1255862" cy="1121039"/>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2024687715" name="Straight Arrow Connector 2"/>
                                  <wps:cNvCnPr/>
                                  <wps:spPr>
                                    <a:xfrm>
                                      <a:off x="1255862" y="0"/>
                                      <a:ext cx="1285132" cy="1164207"/>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g:grpSp>
                              <wps:wsp>
                                <wps:cNvPr id="659476938" name="Rectangle: Rounded Corners 1"/>
                                <wps:cNvSpPr/>
                                <wps:spPr>
                                  <a:xfrm>
                                    <a:off x="336430" y="2803585"/>
                                    <a:ext cx="1630393" cy="345057"/>
                                  </a:xfrm>
                                  <a:prstGeom prst="roundRect">
                                    <a:avLst/>
                                  </a:prstGeom>
                                  <a:ln w="12700"/>
                                </wps:spPr>
                                <wps:style>
                                  <a:lnRef idx="2">
                                    <a:schemeClr val="dk1"/>
                                  </a:lnRef>
                                  <a:fillRef idx="1">
                                    <a:schemeClr val="lt1"/>
                                  </a:fillRef>
                                  <a:effectRef idx="0">
                                    <a:schemeClr val="dk1"/>
                                  </a:effectRef>
                                  <a:fontRef idx="minor">
                                    <a:schemeClr val="dk1"/>
                                  </a:fontRef>
                                </wps:style>
                                <wps:txbx>
                                  <w:txbxContent>
                                    <w:p w14:paraId="53960136" w14:textId="0E225A2F" w:rsidR="00DC2F95" w:rsidRPr="00DC2F95" w:rsidRDefault="00DC2F95" w:rsidP="00DC2F95">
                                      <w:pPr>
                                        <w:jc w:val="center"/>
                                        <w:rPr>
                                          <w:lang w:val="en-US"/>
                                        </w:rPr>
                                      </w:pPr>
                                      <w:r>
                                        <w:rPr>
                                          <w:lang w:val="en-US"/>
                                        </w:rPr>
                                        <w:t>Mobility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2407351" name="Rectangle: Rounded Corners 1"/>
                                <wps:cNvSpPr/>
                                <wps:spPr>
                                  <a:xfrm>
                                    <a:off x="2389517" y="2820838"/>
                                    <a:ext cx="1630393" cy="345057"/>
                                  </a:xfrm>
                                  <a:prstGeom prst="roundRect">
                                    <a:avLst/>
                                  </a:prstGeom>
                                  <a:ln w="12700"/>
                                </wps:spPr>
                                <wps:style>
                                  <a:lnRef idx="2">
                                    <a:schemeClr val="dk1"/>
                                  </a:lnRef>
                                  <a:fillRef idx="1">
                                    <a:schemeClr val="lt1"/>
                                  </a:fillRef>
                                  <a:effectRef idx="0">
                                    <a:schemeClr val="dk1"/>
                                  </a:effectRef>
                                  <a:fontRef idx="minor">
                                    <a:schemeClr val="dk1"/>
                                  </a:fontRef>
                                </wps:style>
                                <wps:txbx>
                                  <w:txbxContent>
                                    <w:p w14:paraId="47BB9A85" w14:textId="520455C1" w:rsidR="00DC2F95" w:rsidRPr="00DC2F95" w:rsidRDefault="00DC2F95" w:rsidP="00DC2F95">
                                      <w:pPr>
                                        <w:jc w:val="center"/>
                                        <w:rPr>
                                          <w:lang w:val="en-US"/>
                                        </w:rPr>
                                      </w:pPr>
                                      <w:r>
                                        <w:rPr>
                                          <w:lang w:val="en-US"/>
                                        </w:rPr>
                                        <w:t>Immobility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1093597" name="Rectangle: Rounded Corners 1"/>
                                <wps:cNvSpPr/>
                                <wps:spPr>
                                  <a:xfrm>
                                    <a:off x="2518913" y="2260121"/>
                                    <a:ext cx="1630393" cy="345057"/>
                                  </a:xfrm>
                                  <a:prstGeom prst="roundRect">
                                    <a:avLst/>
                                  </a:prstGeom>
                                  <a:noFill/>
                                  <a:ln w="12700">
                                    <a:noFill/>
                                  </a:ln>
                                </wps:spPr>
                                <wps:style>
                                  <a:lnRef idx="2">
                                    <a:schemeClr val="dk1"/>
                                  </a:lnRef>
                                  <a:fillRef idx="1">
                                    <a:schemeClr val="lt1"/>
                                  </a:fillRef>
                                  <a:effectRef idx="0">
                                    <a:schemeClr val="dk1"/>
                                  </a:effectRef>
                                  <a:fontRef idx="minor">
                                    <a:schemeClr val="dk1"/>
                                  </a:fontRef>
                                </wps:style>
                                <wps:txbx>
                                  <w:txbxContent>
                                    <w:p w14:paraId="43E103B2" w14:textId="3B989E6E" w:rsidR="00DC2F95" w:rsidRPr="00DC2F95" w:rsidRDefault="00DC2F95" w:rsidP="00DC2F95">
                                      <w:pPr>
                                        <w:jc w:val="center"/>
                                        <w:rPr>
                                          <w:lang w:val="en-US"/>
                                        </w:rPr>
                                      </w:pPr>
                                      <w:r>
                                        <w:rPr>
                                          <w:lang w:val="en-US"/>
                                        </w:rPr>
                                        <w:t>One missing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41487926" name="Group 7"/>
                                <wpg:cNvGrpSpPr/>
                                <wpg:grpSpPr>
                                  <a:xfrm>
                                    <a:off x="0" y="0"/>
                                    <a:ext cx="4477110" cy="1837427"/>
                                    <a:chOff x="0" y="0"/>
                                    <a:chExt cx="4477110" cy="1837427"/>
                                  </a:xfrm>
                                </wpg:grpSpPr>
                                <wps:wsp>
                                  <wps:cNvPr id="1822567229" name="Rectangle: Rounded Corners 1"/>
                                  <wps:cNvSpPr/>
                                  <wps:spPr>
                                    <a:xfrm>
                                      <a:off x="69012" y="1483744"/>
                                      <a:ext cx="1630393" cy="345057"/>
                                    </a:xfrm>
                                    <a:prstGeom prst="roundRect">
                                      <a:avLst/>
                                    </a:prstGeom>
                                    <a:ln w="12700"/>
                                  </wps:spPr>
                                  <wps:style>
                                    <a:lnRef idx="2">
                                      <a:schemeClr val="dk1"/>
                                    </a:lnRef>
                                    <a:fillRef idx="1">
                                      <a:schemeClr val="lt1"/>
                                    </a:fillRef>
                                    <a:effectRef idx="0">
                                      <a:schemeClr val="dk1"/>
                                    </a:effectRef>
                                    <a:fontRef idx="minor">
                                      <a:schemeClr val="dk1"/>
                                    </a:fontRef>
                                  </wps:style>
                                  <wps:txbx>
                                    <w:txbxContent>
                                      <w:p w14:paraId="3AE4CCF5" w14:textId="498F049A" w:rsidR="00DC2F95" w:rsidRPr="00DC2F95" w:rsidRDefault="00DC2F95" w:rsidP="00DC2F95">
                                        <w:pPr>
                                          <w:jc w:val="center"/>
                                          <w:rPr>
                                            <w:lang w:val="en-US"/>
                                          </w:rPr>
                                        </w:pPr>
                                        <w:r>
                                          <w:rPr>
                                            <w:lang w:val="en-US"/>
                                          </w:rPr>
                                          <w:t>Migration aspirations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6877916" name="Rectangle: Rounded Corners 1"/>
                                  <wps:cNvSpPr/>
                                  <wps:spPr>
                                    <a:xfrm>
                                      <a:off x="2846717" y="1492370"/>
                                      <a:ext cx="1630393" cy="345057"/>
                                    </a:xfrm>
                                    <a:prstGeom prst="roundRect">
                                      <a:avLst/>
                                    </a:prstGeom>
                                    <a:ln w="12700"/>
                                  </wps:spPr>
                                  <wps:style>
                                    <a:lnRef idx="2">
                                      <a:schemeClr val="dk1"/>
                                    </a:lnRef>
                                    <a:fillRef idx="1">
                                      <a:schemeClr val="lt1"/>
                                    </a:fillRef>
                                    <a:effectRef idx="0">
                                      <a:schemeClr val="dk1"/>
                                    </a:effectRef>
                                    <a:fontRef idx="minor">
                                      <a:schemeClr val="dk1"/>
                                    </a:fontRef>
                                  </wps:style>
                                  <wps:txbx>
                                    <w:txbxContent>
                                      <w:p w14:paraId="6EB14B5B" w14:textId="0DF8D913" w:rsidR="00DC2F95" w:rsidRPr="00DC2F95" w:rsidRDefault="00DC2F95" w:rsidP="00DC2F95">
                                        <w:pPr>
                                          <w:jc w:val="center"/>
                                          <w:rPr>
                                            <w:lang w:val="en-US"/>
                                          </w:rPr>
                                        </w:pPr>
                                        <w:r>
                                          <w:rPr>
                                            <w:lang w:val="en-US"/>
                                          </w:rPr>
                                          <w:t>Capability to move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36064007" name="Group 6"/>
                                  <wpg:cNvGrpSpPr/>
                                  <wpg:grpSpPr>
                                    <a:xfrm>
                                      <a:off x="0" y="0"/>
                                      <a:ext cx="3950567" cy="1509264"/>
                                      <a:chOff x="0" y="0"/>
                                      <a:chExt cx="3950567" cy="1509264"/>
                                    </a:xfrm>
                                  </wpg:grpSpPr>
                                  <wps:wsp>
                                    <wps:cNvPr id="583232927" name="Rectangle: Rounded Corners 1"/>
                                    <wps:cNvSpPr/>
                                    <wps:spPr>
                                      <a:xfrm>
                                        <a:off x="1023635" y="0"/>
                                        <a:ext cx="2346971" cy="345057"/>
                                      </a:xfrm>
                                      <a:prstGeom prst="roundRect">
                                        <a:avLst/>
                                      </a:prstGeom>
                                      <a:ln w="12700"/>
                                    </wps:spPr>
                                    <wps:style>
                                      <a:lnRef idx="2">
                                        <a:schemeClr val="dk1"/>
                                      </a:lnRef>
                                      <a:fillRef idx="1">
                                        <a:schemeClr val="lt1"/>
                                      </a:fillRef>
                                      <a:effectRef idx="0">
                                        <a:schemeClr val="dk1"/>
                                      </a:effectRef>
                                      <a:fontRef idx="minor">
                                        <a:schemeClr val="dk1"/>
                                      </a:fontRef>
                                    </wps:style>
                                    <wps:txbx>
                                      <w:txbxContent>
                                        <w:p w14:paraId="3F20BF50" w14:textId="4C2FE4CC" w:rsidR="00DC2F95" w:rsidRPr="00DC2F95" w:rsidRDefault="00DC2F95" w:rsidP="00DC2F95">
                                          <w:pPr>
                                            <w:jc w:val="center"/>
                                            <w:rPr>
                                              <w:lang w:val="en-US"/>
                                            </w:rPr>
                                          </w:pPr>
                                          <w:r w:rsidRPr="00DC2F95">
                                            <w:rPr>
                                              <w:lang w:val="en-US"/>
                                            </w:rPr>
                                            <w:t>Environmental shocks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91758792" name="Group 4"/>
                                    <wpg:cNvGrpSpPr/>
                                    <wpg:grpSpPr>
                                      <a:xfrm>
                                        <a:off x="917995" y="345057"/>
                                        <a:ext cx="2540994" cy="1164207"/>
                                        <a:chOff x="0" y="0"/>
                                        <a:chExt cx="2540994" cy="1164207"/>
                                      </a:xfrm>
                                    </wpg:grpSpPr>
                                    <wps:wsp>
                                      <wps:cNvPr id="313798660" name="Straight Arrow Connector 2"/>
                                      <wps:cNvCnPr/>
                                      <wps:spPr>
                                        <a:xfrm flipH="1">
                                          <a:off x="0" y="8626"/>
                                          <a:ext cx="1255862" cy="1121039"/>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1689497636" name="Straight Arrow Connector 2"/>
                                      <wps:cNvCnPr/>
                                      <wps:spPr>
                                        <a:xfrm>
                                          <a:off x="1255862" y="0"/>
                                          <a:ext cx="1285132" cy="1164207"/>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g:grpSp>
                                  <wps:wsp>
                                    <wps:cNvPr id="537298771" name="Rectangle: Rounded Corners 1"/>
                                    <wps:cNvSpPr/>
                                    <wps:spPr>
                                      <a:xfrm>
                                        <a:off x="336414" y="551963"/>
                                        <a:ext cx="3614153" cy="362309"/>
                                      </a:xfrm>
                                      <a:prstGeom prst="roundRect">
                                        <a:avLst/>
                                      </a:prstGeom>
                                      <a:ln w="12700"/>
                                    </wps:spPr>
                                    <wps:style>
                                      <a:lnRef idx="2">
                                        <a:schemeClr val="dk1"/>
                                      </a:lnRef>
                                      <a:fillRef idx="1">
                                        <a:schemeClr val="lt1"/>
                                      </a:fillRef>
                                      <a:effectRef idx="0">
                                        <a:schemeClr val="dk1"/>
                                      </a:effectRef>
                                      <a:fontRef idx="minor">
                                        <a:schemeClr val="dk1"/>
                                      </a:fontRef>
                                    </wps:style>
                                    <wps:txbx>
                                      <w:txbxContent>
                                        <w:p w14:paraId="0A526529" w14:textId="73DFE2AF" w:rsidR="00DC2F95" w:rsidRPr="00DC2F95" w:rsidRDefault="00DC2F95" w:rsidP="00DC2F95">
                                          <w:pPr>
                                            <w:jc w:val="center"/>
                                            <w:rPr>
                                              <w:lang w:val="en-US"/>
                                            </w:rPr>
                                          </w:pPr>
                                          <w:r>
                                            <w:rPr>
                                              <w:lang w:val="en-US"/>
                                            </w:rPr>
                                            <w:t>Sensitivity and adaptive capacity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024427" name="Rectangle: Rounded Corners 1"/>
                                    <wps:cNvSpPr/>
                                    <wps:spPr>
                                      <a:xfrm>
                                        <a:off x="0" y="1026544"/>
                                        <a:ext cx="1630393" cy="345057"/>
                                      </a:xfrm>
                                      <a:prstGeom prst="roundRect">
                                        <a:avLst/>
                                      </a:prstGeom>
                                      <a:noFill/>
                                      <a:ln w="12700">
                                        <a:noFill/>
                                      </a:ln>
                                    </wps:spPr>
                                    <wps:style>
                                      <a:lnRef idx="2">
                                        <a:schemeClr val="dk1"/>
                                      </a:lnRef>
                                      <a:fillRef idx="1">
                                        <a:schemeClr val="lt1"/>
                                      </a:fillRef>
                                      <a:effectRef idx="0">
                                        <a:schemeClr val="dk1"/>
                                      </a:effectRef>
                                      <a:fontRef idx="minor">
                                        <a:schemeClr val="dk1"/>
                                      </a:fontRef>
                                    </wps:style>
                                    <wps:txbx>
                                      <w:txbxContent>
                                        <w:p w14:paraId="5DEA5800" w14:textId="4AE5D0BE" w:rsidR="00DC2F95" w:rsidRPr="00DC2F95" w:rsidRDefault="00DC2F95" w:rsidP="00DC2F95">
                                          <w:pPr>
                                            <w:jc w:val="center"/>
                                            <w:rPr>
                                              <w:lang w:val="en-US"/>
                                            </w:rPr>
                                          </w:pPr>
                                          <w:r>
                                            <w:rPr>
                                              <w:lang w:val="en-US"/>
                                            </w:rPr>
                                            <w:t>Increase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39834368" name="Rectangle: Rounded Corners 1"/>
                                  <wps:cNvSpPr/>
                                  <wps:spPr>
                                    <a:xfrm>
                                      <a:off x="2794959" y="1043796"/>
                                      <a:ext cx="1630393" cy="345057"/>
                                    </a:xfrm>
                                    <a:prstGeom prst="roundRect">
                                      <a:avLst/>
                                    </a:prstGeom>
                                    <a:noFill/>
                                    <a:ln w="12700">
                                      <a:noFill/>
                                    </a:ln>
                                  </wps:spPr>
                                  <wps:style>
                                    <a:lnRef idx="2">
                                      <a:schemeClr val="dk1"/>
                                    </a:lnRef>
                                    <a:fillRef idx="1">
                                      <a:schemeClr val="lt1"/>
                                    </a:fillRef>
                                    <a:effectRef idx="0">
                                      <a:schemeClr val="dk1"/>
                                    </a:effectRef>
                                    <a:fontRef idx="minor">
                                      <a:schemeClr val="dk1"/>
                                    </a:fontRef>
                                  </wps:style>
                                  <wps:txbx>
                                    <w:txbxContent>
                                      <w:p w14:paraId="5F85D369" w14:textId="4192152F" w:rsidR="00DC2F95" w:rsidRPr="00DC2F95" w:rsidRDefault="00DC2F95" w:rsidP="00DC2F95">
                                        <w:pPr>
                                          <w:jc w:val="center"/>
                                          <w:rPr>
                                            <w:lang w:val="en-US"/>
                                          </w:rPr>
                                        </w:pPr>
                                        <w:r>
                                          <w:rPr>
                                            <w:lang w:val="en-US"/>
                                          </w:rPr>
                                          <w:t>Reduce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6526688" name="Straight Arrow Connector 5"/>
                                  <wps:cNvCnPr/>
                                  <wps:spPr>
                                    <a:xfrm flipH="1">
                                      <a:off x="1728878" y="1628955"/>
                                      <a:ext cx="1112808" cy="0"/>
                                    </a:xfrm>
                                    <a:prstGeom prst="straightConnector1">
                                      <a:avLst/>
                                    </a:prstGeom>
                                    <a:ln w="12700">
                                      <a:prstDash val="dash"/>
                                      <a:tailEnd type="triangle"/>
                                    </a:ln>
                                  </wps:spPr>
                                  <wps:style>
                                    <a:lnRef idx="2">
                                      <a:schemeClr val="dk1"/>
                                    </a:lnRef>
                                    <a:fillRef idx="0">
                                      <a:schemeClr val="dk1"/>
                                    </a:fillRef>
                                    <a:effectRef idx="1">
                                      <a:schemeClr val="dk1"/>
                                    </a:effectRef>
                                    <a:fontRef idx="minor">
                                      <a:schemeClr val="tx1"/>
                                    </a:fontRef>
                                  </wps:style>
                                  <wps:bodyPr/>
                                </wps:wsp>
                              </wpg:grpSp>
                            </wpg:grpSp>
                          </wpg:wgp>
                        </a:graphicData>
                      </a:graphic>
                      <wp14:sizeRelH relativeFrom="margin">
                        <wp14:pctWidth>0</wp14:pctWidth>
                      </wp14:sizeRelH>
                      <wp14:sizeRelV relativeFrom="margin">
                        <wp14:pctHeight>0</wp14:pctHeight>
                      </wp14:sizeRelV>
                    </wp:anchor>
                  </w:drawing>
                </mc:Choice>
                <mc:Fallback>
                  <w:pict>
                    <v:group w14:anchorId="054503A6" id="Group 9" o:spid="_x0000_s1026" style="position:absolute;left:0;text-align:left;margin-left:4.4pt;margin-top:7.9pt;width:294.1pt;height:244.55pt;z-index:251684864;mso-width-relative:margin;mso-height-relative:margin" coordsize="44771,31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">
                      <v:roundrect id="Rectangle: Rounded Corners 1" o:spid="_x0000_s1027" style="position:absolute;left:3191;top:22946;width:16304;height:34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" filled="f" stroked="f" strokeweight="1pt">
                        <v:stroke joinstyle="miter"/>
                        <v:textbox>
                          <w:txbxContent>
                            <w:p w14:paraId="53FCE4B8" w14:textId="37CEF771" w:rsidR="00DC2F95" w:rsidRPr="00DC2F95" w:rsidRDefault="00DC2F95" w:rsidP="00DC2F95">
                              <w:pPr>
                                <w:jc w:val="center"/>
                                <w:rPr>
                                  <w:lang w:val="en-US"/>
                                </w:rPr>
                              </w:pPr>
                              <w:r>
                                <w:rPr>
                                  <w:lang w:val="en-US"/>
                                </w:rPr>
                                <w:t>Both present</w:t>
                              </w:r>
                            </w:p>
                          </w:txbxContent>
                        </v:textbox>
                      </v:roundrect>
                      <v:group id="Group 8" o:spid="_x0000_s1028" style="position:absolute;width:44771;height:31658" coordsize="44771,31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">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3" o:spid="_x0000_s1029" type="#_x0000_t86" style="position:absolute;left:22089;top:5354;width:1622;height:2749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" adj="106" strokecolor="black [3200]" strokeweight="1pt">
                          <v:stroke joinstyle="miter"/>
                        </v:shape>
                        <v:group id="Group 4" o:spid="_x0000_s1030" style="position:absolute;left:12716;top:19927;width:19288;height:8022" coordsize="25409,11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">
                          <v:shapetype id="_x0000_t32" coordsize="21600,21600" o:spt="32" o:oned="t" path="m,l21600,21600e" filled="f">
                            <v:path arrowok="t" fillok="f" o:connecttype="none"/>
                            <o:lock v:ext="edit" shapetype="t"/>
                          </v:shapetype>
                          <v:shape id="Straight Arrow Connector 2" o:spid="_x0000_s1031" type="#_x0000_t32" style="position:absolute;top:86;width:12558;height:112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" strokecolor="black [3200]" strokeweight="1pt">
                            <v:stroke endarrow="block" joinstyle="miter"/>
                          </v:shape>
                          <v:shape id="Straight Arrow Connector 2" o:spid="_x0000_s1032" type="#_x0000_t32" style="position:absolute;left:12558;width:12851;height:116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" strokecolor="black [3200]" strokeweight="1pt">
                            <v:stroke endarrow="block" joinstyle="miter"/>
                          </v:shape>
                        </v:group>
                        <v:roundrect id="Rectangle: Rounded Corners 1" o:spid="_x0000_s1033" style="position:absolute;left:3364;top:28035;width:16304;height:34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" fillcolor="white [3201]" strokecolor="black [3200]" strokeweight="1pt">
                          <v:stroke joinstyle="miter"/>
                          <v:textbox>
                            <w:txbxContent>
                              <w:p w14:paraId="53960136" w14:textId="0E225A2F" w:rsidR="00DC2F95" w:rsidRPr="00DC2F95" w:rsidRDefault="00DC2F95" w:rsidP="00DC2F95">
                                <w:pPr>
                                  <w:jc w:val="center"/>
                                  <w:rPr>
                                    <w:lang w:val="en-US"/>
                                  </w:rPr>
                                </w:pPr>
                                <w:r>
                                  <w:rPr>
                                    <w:lang w:val="en-US"/>
                                  </w:rPr>
                                  <w:t>Mobility</w:t>
                                </w:r>
                              </w:p>
                            </w:txbxContent>
                          </v:textbox>
                        </v:roundrect>
                        <v:roundrect id="Rectangle: Rounded Corners 1" o:spid="_x0000_s1034" style="position:absolute;left:23895;top:28208;width:16304;height:34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" fillcolor="white [3201]" strokecolor="black [3200]" strokeweight="1pt">
                          <v:stroke joinstyle="miter"/>
                          <v:textbox>
                            <w:txbxContent>
                              <w:p w14:paraId="47BB9A85" w14:textId="520455C1" w:rsidR="00DC2F95" w:rsidRPr="00DC2F95" w:rsidRDefault="00DC2F95" w:rsidP="00DC2F95">
                                <w:pPr>
                                  <w:jc w:val="center"/>
                                  <w:rPr>
                                    <w:lang w:val="en-US"/>
                                  </w:rPr>
                                </w:pPr>
                                <w:r>
                                  <w:rPr>
                                    <w:lang w:val="en-US"/>
                                  </w:rPr>
                                  <w:t>Immobility</w:t>
                                </w:r>
                              </w:p>
                            </w:txbxContent>
                          </v:textbox>
                        </v:roundrect>
                        <v:roundrect id="Rectangle: Rounded Corners 1" o:spid="_x0000_s1035" style="position:absolute;left:25189;top:22601;width:16304;height:34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" filled="f" stroked="f" strokeweight="1pt">
                          <v:stroke joinstyle="miter"/>
                          <v:textbox>
                            <w:txbxContent>
                              <w:p w14:paraId="43E103B2" w14:textId="3B989E6E" w:rsidR="00DC2F95" w:rsidRPr="00DC2F95" w:rsidRDefault="00DC2F95" w:rsidP="00DC2F95">
                                <w:pPr>
                                  <w:jc w:val="center"/>
                                  <w:rPr>
                                    <w:lang w:val="en-US"/>
                                  </w:rPr>
                                </w:pPr>
                                <w:r>
                                  <w:rPr>
                                    <w:lang w:val="en-US"/>
                                  </w:rPr>
                                  <w:t>One missing</w:t>
                                </w:r>
                              </w:p>
                            </w:txbxContent>
                          </v:textbox>
                        </v:roundrect>
                        <v:group id="Group 7" o:spid="_x0000_s1036" style="position:absolute;width:44771;height:18374" coordsize="44771,18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">
                          <v:roundrect id="Rectangle: Rounded Corners 1" o:spid="_x0000_s1037" style="position:absolute;left:690;top:14837;width:16304;height:34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" fillcolor="white [3201]" strokecolor="black [3200]" strokeweight="1pt">
                            <v:stroke joinstyle="miter"/>
                            <v:textbox>
                              <w:txbxContent>
                                <w:p w14:paraId="3AE4CCF5" w14:textId="498F049A" w:rsidR="00DC2F95" w:rsidRPr="00DC2F95" w:rsidRDefault="00DC2F95" w:rsidP="00DC2F95">
                                  <w:pPr>
                                    <w:jc w:val="center"/>
                                    <w:rPr>
                                      <w:lang w:val="en-US"/>
                                    </w:rPr>
                                  </w:pPr>
                                  <w:r>
                                    <w:rPr>
                                      <w:lang w:val="en-US"/>
                                    </w:rPr>
                                    <w:t>Migration aspirations</w:t>
                                  </w:r>
                                </w:p>
                              </w:txbxContent>
                            </v:textbox>
                          </v:roundrect>
                          <v:roundrect id="Rectangle: Rounded Corners 1" o:spid="_x0000_s1038" style="position:absolute;left:28467;top:14923;width:16304;height:34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" fillcolor="white [3201]" strokecolor="black [3200]" strokeweight="1pt">
                            <v:stroke joinstyle="miter"/>
                            <v:textbox>
                              <w:txbxContent>
                                <w:p w14:paraId="6EB14B5B" w14:textId="0DF8D913" w:rsidR="00DC2F95" w:rsidRPr="00DC2F95" w:rsidRDefault="00DC2F95" w:rsidP="00DC2F95">
                                  <w:pPr>
                                    <w:jc w:val="center"/>
                                    <w:rPr>
                                      <w:lang w:val="en-US"/>
                                    </w:rPr>
                                  </w:pPr>
                                  <w:r>
                                    <w:rPr>
                                      <w:lang w:val="en-US"/>
                                    </w:rPr>
                                    <w:t>Capability to move</w:t>
                                  </w:r>
                                </w:p>
                              </w:txbxContent>
                            </v:textbox>
                          </v:roundrect>
                          <v:group id="Group 6" o:spid="_x0000_s1039" style="position:absolute;width:39505;height:15092" coordsize="39505,15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">
                            <v:roundrect id="Rectangle: Rounded Corners 1" o:spid="_x0000_s1040" style="position:absolute;left:10236;width:23470;height:34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" fillcolor="white [3201]" strokecolor="black [3200]" strokeweight="1pt">
                              <v:stroke joinstyle="miter"/>
                              <v:textbox>
                                <w:txbxContent>
                                  <w:p w14:paraId="3F20BF50" w14:textId="4C2FE4CC" w:rsidR="00DC2F95" w:rsidRPr="00DC2F95" w:rsidRDefault="00DC2F95" w:rsidP="00DC2F95">
                                    <w:pPr>
                                      <w:jc w:val="center"/>
                                      <w:rPr>
                                        <w:lang w:val="en-US"/>
                                      </w:rPr>
                                    </w:pPr>
                                    <w:r w:rsidRPr="00DC2F95">
                                      <w:rPr>
                                        <w:lang w:val="en-US"/>
                                      </w:rPr>
                                      <w:t>Environmental shocks</w:t>
                                    </w:r>
                                  </w:p>
                                </w:txbxContent>
                              </v:textbox>
                            </v:roundrect>
                            <v:group id="Group 4" o:spid="_x0000_s1041" style="position:absolute;left:9179;top:3450;width:25410;height:11642" coordsize="25409,11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">
                              <v:shape id="Straight Arrow Connector 2" o:spid="_x0000_s1042" type="#_x0000_t32" style="position:absolute;top:86;width:12558;height:112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" strokecolor="black [3200]" strokeweight="1pt">
                                <v:stroke endarrow="block" joinstyle="miter"/>
                              </v:shape>
                              <v:shape id="Straight Arrow Connector 2" o:spid="_x0000_s1043" type="#_x0000_t32" style="position:absolute;left:12558;width:12851;height:116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" strokecolor="black [3200]" strokeweight="1pt">
                                <v:stroke endarrow="block" joinstyle="miter"/>
                              </v:shape>
                            </v:group>
                            <v:roundrect id="Rectangle: Rounded Corners 1" o:spid="_x0000_s1044" style="position:absolute;left:3364;top:5519;width:36141;height:362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" fillcolor="white [3201]" strokecolor="black [3200]" strokeweight="1pt">
                              <v:stroke joinstyle="miter"/>
                              <v:textbox>
                                <w:txbxContent>
                                  <w:p w14:paraId="0A526529" w14:textId="73DFE2AF" w:rsidR="00DC2F95" w:rsidRPr="00DC2F95" w:rsidRDefault="00DC2F95" w:rsidP="00DC2F95">
                                    <w:pPr>
                                      <w:jc w:val="center"/>
                                      <w:rPr>
                                        <w:lang w:val="en-US"/>
                                      </w:rPr>
                                    </w:pPr>
                                    <w:r>
                                      <w:rPr>
                                        <w:lang w:val="en-US"/>
                                      </w:rPr>
                                      <w:t>Sensitivity and adaptive capacity</w:t>
                                    </w:r>
                                  </w:p>
                                </w:txbxContent>
                              </v:textbox>
                            </v:roundrect>
                            <v:roundrect id="Rectangle: Rounded Corners 1" o:spid="_x0000_s1045" style="position:absolute;top:10265;width:16303;height:34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" filled="f" stroked="f" strokeweight="1pt">
                              <v:stroke joinstyle="miter"/>
                              <v:textbox>
                                <w:txbxContent>
                                  <w:p w14:paraId="5DEA5800" w14:textId="4AE5D0BE" w:rsidR="00DC2F95" w:rsidRPr="00DC2F95" w:rsidRDefault="00DC2F95" w:rsidP="00DC2F95">
                                    <w:pPr>
                                      <w:jc w:val="center"/>
                                      <w:rPr>
                                        <w:lang w:val="en-US"/>
                                      </w:rPr>
                                    </w:pPr>
                                    <w:r>
                                      <w:rPr>
                                        <w:lang w:val="en-US"/>
                                      </w:rPr>
                                      <w:t>Increase</w:t>
                                    </w:r>
                                  </w:p>
                                </w:txbxContent>
                              </v:textbox>
                            </v:roundrect>
                          </v:group>
                          <v:roundrect id="Rectangle: Rounded Corners 1" o:spid="_x0000_s1046" style="position:absolute;left:27949;top:10437;width:16304;height:34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" filled="f" stroked="f" strokeweight="1pt">
                            <v:stroke joinstyle="miter"/>
                            <v:textbox>
                              <w:txbxContent>
                                <w:p w14:paraId="5F85D369" w14:textId="4192152F" w:rsidR="00DC2F95" w:rsidRPr="00DC2F95" w:rsidRDefault="00DC2F95" w:rsidP="00DC2F95">
                                  <w:pPr>
                                    <w:jc w:val="center"/>
                                    <w:rPr>
                                      <w:lang w:val="en-US"/>
                                    </w:rPr>
                                  </w:pPr>
                                  <w:r>
                                    <w:rPr>
                                      <w:lang w:val="en-US"/>
                                    </w:rPr>
                                    <w:t>Reduce</w:t>
                                  </w:r>
                                </w:p>
                              </w:txbxContent>
                            </v:textbox>
                          </v:roundrect>
                          <v:shape id="Straight Arrow Connector 5" o:spid="_x0000_s1047" type="#_x0000_t32" style="position:absolute;left:17288;top:16289;width:1112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" strokecolor="black [3200]" strokeweight="1pt">
                            <v:stroke dashstyle="dash" endarrow="block" joinstyle="miter"/>
                          </v:shape>
                        </v:group>
                      </v:group>
                    </v:group>
                  </w:pict>
                </mc:Fallback>
              </mc:AlternateContent>
            </w:r>
          </w:p>
          <w:p w14:paraId="47DC53AC" w14:textId="189784C8" w:rsidR="00553764" w:rsidRDefault="00553764" w:rsidP="006964D6">
            <w:pPr>
              <w:spacing w:line="360" w:lineRule="auto"/>
              <w:jc w:val="both"/>
            </w:pPr>
          </w:p>
          <w:p w14:paraId="3775DDB2" w14:textId="6C99B2E0" w:rsidR="00553764" w:rsidRDefault="00553764" w:rsidP="006964D6">
            <w:pPr>
              <w:spacing w:line="360" w:lineRule="auto"/>
              <w:jc w:val="both"/>
            </w:pPr>
          </w:p>
          <w:p w14:paraId="45BD9FF2" w14:textId="24BAA57B" w:rsidR="00553764" w:rsidRDefault="00553764" w:rsidP="006964D6">
            <w:pPr>
              <w:spacing w:line="360" w:lineRule="auto"/>
              <w:jc w:val="both"/>
            </w:pPr>
          </w:p>
          <w:p w14:paraId="26F604E6" w14:textId="0345F7CC" w:rsidR="00553764" w:rsidRDefault="00553764" w:rsidP="006964D6">
            <w:pPr>
              <w:spacing w:line="360" w:lineRule="auto"/>
              <w:jc w:val="both"/>
            </w:pPr>
          </w:p>
          <w:p w14:paraId="34D72C38" w14:textId="2E97875B" w:rsidR="00553764" w:rsidRDefault="00553764" w:rsidP="006964D6">
            <w:pPr>
              <w:spacing w:line="360" w:lineRule="auto"/>
              <w:jc w:val="both"/>
            </w:pPr>
          </w:p>
          <w:p w14:paraId="439863D4" w14:textId="455329AF" w:rsidR="00553764" w:rsidRDefault="00553764" w:rsidP="006964D6">
            <w:pPr>
              <w:spacing w:line="360" w:lineRule="auto"/>
              <w:jc w:val="both"/>
            </w:pPr>
          </w:p>
          <w:p w14:paraId="07B10579" w14:textId="204938F4" w:rsidR="00553764" w:rsidRDefault="00553764" w:rsidP="006964D6">
            <w:pPr>
              <w:spacing w:line="360" w:lineRule="auto"/>
              <w:jc w:val="both"/>
            </w:pPr>
          </w:p>
          <w:p w14:paraId="01727A83" w14:textId="77777777" w:rsidR="0000456A" w:rsidRDefault="0000456A" w:rsidP="006964D6">
            <w:pPr>
              <w:spacing w:line="360" w:lineRule="auto"/>
              <w:jc w:val="both"/>
            </w:pPr>
          </w:p>
          <w:p w14:paraId="7C49BCC3" w14:textId="1767F955" w:rsidR="00553764" w:rsidRDefault="00553764" w:rsidP="006964D6">
            <w:pPr>
              <w:spacing w:line="360" w:lineRule="auto"/>
              <w:jc w:val="both"/>
            </w:pPr>
          </w:p>
          <w:p w14:paraId="71460BFE" w14:textId="77777777" w:rsidR="00553764" w:rsidRDefault="00553764" w:rsidP="006964D6">
            <w:pPr>
              <w:spacing w:line="360" w:lineRule="auto"/>
              <w:jc w:val="both"/>
            </w:pPr>
          </w:p>
          <w:p w14:paraId="697A8BE6" w14:textId="77777777" w:rsidR="00163ED7" w:rsidRDefault="00163ED7" w:rsidP="006964D6">
            <w:pPr>
              <w:spacing w:line="360" w:lineRule="auto"/>
              <w:jc w:val="both"/>
            </w:pPr>
          </w:p>
          <w:p w14:paraId="5DDF0930" w14:textId="77777777" w:rsidR="00163ED7" w:rsidRDefault="00163ED7" w:rsidP="006964D6">
            <w:pPr>
              <w:spacing w:line="360" w:lineRule="auto"/>
              <w:jc w:val="both"/>
            </w:pPr>
          </w:p>
        </w:tc>
      </w:tr>
    </w:tbl>
    <w:p w14:paraId="6BDB20DE" w14:textId="7DF2187D" w:rsidR="00553764" w:rsidRPr="006964D6" w:rsidRDefault="00DC2F95" w:rsidP="006964D6">
      <w:pPr>
        <w:spacing w:line="360" w:lineRule="auto"/>
        <w:jc w:val="both"/>
      </w:pPr>
      <w:r>
        <w:t xml:space="preserve">Source: </w:t>
      </w:r>
      <w:r>
        <w:fldChar w:fldCharType="begin"/>
      </w:r>
      <w:r w:rsidR="002945E1">
        <w:instrText xml:space="preserve"> ADDIN ZOTERO_ITEM CSL_CITATION {"citationID":"3mka187M","properties":{"unsorted":false,"formattedCitation":"(Freihardt, 2025)","plainCitation":"(Freihardt, 2025)","dontUpdate":true,"noteIndex":0},"citationItems":[{"id":21,"uris":["http://zotero.org/users/18422904/items/AJEPSWHR"],"itemData":{"id":21,"type":"article-journal","abstract":"While there has been a considerable conceptual discussion of trapped populations in the environmental migration literature, the empirical evidence on their existence is scarce. I examine why many people remain in environmentally vulnerable areas by analyzing newly collected survey panel data of 1515 household heads living along the Jamuna River in Bangladesh, an area affected by riverbank erosion and flooding. To examine whether immobility is voluntary or involuntary, I assess the migration aspirations and capability to move of those who did not migrate after environmental shocks occurred in their village. The majority (82%) of non-migrants can be classified as voluntary non-migrants, while 13% can be considered “trapped” and the remaining 5% as acquiescent non-migrants. Being affected by erosion significantly increases the likelihood that immobility is involuntary by 7.9 percentage points, while also lowering the socio-economic status of the affected population. Taken together, these results suggest that environmental change may indeed lead to the “trapping” of parts of the population in exposed areas by eroding their capability to move while simultaneously increasing their migration aspirations. The findings have important policy implications, as they raise a word of caution against prematurely labeling all populations staying in environmentally exposed areas as “trapped” without considering their migration aspirations—a majority may in fact be voluntary non-migrants.","container-title":"Regional Environmental Change","DOI":"10.1007/s10113-025-02452-3","ISSN":"1436-378X","issue":"4","journalAbbreviation":"Reg Environ Change","language":"en","page":"117","source":"Springer Link","title":"Trapped by climate change? (In)voluntary immobility in Bangladesh","title-short":"Trapped by climate change?","volume":"25","author":[{"family":"Freihardt","given":"Jan"}],"issued":{"date-parts":[["2025",9,8]]}}}],"schema":"https://github.com/citation-style-language/schema/raw/master/csl-citation.json"} </w:instrText>
      </w:r>
      <w:r>
        <w:fldChar w:fldCharType="separate"/>
      </w:r>
      <w:r w:rsidRPr="00DC2F95">
        <w:rPr>
          <w:rFonts w:ascii="Garamond" w:hAnsi="Garamond"/>
        </w:rPr>
        <w:t>Freihardt</w:t>
      </w:r>
      <w:r>
        <w:rPr>
          <w:rFonts w:ascii="Garamond" w:hAnsi="Garamond"/>
        </w:rPr>
        <w:t xml:space="preserve"> (</w:t>
      </w:r>
      <w:r w:rsidRPr="00DC2F95">
        <w:rPr>
          <w:rFonts w:ascii="Garamond" w:hAnsi="Garamond"/>
        </w:rPr>
        <w:t>2025)</w:t>
      </w:r>
      <w:r>
        <w:fldChar w:fldCharType="end"/>
      </w:r>
    </w:p>
    <w:p w14:paraId="6113FB31" w14:textId="09190736" w:rsidR="004D3D12" w:rsidRDefault="00F3686C" w:rsidP="00D539EF">
      <w:pPr>
        <w:pStyle w:val="Heading3"/>
        <w:numPr>
          <w:ilvl w:val="2"/>
          <w:numId w:val="4"/>
        </w:numPr>
        <w:spacing w:line="360" w:lineRule="auto"/>
        <w:rPr>
          <w:b/>
          <w:bCs/>
          <w:color w:val="000000" w:themeColor="text1"/>
          <w:sz w:val="24"/>
          <w:szCs w:val="24"/>
        </w:rPr>
      </w:pPr>
      <w:bookmarkStart w:id="13" w:name="_Toc230511839"/>
      <w:r w:rsidRPr="006418DB">
        <w:rPr>
          <w:b/>
          <w:bCs/>
          <w:color w:val="000000" w:themeColor="text1"/>
          <w:sz w:val="24"/>
          <w:szCs w:val="24"/>
        </w:rPr>
        <w:t>M</w:t>
      </w:r>
      <w:r w:rsidR="006418DB">
        <w:rPr>
          <w:b/>
          <w:bCs/>
          <w:color w:val="000000" w:themeColor="text1"/>
          <w:sz w:val="24"/>
          <w:szCs w:val="24"/>
        </w:rPr>
        <w:t xml:space="preserve">obilities </w:t>
      </w:r>
      <w:r w:rsidR="007666A7">
        <w:rPr>
          <w:b/>
          <w:bCs/>
          <w:color w:val="000000" w:themeColor="text1"/>
          <w:sz w:val="24"/>
          <w:szCs w:val="24"/>
        </w:rPr>
        <w:t>paradigm</w:t>
      </w:r>
      <w:bookmarkEnd w:id="13"/>
    </w:p>
    <w:p w14:paraId="269DA64B" w14:textId="754B2E54" w:rsidR="007A47EB" w:rsidRDefault="007A47EB" w:rsidP="007A47EB">
      <w:pPr>
        <w:spacing w:line="360" w:lineRule="auto"/>
        <w:jc w:val="both"/>
      </w:pPr>
      <w:r>
        <w:t>Finally, according to Zickgraf (2021), while NELM and the aspirations–capabilities framework are useful for understanding mobility capabilities at the household and individual levels respectively, the mobilities paradigm is better suited to capturing the complex dynamic and spatio-temporal natur</w:t>
      </w:r>
      <w:r w:rsidR="00D60823">
        <w:t>e</w:t>
      </w:r>
      <w:r>
        <w:t xml:space="preserve"> of (im)mobility. </w:t>
      </w:r>
      <w:r w:rsidR="006959E5">
        <w:t xml:space="preserve">Originally proposed by </w:t>
      </w:r>
      <w:r w:rsidR="006959E5">
        <w:fldChar w:fldCharType="begin"/>
      </w:r>
      <w:r w:rsidR="006B32FD">
        <w:instrText xml:space="preserve"> ADDIN ZOTERO_ITEM CSL_CITATION {"citationID":"vcvVDZ0r","properties":{"unsorted":false,"formattedCitation":"(Sheller &amp; Urry, 2006)","plainCitation":"(Sheller &amp; Urry, 2006)","dontUpdate":true,"noteIndex":0},"citationItems":[{"id":1836,"uris":["http://zotero.org/users/18422904/items/JW5BXZZU"],"itemData":{"id":1836,"type":"article-journal","abstract":"It seems that a new paradigm is being formed within the social sciences, the ‘new mobilities’ paradigm. Some recent contributions to forming and stabilising this new paradigm include work from anthropology, cultural studies, geography, migration studies, science and technology studies, tourism and transport studies, and sociology. In this paper we draw out some characteristics, properties, and implications of this emergent paradigm, especially documenting some novel mobile theories and methods. We reflect on how far this paradigm has developed and thereby to extend and develop the ‘mobility turn’ within the social sciences.","container-title":"Environment and Planning A: Economy and Space","DOI":"10.1068/a37268","ISSN":"0308-518X","issue":"2","journalAbbreviation":"Environ Plan A","language":"EN","page":"207-226","publisher":"SAGE Publications Ltd","source":"SAGE Journals","title":"The New Mobilities Paradigm","volume":"38","author":[{"family":"Sheller","given":"Mimi"},{"family":"Urry","given":"John"}],"issued":{"date-parts":[["2006",2,1]]}}}],"schema":"https://github.com/citation-style-language/schema/raw/master/csl-citation.json"} </w:instrText>
      </w:r>
      <w:r w:rsidR="006959E5">
        <w:fldChar w:fldCharType="separate"/>
      </w:r>
      <w:r w:rsidR="006959E5" w:rsidRPr="006959E5">
        <w:rPr>
          <w:rFonts w:ascii="Garamond" w:hAnsi="Garamond"/>
        </w:rPr>
        <w:t>Sheller &amp; Urry</w:t>
      </w:r>
      <w:r w:rsidR="006959E5">
        <w:rPr>
          <w:rFonts w:ascii="Garamond" w:hAnsi="Garamond"/>
        </w:rPr>
        <w:t xml:space="preserve"> (</w:t>
      </w:r>
      <w:r w:rsidR="006959E5" w:rsidRPr="006959E5">
        <w:rPr>
          <w:rFonts w:ascii="Garamond" w:hAnsi="Garamond"/>
        </w:rPr>
        <w:t>2006)</w:t>
      </w:r>
      <w:r w:rsidR="006959E5">
        <w:fldChar w:fldCharType="end"/>
      </w:r>
      <w:r w:rsidR="006959E5">
        <w:t xml:space="preserve"> </w:t>
      </w:r>
      <w:r>
        <w:t xml:space="preserve">this approach focuses less on proposing specific indicators of mobility capability and more on understanding how different forms of mobility </w:t>
      </w:r>
      <w:r w:rsidR="006959E5">
        <w:t xml:space="preserve">interact with each other (i.e. the movement of people with the movement of goods) and </w:t>
      </w:r>
      <w:r>
        <w:t>unfold unevenly across time and space through the interaction of environmental, social, and institutional factors</w:t>
      </w:r>
      <w:r w:rsidR="00C63DF5">
        <w:t xml:space="preserve"> </w:t>
      </w:r>
      <w:r w:rsidR="00C63DF5">
        <w:fldChar w:fldCharType="begin"/>
      </w:r>
      <w:r w:rsidR="00C63DF5">
        <w:instrText xml:space="preserve"> ADDIN ZOTERO_ITEM CSL_CITATION {"citationID":"4CLiJPBR","properties":{"unsorted":false,"formattedCitation":"(Boas et\\uc0\\u160{}al., 2018)","plainCitation":"(Boas et al., 2018)","noteIndex":0},"citationItems":[{"id":1837,"uris":["http://zotero.org/users/18422904/items/UZ67XN4R"],"itemData":{"id":1837,"type":"article-journal","abstract":"This article explores the relations between movement, the environment, and governance through the cases of cruise tourism, plastics in the oceans, and environmental migration. It does so by means of a mobilities perspective, which has its origins in sociology and geography. This perspective shifts the analytical focus toward mobilities and environmental problems to understand their governance, as opposed to starting with governance, as many global environmental governance studies do. We coin the term environmental mobilities to refer to the movements of human and nonhuman entities and the environmental factors and impacts associated with these. Environmental mobilities include movements impacting on the environment, movements shaped by environmental factors, and harmful environmental flows, as we illustrate by means of the three cases. We demonstrate how zooming in on the social, material, temporal, and spatial characteristics of these environmental mobilities can help illuminate governance gaps and emerging governance practices that better match their mobile nature. In particular, a mobilities lens helps to understand and capture environmental issues that move, change form, and fluctuate in their central problematique and whose governance is not (yet) highly or centrally institutionalized.","container-title":"Global Environmental Politics","DOI":"10.1162/glep_a_00482","ISSN":"1526-3800","issue":"4","journalAbbreviation":"Global Environmental Politics","page":"107-126","source":"Silverchair","title":"Environmental Mobilities: An Alternative Lens to Global Environmental Governance","title-short":"Environmental Mobilities","volume":"18","author":[{"family":"Boas","given":"Ingrid"},{"family":"Kloppenburg","given":"Sanneke"},{"family":"Leeuwen","given":"Judith","non-dropping-particle":"van"},{"family":"Lamers","given":"Machiel"}],"issued":{"date-parts":[["2018",11,1]]}}}],"schema":"https://github.com/citation-style-language/schema/raw/master/csl-citation.json"} </w:instrText>
      </w:r>
      <w:r w:rsidR="00C63DF5">
        <w:fldChar w:fldCharType="separate"/>
      </w:r>
      <w:r w:rsidR="00C63DF5" w:rsidRPr="00C63DF5">
        <w:rPr>
          <w:rFonts w:ascii="Garamond" w:hAnsi="Garamond" w:cs="Times New Roman"/>
          <w:kern w:val="0"/>
        </w:rPr>
        <w:t>(Boas et al., 2018)</w:t>
      </w:r>
      <w:r w:rsidR="00C63DF5">
        <w:fldChar w:fldCharType="end"/>
      </w:r>
      <w:r>
        <w:t xml:space="preserve">. For example, </w:t>
      </w:r>
      <w:r w:rsidR="006959E5">
        <w:fldChar w:fldCharType="begin"/>
      </w:r>
      <w:r w:rsidR="006B32FD">
        <w:instrText xml:space="preserve"> ADDIN ZOTERO_ITEM CSL_CITATION {"citationID":"sHFBThl7","properties":{"unsorted":false,"formattedCitation":"(Boas et\\uc0\\u160{}al., 2018)","plainCitation":"(Boas et al., 2018)","dontUpdate":true,"noteIndex":0},"citationItems":[{"id":1837,"uris":["http://zotero.org/users/18422904/items/UZ67XN4R"],"itemData":{"id":1837,"type":"article-journal","abstract":"This article explores the relations between movement, the environment, and governance through the cases of cruise tourism, plastics in the oceans, and environmental migration. It does so by means of a mobilities perspective, which has its origins in sociology and geography. This perspective shifts the analytical focus toward mobilities and environmental problems to understand their governance, as opposed to starting with governance, as many global environmental governance studies do. We coin the term environmental mobilities to refer to the movements of human and nonhuman entities and the environmental factors and impacts associated with these. Environmental mobilities include movements impacting on the environment, movements shaped by environmental factors, and harmful environmental flows, as we illustrate by means of the three cases. We demonstrate how zooming in on the social, material, temporal, and spatial characteristics of these environmental mobilities can help illuminate governance gaps and emerging governance practices that better match their mobile nature. In particular, a mobilities lens helps to understand and capture environmental issues that move, change form, and fluctuate in their central problematique and whose governance is not (yet) highly or centrally institutionalized.","container-title":"Global Environmental Politics","DOI":"10.1162/glep_a_00482","ISSN":"1526-3800","issue":"4","journalAbbreviation":"Global Environmental Politics","page":"107-126","source":"Silverchair","title":"Environmental Mobilities: An Alternative Lens to Global Environmental Governance","title-short":"Environmental Mobilities","volume":"18","author":[{"family":"Boas","given":"Ingrid"},{"family":"Kloppenburg","given":"Sanneke"},{"family":"Leeuwen","given":"Judith","non-dropping-particle":"van"},{"family":"Lamers","given":"Machiel"}],"issued":{"date-parts":[["2018",11,1]]}}}],"schema":"https://github.com/citation-style-language/schema/raw/master/csl-citation.json"} </w:instrText>
      </w:r>
      <w:r w:rsidR="006959E5">
        <w:fldChar w:fldCharType="separate"/>
      </w:r>
      <w:r w:rsidR="006959E5" w:rsidRPr="006959E5">
        <w:rPr>
          <w:rFonts w:ascii="Garamond" w:hAnsi="Garamond" w:cs="Times New Roman"/>
          <w:kern w:val="0"/>
        </w:rPr>
        <w:t xml:space="preserve">Boas et al., </w:t>
      </w:r>
      <w:r w:rsidR="006959E5">
        <w:rPr>
          <w:rFonts w:ascii="Garamond" w:hAnsi="Garamond" w:cs="Times New Roman"/>
          <w:kern w:val="0"/>
        </w:rPr>
        <w:t>(</w:t>
      </w:r>
      <w:r w:rsidR="006959E5" w:rsidRPr="006959E5">
        <w:rPr>
          <w:rFonts w:ascii="Garamond" w:hAnsi="Garamond" w:cs="Times New Roman"/>
          <w:kern w:val="0"/>
        </w:rPr>
        <w:t>2018)</w:t>
      </w:r>
      <w:r w:rsidR="006959E5">
        <w:fldChar w:fldCharType="end"/>
      </w:r>
      <w:r w:rsidR="006959E5">
        <w:t xml:space="preserve"> noticed that </w:t>
      </w:r>
      <w:r>
        <w:t>rapid-onset climate shocks often generate visible and concentrated population movements that attract humanitarian attention, whereas slow-onset degradation tends to produce more gradual</w:t>
      </w:r>
      <w:r w:rsidR="00E12926">
        <w:t xml:space="preserve"> (in time)</w:t>
      </w:r>
      <w:r>
        <w:t>, fragmented</w:t>
      </w:r>
      <w:r w:rsidR="00E12926">
        <w:t xml:space="preserve"> (in space)</w:t>
      </w:r>
      <w:r>
        <w:t>, and less visible mobility patterns</w:t>
      </w:r>
      <w:r w:rsidR="00E12926">
        <w:t xml:space="preserve"> (non-massive)</w:t>
      </w:r>
      <w:r>
        <w:t>, despite their long-term consequences.</w:t>
      </w:r>
    </w:p>
    <w:p w14:paraId="090163F7" w14:textId="77777777" w:rsidR="007A47EB" w:rsidRDefault="007A47EB" w:rsidP="007A47EB">
      <w:pPr>
        <w:spacing w:line="360" w:lineRule="auto"/>
        <w:jc w:val="both"/>
      </w:pPr>
    </w:p>
    <w:p w14:paraId="41D6B1FD" w14:textId="603D3364" w:rsidR="007A47EB" w:rsidRDefault="007A47EB" w:rsidP="007A47EB">
      <w:pPr>
        <w:spacing w:line="360" w:lineRule="auto"/>
        <w:jc w:val="both"/>
      </w:pPr>
      <w:r>
        <w:lastRenderedPageBreak/>
        <w:t xml:space="preserve">Therefore, this perspective draws attention to the relative nature of (im)mobility across both time and space. In this regard, an individual responding gradually to slow-onset environmental degradation may appear relatively immobile when compared to someone displaced rapidly following a sudden disaster, without necessarily being immobile in an absolute sense. Although the mobilities paradigm does not propose specific indicators or a particular level of analysis through which to measure this relativeness, it raises important questions regarding the temporal and spatial scales at which mobility capabilities should be evaluated. </w:t>
      </w:r>
      <w:commentRangeStart w:id="14"/>
      <w:r>
        <w:t>Similarly, questions remain regarding the spatial scale at which mobility itself should be understood, such as whether migration capability is reflected only through long-distance or international migration, or also through shorter local displacements</w:t>
      </w:r>
      <w:r w:rsidR="00D60823">
        <w:t xml:space="preserve"> or even everyday movements</w:t>
      </w:r>
      <w:r>
        <w:t>.</w:t>
      </w:r>
      <w:commentRangeEnd w:id="14"/>
      <w:r w:rsidR="00E12926">
        <w:rPr>
          <w:rStyle w:val="CommentReference"/>
          <w:sz w:val="24"/>
          <w:szCs w:val="24"/>
        </w:rPr>
        <w:commentReference w:id="14"/>
      </w:r>
    </w:p>
    <w:p w14:paraId="294611FB" w14:textId="1E7198B5" w:rsidR="00C03980" w:rsidRDefault="00CB7F93" w:rsidP="00C03980">
      <w:pPr>
        <w:spacing w:line="360" w:lineRule="auto"/>
        <w:jc w:val="both"/>
      </w:pPr>
      <w:r>
        <w:rPr>
          <w:highlight w:val="yellow"/>
        </w:rPr>
        <w:t>The frameworks discussed above,</w:t>
      </w:r>
      <w:r w:rsidR="00C03980" w:rsidRPr="004B028D">
        <w:rPr>
          <w:highlight w:val="yellow"/>
        </w:rPr>
        <w:t xml:space="preserve"> rather than representing competing explanations, should be understood as complementary perspectives on </w:t>
      </w:r>
      <w:commentRangeStart w:id="15"/>
      <w:r w:rsidR="00C03980" w:rsidRPr="004B028D">
        <w:rPr>
          <w:highlight w:val="yellow"/>
        </w:rPr>
        <w:t>climate</w:t>
      </w:r>
      <w:commentRangeEnd w:id="15"/>
      <w:r w:rsidRPr="004B028D">
        <w:rPr>
          <w:rStyle w:val="CommentReference"/>
          <w:sz w:val="24"/>
          <w:szCs w:val="24"/>
          <w:highlight w:val="yellow"/>
        </w:rPr>
        <w:commentReference w:id="15"/>
      </w:r>
      <w:r w:rsidR="00C03980" w:rsidRPr="004B028D">
        <w:rPr>
          <w:highlight w:val="yellow"/>
        </w:rPr>
        <w:t>-related (im)mobility</w:t>
      </w:r>
      <w:r w:rsidR="00377579" w:rsidRPr="004B028D">
        <w:rPr>
          <w:highlight w:val="yellow"/>
        </w:rPr>
        <w:t xml:space="preserve"> (see </w:t>
      </w:r>
      <w:r w:rsidR="00377579" w:rsidRPr="004B028D">
        <w:rPr>
          <w:b/>
          <w:bCs/>
          <w:highlight w:val="yellow"/>
        </w:rPr>
        <w:t xml:space="preserve">Table </w:t>
      </w:r>
      <w:r w:rsidR="00E83E25" w:rsidRPr="004B028D">
        <w:rPr>
          <w:b/>
          <w:bCs/>
          <w:highlight w:val="yellow"/>
        </w:rPr>
        <w:t>2</w:t>
      </w:r>
      <w:r w:rsidR="00377579" w:rsidRPr="004B028D">
        <w:rPr>
          <w:highlight w:val="yellow"/>
        </w:rPr>
        <w:t>)</w:t>
      </w:r>
      <w:r w:rsidR="00C03980" w:rsidRPr="004B028D">
        <w:rPr>
          <w:highlight w:val="yellow"/>
        </w:rPr>
        <w:t>. As Massey et al. (1993) and Zickgraf (2021) suggest,</w:t>
      </w:r>
      <w:r w:rsidR="006E3B16" w:rsidRPr="004B028D">
        <w:rPr>
          <w:highlight w:val="yellow"/>
        </w:rPr>
        <w:t xml:space="preserve"> migration research lacks a single unified theory and instead relies on a fragmented set of approaches that illuminate different dimensions of mobility and immobility, each contributing differently to the understanding and operationalization of mobility capabilities</w:t>
      </w:r>
      <w:r w:rsidR="00C03980" w:rsidRPr="004B028D">
        <w:rPr>
          <w:highlight w:val="yellow"/>
        </w:rPr>
        <w:t xml:space="preserve">. </w:t>
      </w:r>
      <w:r w:rsidR="004B028D" w:rsidRPr="004B028D">
        <w:rPr>
          <w:highlight w:val="yellow"/>
        </w:rPr>
        <w:t xml:space="preserve">As </w:t>
      </w:r>
      <w:r w:rsidR="004B028D" w:rsidRPr="004B028D">
        <w:rPr>
          <w:highlight w:val="yellow"/>
        </w:rPr>
        <w:fldChar w:fldCharType="begin"/>
      </w:r>
      <w:r w:rsidR="004B028D" w:rsidRPr="004B028D">
        <w:rPr>
          <w:highlight w:val="yellow"/>
        </w:rPr>
        <w:instrText xml:space="preserve"> ADDIN ZOTERO_ITEM CSL_CITATION {"citationID":"DgiIsZw3","properties":{"unsorted":false,"formattedCitation":"(Sengupta, 2025)","plainCitation":"(Sengupta, 2025)","noteIndex":0},"citationItems":[{"id":9,"uris":["http://zotero.org/users/18422904/items/BKFLSSJU"],"itemData":{"id":9,"type":"article-journal","abstract":"Environmental migration research has traditionally focused on mobility outcomes in the face of environmental change. However, the ‘trapped populations’ concept introduced in the influential Foresight Report (2011) drew attention to immobility outcomes owing to people’s inability or unwillingness to migrate away from environmentally high-risk settings. To assess the evolution of the empirical research landscape of environmental immobility, this paper systematically reviews 55 studies in terms of their thematic focus areas, theoretical and methodological concerns, geographical distribution, the interplay between environmental and societal contexts, the characterisation of immobility processes, and interrelations with mobility processes. The findings suggest a predominant focus on the causes of immobility based on a dichotomisation of immobility as ‘forced’ and ‘voluntary’. Using insights from migration theory, this paper provides a schematic framework that helps us think analytically about environmental immobility processes in terms of a continuum of choices and constraints and implications for stayers’ well-being.","container-title":"Ambio","DOI":"10.1007/s13280-025-02195-9","ISSN":"1654-7209","issue":"11","journalAbbreviation":"Ambio","language":"en","page":"1729-1756","source":"Springer Link","title":"Environmental immobility: A systematic review of empirical research","title-short":"Environmental immobility","volume":"54","author":[{"family":"Sengupta","given":"Moitrayee"}],"issued":{"date-parts":[["2025",11,1]]}}}],"schema":"https://github.com/citation-style-language/schema/raw/master/csl-citation.json"} </w:instrText>
      </w:r>
      <w:r w:rsidR="004B028D" w:rsidRPr="004B028D">
        <w:rPr>
          <w:highlight w:val="yellow"/>
        </w:rPr>
        <w:fldChar w:fldCharType="separate"/>
      </w:r>
      <w:r w:rsidR="00983CF5" w:rsidRPr="00983CF5">
        <w:rPr>
          <w:rFonts w:ascii="Garamond" w:hAnsi="Garamond"/>
          <w:highlight w:val="yellow"/>
        </w:rPr>
        <w:t>(Sengupta, 2025)</w:t>
      </w:r>
      <w:r w:rsidR="004B028D" w:rsidRPr="004B028D">
        <w:rPr>
          <w:highlight w:val="yellow"/>
        </w:rPr>
        <w:fldChar w:fldCharType="end"/>
      </w:r>
      <w:r w:rsidR="004B028D" w:rsidRPr="004B028D">
        <w:rPr>
          <w:highlight w:val="yellow"/>
        </w:rPr>
        <w:t xml:space="preserve"> implies</w:t>
      </w:r>
      <w:r w:rsidR="00C03980" w:rsidRPr="004B028D">
        <w:rPr>
          <w:highlight w:val="yellow"/>
        </w:rPr>
        <w:t>, choosing one or the other should depend on the type of question the researcher seeks to answer.</w:t>
      </w:r>
      <w:r w:rsidR="00C03980" w:rsidRPr="00C03980">
        <w:t xml:space="preserve"> </w:t>
      </w:r>
    </w:p>
    <w:p w14:paraId="508AAC68" w14:textId="53621002" w:rsidR="00E83E25" w:rsidRPr="00E83E25" w:rsidRDefault="00E83E25" w:rsidP="00E83E25">
      <w:pPr>
        <w:pStyle w:val="Caption"/>
        <w:rPr>
          <w:b/>
          <w:bCs/>
          <w:i w:val="0"/>
          <w:iCs w:val="0"/>
          <w:color w:val="auto"/>
          <w:sz w:val="24"/>
          <w:szCs w:val="24"/>
        </w:rPr>
      </w:pPr>
      <w:r w:rsidRPr="00E83E25">
        <w:rPr>
          <w:b/>
          <w:bCs/>
          <w:i w:val="0"/>
          <w:iCs w:val="0"/>
          <w:color w:val="auto"/>
          <w:sz w:val="24"/>
          <w:szCs w:val="24"/>
        </w:rPr>
        <w:t xml:space="preserve">Table </w:t>
      </w:r>
      <w:r w:rsidRPr="00E83E25">
        <w:rPr>
          <w:b/>
          <w:bCs/>
          <w:i w:val="0"/>
          <w:iCs w:val="0"/>
          <w:color w:val="auto"/>
          <w:sz w:val="24"/>
          <w:szCs w:val="24"/>
        </w:rPr>
        <w:fldChar w:fldCharType="begin"/>
      </w:r>
      <w:r w:rsidRPr="00E83E25">
        <w:rPr>
          <w:b/>
          <w:bCs/>
          <w:i w:val="0"/>
          <w:iCs w:val="0"/>
          <w:color w:val="auto"/>
          <w:sz w:val="24"/>
          <w:szCs w:val="24"/>
        </w:rPr>
        <w:instrText xml:space="preserve"> SEQ Table \* ARABIC </w:instrText>
      </w:r>
      <w:r w:rsidRPr="00E83E25">
        <w:rPr>
          <w:b/>
          <w:bCs/>
          <w:i w:val="0"/>
          <w:iCs w:val="0"/>
          <w:color w:val="auto"/>
          <w:sz w:val="24"/>
          <w:szCs w:val="24"/>
        </w:rPr>
        <w:fldChar w:fldCharType="separate"/>
      </w:r>
      <w:r w:rsidRPr="00E83E25">
        <w:rPr>
          <w:b/>
          <w:bCs/>
          <w:i w:val="0"/>
          <w:iCs w:val="0"/>
          <w:noProof/>
          <w:color w:val="auto"/>
          <w:sz w:val="24"/>
          <w:szCs w:val="24"/>
        </w:rPr>
        <w:t>2</w:t>
      </w:r>
      <w:r w:rsidRPr="00E83E25">
        <w:rPr>
          <w:b/>
          <w:bCs/>
          <w:i w:val="0"/>
          <w:iCs w:val="0"/>
          <w:color w:val="auto"/>
          <w:sz w:val="24"/>
          <w:szCs w:val="24"/>
        </w:rPr>
        <w:fldChar w:fldCharType="end"/>
      </w:r>
    </w:p>
    <w:p w14:paraId="25E791E4" w14:textId="45007879" w:rsidR="00E83E25" w:rsidRPr="006768BA" w:rsidRDefault="00E83E25" w:rsidP="00C03980">
      <w:pPr>
        <w:spacing w:line="360" w:lineRule="auto"/>
        <w:jc w:val="both"/>
      </w:pPr>
      <w:r w:rsidRPr="006768BA">
        <w:t xml:space="preserve">Comparative </w:t>
      </w:r>
      <w:r w:rsidR="00CF78B6" w:rsidRPr="006768BA">
        <w:t xml:space="preserve">synthesis </w:t>
      </w:r>
      <w:r w:rsidRPr="006768BA">
        <w:t>of frameworks explaining climate-related (im)mobility</w:t>
      </w:r>
    </w:p>
    <w:tbl>
      <w:tblPr>
        <w:tblStyle w:val="PlainTable4"/>
        <w:tblW w:w="0" w:type="auto"/>
        <w:tblLook w:val="04A0" w:firstRow="1" w:lastRow="0" w:firstColumn="1" w:lastColumn="0" w:noHBand="0" w:noVBand="1"/>
      </w:tblPr>
      <w:tblGrid>
        <w:gridCol w:w="2158"/>
        <w:gridCol w:w="2072"/>
        <w:gridCol w:w="2488"/>
        <w:gridCol w:w="2120"/>
      </w:tblGrid>
      <w:tr w:rsidR="00326537" w14:paraId="093DBF3E" w14:textId="5D109775" w:rsidTr="007856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Borders>
              <w:top w:val="single" w:sz="4" w:space="0" w:color="000000"/>
            </w:tcBorders>
          </w:tcPr>
          <w:p w14:paraId="78E1FCAA" w14:textId="6D9B57A0" w:rsidR="00326537" w:rsidRDefault="00377579" w:rsidP="00326537">
            <w:pPr>
              <w:spacing w:line="360" w:lineRule="auto"/>
              <w:jc w:val="both"/>
              <w:rPr>
                <w:rFonts w:ascii="Garamond" w:hAnsi="Garamond"/>
              </w:rPr>
            </w:pPr>
            <w:r>
              <w:rPr>
                <w:rFonts w:ascii="Garamond" w:hAnsi="Garamond"/>
              </w:rPr>
              <w:t>Comparison aspect</w:t>
            </w:r>
            <w:r w:rsidR="00C03980">
              <w:rPr>
                <w:rFonts w:ascii="Garamond" w:hAnsi="Garamond"/>
              </w:rPr>
              <w:t xml:space="preserve"> / Framework</w:t>
            </w:r>
          </w:p>
        </w:tc>
        <w:tc>
          <w:tcPr>
            <w:tcW w:w="2097" w:type="dxa"/>
            <w:tcBorders>
              <w:top w:val="single" w:sz="4" w:space="0" w:color="000000"/>
            </w:tcBorders>
          </w:tcPr>
          <w:p w14:paraId="10A6EFB6" w14:textId="0E0F521C" w:rsidR="00326537" w:rsidRDefault="00326537" w:rsidP="00326537">
            <w:pPr>
              <w:spacing w:line="360" w:lineRule="auto"/>
              <w:jc w:val="both"/>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NELM</w:t>
            </w:r>
          </w:p>
        </w:tc>
        <w:tc>
          <w:tcPr>
            <w:tcW w:w="2552" w:type="dxa"/>
            <w:tcBorders>
              <w:top w:val="single" w:sz="4" w:space="0" w:color="000000"/>
            </w:tcBorders>
          </w:tcPr>
          <w:p w14:paraId="6F46C699" w14:textId="4C4BE1DD" w:rsidR="00326537" w:rsidRDefault="00326537" w:rsidP="00326537">
            <w:pPr>
              <w:spacing w:line="360" w:lineRule="auto"/>
              <w:jc w:val="both"/>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Aspirations-capability</w:t>
            </w:r>
          </w:p>
        </w:tc>
        <w:tc>
          <w:tcPr>
            <w:tcW w:w="2175" w:type="dxa"/>
            <w:tcBorders>
              <w:top w:val="single" w:sz="4" w:space="0" w:color="000000"/>
            </w:tcBorders>
          </w:tcPr>
          <w:p w14:paraId="608F456F" w14:textId="5118C844" w:rsidR="00326537" w:rsidRDefault="00326537" w:rsidP="00326537">
            <w:pPr>
              <w:spacing w:line="360" w:lineRule="auto"/>
              <w:jc w:val="both"/>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Mobilities paradigm</w:t>
            </w:r>
          </w:p>
        </w:tc>
      </w:tr>
      <w:tr w:rsidR="00377579" w14:paraId="6E1AB59C" w14:textId="73679CAC" w:rsidTr="007856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Borders>
              <w:top w:val="single" w:sz="4" w:space="0" w:color="000000"/>
            </w:tcBorders>
          </w:tcPr>
          <w:p w14:paraId="20DE511E" w14:textId="780FDFA1" w:rsidR="00377579" w:rsidRDefault="00377579" w:rsidP="00377579">
            <w:pPr>
              <w:spacing w:line="360" w:lineRule="auto"/>
              <w:jc w:val="both"/>
              <w:rPr>
                <w:rFonts w:ascii="Garamond" w:hAnsi="Garamond"/>
              </w:rPr>
            </w:pPr>
            <w:r>
              <w:rPr>
                <w:rFonts w:ascii="Garamond" w:hAnsi="Garamond"/>
              </w:rPr>
              <w:t>Focus</w:t>
            </w:r>
          </w:p>
        </w:tc>
        <w:tc>
          <w:tcPr>
            <w:tcW w:w="2097" w:type="dxa"/>
            <w:tcBorders>
              <w:top w:val="single" w:sz="4" w:space="0" w:color="000000"/>
            </w:tcBorders>
          </w:tcPr>
          <w:p w14:paraId="0BDAAA18" w14:textId="70258185" w:rsidR="00377579" w:rsidRDefault="00377579" w:rsidP="00377579">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394B1C">
              <w:t xml:space="preserve">Household </w:t>
            </w:r>
            <w:r>
              <w:t xml:space="preserve">risk </w:t>
            </w:r>
            <w:r w:rsidRPr="00394B1C">
              <w:t>adaptation strategies</w:t>
            </w:r>
          </w:p>
        </w:tc>
        <w:tc>
          <w:tcPr>
            <w:tcW w:w="2552" w:type="dxa"/>
            <w:tcBorders>
              <w:top w:val="single" w:sz="4" w:space="0" w:color="000000"/>
            </w:tcBorders>
          </w:tcPr>
          <w:p w14:paraId="5EBC050D" w14:textId="591326C7" w:rsidR="00377579" w:rsidRDefault="00377579" w:rsidP="00377579">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377579">
              <w:rPr>
                <w:rFonts w:ascii="Garamond" w:hAnsi="Garamond"/>
              </w:rPr>
              <w:t>Interaction between aspirations and capabilities</w:t>
            </w:r>
          </w:p>
        </w:tc>
        <w:tc>
          <w:tcPr>
            <w:tcW w:w="2175" w:type="dxa"/>
            <w:tcBorders>
              <w:top w:val="single" w:sz="4" w:space="0" w:color="000000"/>
            </w:tcBorders>
          </w:tcPr>
          <w:p w14:paraId="68F25B28" w14:textId="1C18032C" w:rsidR="00377579" w:rsidRDefault="00377579" w:rsidP="00377579">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377579">
              <w:rPr>
                <w:rFonts w:ascii="Garamond" w:hAnsi="Garamond"/>
              </w:rPr>
              <w:t>Dynamic and relational nature of mobilit</w:t>
            </w:r>
            <w:r>
              <w:rPr>
                <w:rFonts w:ascii="Garamond" w:hAnsi="Garamond"/>
              </w:rPr>
              <w:t>ies</w:t>
            </w:r>
          </w:p>
        </w:tc>
      </w:tr>
      <w:tr w:rsidR="00377579" w14:paraId="71685899" w14:textId="34A0044B" w:rsidTr="007856CE">
        <w:tc>
          <w:tcPr>
            <w:cnfStyle w:val="001000000000" w:firstRow="0" w:lastRow="0" w:firstColumn="1" w:lastColumn="0" w:oddVBand="0" w:evenVBand="0" w:oddHBand="0" w:evenHBand="0" w:firstRowFirstColumn="0" w:firstRowLastColumn="0" w:lastRowFirstColumn="0" w:lastRowLastColumn="0"/>
            <w:tcW w:w="2014" w:type="dxa"/>
          </w:tcPr>
          <w:p w14:paraId="11B62579" w14:textId="51353F76" w:rsidR="00377579" w:rsidRDefault="00377579" w:rsidP="00377579">
            <w:pPr>
              <w:spacing w:line="360" w:lineRule="auto"/>
              <w:jc w:val="both"/>
              <w:rPr>
                <w:rFonts w:ascii="Garamond" w:hAnsi="Garamond"/>
              </w:rPr>
            </w:pPr>
            <w:r>
              <w:rPr>
                <w:rFonts w:ascii="Garamond" w:hAnsi="Garamond"/>
              </w:rPr>
              <w:t>Level at which capability is conceptualized</w:t>
            </w:r>
          </w:p>
        </w:tc>
        <w:tc>
          <w:tcPr>
            <w:tcW w:w="2097" w:type="dxa"/>
          </w:tcPr>
          <w:p w14:paraId="13C859EB" w14:textId="24D7A66C" w:rsidR="00377579" w:rsidRDefault="00377579" w:rsidP="00377579">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rPr>
            </w:pPr>
            <w:r>
              <w:t>The h</w:t>
            </w:r>
            <w:r w:rsidRPr="00394B1C">
              <w:t xml:space="preserve">ousehold </w:t>
            </w:r>
          </w:p>
        </w:tc>
        <w:tc>
          <w:tcPr>
            <w:tcW w:w="2552" w:type="dxa"/>
          </w:tcPr>
          <w:p w14:paraId="082E4060" w14:textId="2CE5E2DA" w:rsidR="00377579" w:rsidRDefault="00377579" w:rsidP="00377579">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rPr>
            </w:pPr>
            <w:r>
              <w:rPr>
                <w:rFonts w:ascii="Garamond" w:hAnsi="Garamond"/>
              </w:rPr>
              <w:t>The individual</w:t>
            </w:r>
          </w:p>
        </w:tc>
        <w:tc>
          <w:tcPr>
            <w:tcW w:w="2175" w:type="dxa"/>
          </w:tcPr>
          <w:p w14:paraId="79D18743" w14:textId="6EAA8B89" w:rsidR="00377579" w:rsidRDefault="00377579" w:rsidP="00377579">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rPr>
            </w:pPr>
            <w:r>
              <w:rPr>
                <w:rFonts w:ascii="Garamond" w:hAnsi="Garamond"/>
              </w:rPr>
              <w:t>Not explicit</w:t>
            </w:r>
          </w:p>
        </w:tc>
      </w:tr>
      <w:tr w:rsidR="00326537" w14:paraId="605A413E" w14:textId="763F0342" w:rsidTr="007856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Pr>
          <w:p w14:paraId="4B1BC87D" w14:textId="29D6A151" w:rsidR="00326537" w:rsidRDefault="00377579" w:rsidP="00326537">
            <w:pPr>
              <w:spacing w:line="360" w:lineRule="auto"/>
              <w:jc w:val="both"/>
              <w:rPr>
                <w:rFonts w:ascii="Garamond" w:hAnsi="Garamond"/>
              </w:rPr>
            </w:pPr>
            <w:r>
              <w:rPr>
                <w:rFonts w:ascii="Garamond" w:hAnsi="Garamond"/>
              </w:rPr>
              <w:t>Unit of analysis</w:t>
            </w:r>
          </w:p>
        </w:tc>
        <w:tc>
          <w:tcPr>
            <w:tcW w:w="2097" w:type="dxa"/>
          </w:tcPr>
          <w:p w14:paraId="03E73443" w14:textId="64A2134C" w:rsidR="00326537" w:rsidRDefault="00377579" w:rsidP="00326537">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rPr>
            </w:pPr>
            <w:r>
              <w:rPr>
                <w:rFonts w:ascii="Garamond" w:hAnsi="Garamond"/>
              </w:rPr>
              <w:t>The household</w:t>
            </w:r>
          </w:p>
        </w:tc>
        <w:tc>
          <w:tcPr>
            <w:tcW w:w="2552" w:type="dxa"/>
          </w:tcPr>
          <w:p w14:paraId="57CCA171" w14:textId="4900FFEB" w:rsidR="00326537" w:rsidRDefault="00377579" w:rsidP="00326537">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rPr>
            </w:pPr>
            <w:r>
              <w:rPr>
                <w:rFonts w:ascii="Garamond" w:hAnsi="Garamond"/>
              </w:rPr>
              <w:t>The individual</w:t>
            </w:r>
          </w:p>
        </w:tc>
        <w:tc>
          <w:tcPr>
            <w:tcW w:w="2175" w:type="dxa"/>
          </w:tcPr>
          <w:p w14:paraId="6A6CE6CC" w14:textId="5CB25E15" w:rsidR="00326537" w:rsidRDefault="00377579" w:rsidP="00326537">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377579">
              <w:rPr>
                <w:rFonts w:ascii="Garamond" w:hAnsi="Garamond"/>
              </w:rPr>
              <w:t xml:space="preserve">Mobility processes and </w:t>
            </w:r>
            <w:r w:rsidR="00D60823">
              <w:rPr>
                <w:rFonts w:ascii="Garamond" w:hAnsi="Garamond"/>
              </w:rPr>
              <w:t xml:space="preserve">the </w:t>
            </w:r>
            <w:r w:rsidRPr="00377579">
              <w:rPr>
                <w:rFonts w:ascii="Garamond" w:hAnsi="Garamond"/>
              </w:rPr>
              <w:t>interactions</w:t>
            </w:r>
            <w:r>
              <w:rPr>
                <w:rFonts w:ascii="Garamond" w:hAnsi="Garamond"/>
              </w:rPr>
              <w:t xml:space="preserve"> between them.</w:t>
            </w:r>
          </w:p>
        </w:tc>
      </w:tr>
      <w:tr w:rsidR="00377579" w14:paraId="6F8CCBA2" w14:textId="77777777" w:rsidTr="007856CE">
        <w:tc>
          <w:tcPr>
            <w:cnfStyle w:val="001000000000" w:firstRow="0" w:lastRow="0" w:firstColumn="1" w:lastColumn="0" w:oddVBand="0" w:evenVBand="0" w:oddHBand="0" w:evenHBand="0" w:firstRowFirstColumn="0" w:firstRowLastColumn="0" w:lastRowFirstColumn="0" w:lastRowLastColumn="0"/>
            <w:tcW w:w="2014" w:type="dxa"/>
          </w:tcPr>
          <w:p w14:paraId="242ECD8A" w14:textId="0A8E1EAE" w:rsidR="00377579" w:rsidRDefault="00377579" w:rsidP="00326537">
            <w:pPr>
              <w:spacing w:line="360" w:lineRule="auto"/>
              <w:jc w:val="both"/>
              <w:rPr>
                <w:rFonts w:ascii="Garamond" w:hAnsi="Garamond"/>
              </w:rPr>
            </w:pPr>
            <w:r>
              <w:rPr>
                <w:rFonts w:ascii="Garamond" w:hAnsi="Garamond"/>
              </w:rPr>
              <w:lastRenderedPageBreak/>
              <w:t>Understanding(s) of immobility</w:t>
            </w:r>
          </w:p>
        </w:tc>
        <w:tc>
          <w:tcPr>
            <w:tcW w:w="2097" w:type="dxa"/>
          </w:tcPr>
          <w:p w14:paraId="328FEA7F" w14:textId="0C535608" w:rsidR="00377579" w:rsidRDefault="00377579" w:rsidP="00326537">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rPr>
            </w:pPr>
            <w:r>
              <w:rPr>
                <w:rFonts w:ascii="Garamond" w:hAnsi="Garamond"/>
              </w:rPr>
              <w:t xml:space="preserve">Enabling immobility / Failed household </w:t>
            </w:r>
            <w:r w:rsidR="00D60823">
              <w:rPr>
                <w:rFonts w:ascii="Garamond" w:hAnsi="Garamond"/>
              </w:rPr>
              <w:t xml:space="preserve">local </w:t>
            </w:r>
            <w:r w:rsidR="00CF78B6">
              <w:rPr>
                <w:rFonts w:ascii="Garamond" w:hAnsi="Garamond"/>
              </w:rPr>
              <w:t xml:space="preserve">(on-farm) </w:t>
            </w:r>
            <w:r w:rsidR="00D60823">
              <w:rPr>
                <w:rFonts w:ascii="Garamond" w:hAnsi="Garamond"/>
              </w:rPr>
              <w:t>and external</w:t>
            </w:r>
            <w:r w:rsidR="00CF78B6">
              <w:rPr>
                <w:rFonts w:ascii="Garamond" w:hAnsi="Garamond"/>
              </w:rPr>
              <w:t xml:space="preserve"> (off-farm)</w:t>
            </w:r>
            <w:r w:rsidR="00D60823">
              <w:rPr>
                <w:rFonts w:ascii="Garamond" w:hAnsi="Garamond"/>
              </w:rPr>
              <w:t xml:space="preserve"> </w:t>
            </w:r>
            <w:r>
              <w:rPr>
                <w:rFonts w:ascii="Garamond" w:hAnsi="Garamond"/>
              </w:rPr>
              <w:t xml:space="preserve">adaptation </w:t>
            </w:r>
          </w:p>
        </w:tc>
        <w:tc>
          <w:tcPr>
            <w:tcW w:w="2552" w:type="dxa"/>
          </w:tcPr>
          <w:p w14:paraId="5623C8ED" w14:textId="25EA9460" w:rsidR="00377579" w:rsidRDefault="006E3B16" w:rsidP="00326537">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rPr>
            </w:pPr>
            <w:r>
              <w:rPr>
                <w:rFonts w:ascii="Garamond" w:hAnsi="Garamond"/>
              </w:rPr>
              <w:t>Low aspirations and/or lack of capability</w:t>
            </w:r>
          </w:p>
        </w:tc>
        <w:tc>
          <w:tcPr>
            <w:tcW w:w="2175" w:type="dxa"/>
          </w:tcPr>
          <w:p w14:paraId="35E00E2E" w14:textId="44160C1F" w:rsidR="00377579" w:rsidRDefault="006E3B16" w:rsidP="00326537">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rPr>
            </w:pPr>
            <w:r>
              <w:rPr>
                <w:rFonts w:ascii="Garamond" w:hAnsi="Garamond"/>
              </w:rPr>
              <w:t>Relative and dynamic in a spatial and temporal sense, not absolute immobility</w:t>
            </w:r>
          </w:p>
        </w:tc>
      </w:tr>
      <w:tr w:rsidR="00C03980" w14:paraId="1EF0F068" w14:textId="77777777" w:rsidTr="007856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Pr>
          <w:p w14:paraId="505A5E00" w14:textId="4A78EA4A" w:rsidR="00C03980" w:rsidRDefault="006E3B16" w:rsidP="00326537">
            <w:pPr>
              <w:spacing w:line="360" w:lineRule="auto"/>
              <w:jc w:val="both"/>
              <w:rPr>
                <w:rFonts w:ascii="Garamond" w:hAnsi="Garamond"/>
              </w:rPr>
            </w:pPr>
            <w:r>
              <w:rPr>
                <w:rFonts w:ascii="Garamond" w:hAnsi="Garamond"/>
              </w:rPr>
              <w:t>Main limitation</w:t>
            </w:r>
          </w:p>
        </w:tc>
        <w:tc>
          <w:tcPr>
            <w:tcW w:w="2097" w:type="dxa"/>
          </w:tcPr>
          <w:p w14:paraId="35D50AC8" w14:textId="50B96128" w:rsidR="00C03980" w:rsidRDefault="007856CE" w:rsidP="00326537">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7856CE">
              <w:rPr>
                <w:rFonts w:ascii="Garamond" w:hAnsi="Garamond"/>
              </w:rPr>
              <w:t>Overlooks intra-household inequalities by assuming equal mobility capabilities across household members, potentially underestimating vulnerability to involuntary immobility.</w:t>
            </w:r>
          </w:p>
        </w:tc>
        <w:tc>
          <w:tcPr>
            <w:tcW w:w="2552" w:type="dxa"/>
          </w:tcPr>
          <w:p w14:paraId="490B59E5" w14:textId="49970B02" w:rsidR="00C03980" w:rsidRDefault="007856CE" w:rsidP="00326537">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7856CE">
              <w:rPr>
                <w:rFonts w:ascii="Garamond" w:hAnsi="Garamond"/>
              </w:rPr>
              <w:t>The measurement of capabilities still faces important challenges, including the selection of appropriate individual-level indicators. Further differentiation is also needed between capabilities to stay and capabilities to move</w:t>
            </w:r>
            <w:r w:rsidR="006E3B16" w:rsidRPr="008B4E93">
              <w:rPr>
                <w:rStyle w:val="FootnoteReference"/>
              </w:rPr>
              <w:footnoteReference w:id="3"/>
            </w:r>
          </w:p>
        </w:tc>
        <w:tc>
          <w:tcPr>
            <w:tcW w:w="2175" w:type="dxa"/>
          </w:tcPr>
          <w:p w14:paraId="53848BB8" w14:textId="67A9830C" w:rsidR="00C03980" w:rsidRDefault="00D60823" w:rsidP="00326537">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D60823">
              <w:rPr>
                <w:rFonts w:ascii="Garamond" w:hAnsi="Garamond"/>
              </w:rPr>
              <w:t xml:space="preserve">Due to its emphasis on the relative spatio-temporal nature of mobility, even short everyday movements may be considered forms of mobility, which, as </w:t>
            </w:r>
            <w:r>
              <w:rPr>
                <w:rFonts w:ascii="Garamond" w:hAnsi="Garamond"/>
              </w:rPr>
              <w:fldChar w:fldCharType="begin"/>
            </w:r>
            <w:r w:rsidR="006B32FD">
              <w:rPr>
                <w:rFonts w:ascii="Garamond" w:hAnsi="Garamond"/>
              </w:rPr>
              <w:instrText xml:space="preserve"> ADDIN ZOTERO_ITEM CSL_CITATION {"citationID":"A7dLKgmK","properties":{"unsorted":false,"formattedCitation":"(Zickgraf, 2021)","plainCitation":"(Zickgraf, 2021)","dontUpdate":true,"noteIndex":0},"citationItems":[{"id":1809,"uris":["http://zotero.org/users/18422904/items/XQ6EBUBX"],"itemData":{"id":1809,"type":"article-journal","abstract":"The study of the relationship between environmental change and human mobility has largely focused on the movement of people as it is driven by environmental change with little regard for those who stay when faced with many of the same adverse conditions. An emerging body of work recognizes and seeks to understand the lack of migration, or immobility, in the contexts of environmental and climatic change, primarily through the notion of “trapped populations.” Theoretically, however, our understandings of immobility in relation to environmental change are underdeveloped and oversimplified, and do not do justice to the diversity, dynamism, or unevenness of (im)mobilities. In order to advance knowledge, this paper connects knowledge from environmental migration studies to immobility in broader migration research. Although there is no silver theoretical bullet, it explores the strengths and weaknesses of three frameworks in explaining and understanding (im)mobility decision-making, patterns, and consequences: (1) the New Economics of Labour Migration; (2) the aspirations-(cap)abilities framework; and (3) the mobilities paradigm. In order to break away from both sedentary and mobility biases, it asserts that scholars should theorize and analyze the entire mobility spectrum in the face of environmental change, rather than considering immobility as a separate outcome.","container-title":"Regional Environmental Change","DOI":"10.1007/s10113-021-01839-2","ISSN":"1436-378X","issue":"4","journalAbbreviation":"Reg Environ Change","language":"en","page":"126","source":"Springer Link","title":"Theorizing (im)mobility in the face of environmental change","volume":"21","author":[{"family":"Zickgraf","given":"Caroline"}],"issued":{"date-parts":[["2021",12,2]]}}}],"schema":"https://github.com/citation-style-language/schema/raw/master/csl-citation.json"} </w:instrText>
            </w:r>
            <w:r>
              <w:rPr>
                <w:rFonts w:ascii="Garamond" w:hAnsi="Garamond"/>
              </w:rPr>
              <w:fldChar w:fldCharType="separate"/>
            </w:r>
            <w:r w:rsidRPr="00D60823">
              <w:rPr>
                <w:rFonts w:ascii="Garamond" w:hAnsi="Garamond"/>
              </w:rPr>
              <w:t xml:space="preserve">Zickgraf </w:t>
            </w:r>
            <w:r>
              <w:rPr>
                <w:rFonts w:ascii="Garamond" w:hAnsi="Garamond"/>
              </w:rPr>
              <w:t>(</w:t>
            </w:r>
            <w:r w:rsidRPr="00D60823">
              <w:rPr>
                <w:rFonts w:ascii="Garamond" w:hAnsi="Garamond"/>
              </w:rPr>
              <w:t>2021)</w:t>
            </w:r>
            <w:r>
              <w:rPr>
                <w:rFonts w:ascii="Garamond" w:hAnsi="Garamond"/>
              </w:rPr>
              <w:fldChar w:fldCharType="end"/>
            </w:r>
            <w:r>
              <w:rPr>
                <w:rFonts w:ascii="Garamond" w:hAnsi="Garamond"/>
              </w:rPr>
              <w:t xml:space="preserve"> </w:t>
            </w:r>
            <w:r w:rsidRPr="00D60823">
              <w:rPr>
                <w:rFonts w:ascii="Garamond" w:hAnsi="Garamond"/>
              </w:rPr>
              <w:t xml:space="preserve">notes, risks </w:t>
            </w:r>
            <w:r w:rsidR="004B028D">
              <w:rPr>
                <w:rFonts w:ascii="Garamond" w:hAnsi="Garamond"/>
              </w:rPr>
              <w:t>making</w:t>
            </w:r>
            <w:r w:rsidRPr="00D60823">
              <w:rPr>
                <w:rFonts w:ascii="Garamond" w:hAnsi="Garamond"/>
              </w:rPr>
              <w:t xml:space="preserve"> immobility almost invisible.</w:t>
            </w:r>
          </w:p>
        </w:tc>
      </w:tr>
      <w:tr w:rsidR="006E3B16" w14:paraId="2E42252E" w14:textId="77777777" w:rsidTr="008B4E93">
        <w:tc>
          <w:tcPr>
            <w:cnfStyle w:val="001000000000" w:firstRow="0" w:lastRow="0" w:firstColumn="1" w:lastColumn="0" w:oddVBand="0" w:evenVBand="0" w:oddHBand="0" w:evenHBand="0" w:firstRowFirstColumn="0" w:firstRowLastColumn="0" w:lastRowFirstColumn="0" w:lastRowLastColumn="0"/>
            <w:tcW w:w="2014" w:type="dxa"/>
          </w:tcPr>
          <w:p w14:paraId="1DA76697" w14:textId="383E85C0" w:rsidR="006E3B16" w:rsidRDefault="006E3B16" w:rsidP="00326537">
            <w:pPr>
              <w:spacing w:line="360" w:lineRule="auto"/>
              <w:jc w:val="both"/>
              <w:rPr>
                <w:rFonts w:ascii="Garamond" w:hAnsi="Garamond"/>
              </w:rPr>
            </w:pPr>
            <w:r>
              <w:rPr>
                <w:rFonts w:ascii="Garamond" w:hAnsi="Garamond"/>
              </w:rPr>
              <w:t>Temporal dimension treatment</w:t>
            </w:r>
          </w:p>
        </w:tc>
        <w:tc>
          <w:tcPr>
            <w:tcW w:w="2097" w:type="dxa"/>
          </w:tcPr>
          <w:p w14:paraId="3A177058" w14:textId="4A21863F" w:rsidR="006E3B16" w:rsidRDefault="006E3B16" w:rsidP="00326537">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rPr>
            </w:pPr>
            <w:r>
              <w:rPr>
                <w:rFonts w:ascii="Garamond" w:hAnsi="Garamond"/>
              </w:rPr>
              <w:t xml:space="preserve">Partial, recognizes that household-level migration may emerge over time as a last resort adaption strategy after local coping </w:t>
            </w:r>
            <w:r w:rsidR="00FA305C">
              <w:rPr>
                <w:rFonts w:ascii="Garamond" w:hAnsi="Garamond"/>
              </w:rPr>
              <w:t xml:space="preserve">strategies are </w:t>
            </w:r>
            <w:r>
              <w:rPr>
                <w:rFonts w:ascii="Garamond" w:hAnsi="Garamond"/>
              </w:rPr>
              <w:t>exhausted.</w:t>
            </w:r>
          </w:p>
        </w:tc>
        <w:tc>
          <w:tcPr>
            <w:tcW w:w="2552" w:type="dxa"/>
          </w:tcPr>
          <w:p w14:paraId="303DB05E" w14:textId="1E2F0250" w:rsidR="006E3B16" w:rsidRDefault="00D60823" w:rsidP="00326537">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rPr>
            </w:pPr>
            <w:r>
              <w:rPr>
                <w:rFonts w:ascii="Garamond" w:hAnsi="Garamond"/>
              </w:rPr>
              <w:t xml:space="preserve">Not explicit. However, some authors like </w:t>
            </w:r>
            <w:r>
              <w:rPr>
                <w:rFonts w:ascii="Garamond" w:hAnsi="Garamond"/>
              </w:rPr>
              <w:fldChar w:fldCharType="begin"/>
            </w:r>
            <w:r w:rsidR="006B32FD">
              <w:rPr>
                <w:rFonts w:ascii="Garamond" w:hAnsi="Garamond"/>
              </w:rPr>
              <w:instrText xml:space="preserve"> ADDIN ZOTERO_ITEM CSL_CITATION {"citationID":"wRbwxfLe","properties":{"unsorted":false,"formattedCitation":"(Sengupta, 2025)","plainCitation":"(Sengupta, 2025)","dontUpdate":true,"noteIndex":0},"citationItems":[{"id":9,"uris":["http://zotero.org/users/18422904/items/BKFLSSJU"],"itemData":{"id":9,"type":"article-journal","abstract":"Environmental migration research has traditionally focused on mobility outcomes in the face of environmental change. However, the ‘trapped populations’ concept introduced in the influential Foresight Report (2011) drew attention to immobility outcomes owing to people’s inability or unwillingness to migrate away from environmentally high-risk settings. To assess the evolution of the empirical research landscape of environmental immobility, this paper systematically reviews 55 studies in terms of their thematic focus areas, theoretical and methodological concerns, geographical distribution, the interplay between environmental and societal contexts, the characterisation of immobility processes, and interrelations with mobility processes. The findings suggest a predominant focus on the causes of immobility based on a dichotomisation of immobility as ‘forced’ and ‘voluntary’. Using insights from migration theory, this paper provides a schematic framework that helps us think analytically about environmental immobility processes in terms of a continuum of choices and constraints and implications for stayers’ well-being.","container-title":"Ambio","DOI":"10.1007/s13280-025-02195-9","ISSN":"1654-7209","issue":"11","journalAbbreviation":"Ambio","language":"en","page":"1729-1756","source":"Springer Link","title":"Environmental immobility: A systematic review of empirical research","title-short":"Environmental immobility","volume":"54","author":[{"family":"Sengupta","given":"Moitrayee"}],"issued":{"date-parts":[["2025",11,1]]}}}],"schema":"https://github.com/citation-style-language/schema/raw/master/csl-citation.json"} </w:instrText>
            </w:r>
            <w:r>
              <w:rPr>
                <w:rFonts w:ascii="Garamond" w:hAnsi="Garamond"/>
              </w:rPr>
              <w:fldChar w:fldCharType="separate"/>
            </w:r>
            <w:r w:rsidRPr="00D60823">
              <w:rPr>
                <w:rFonts w:ascii="Garamond" w:hAnsi="Garamond"/>
              </w:rPr>
              <w:t>Sengupt</w:t>
            </w:r>
            <w:r>
              <w:rPr>
                <w:rFonts w:ascii="Garamond" w:hAnsi="Garamond"/>
              </w:rPr>
              <w:t>a (</w:t>
            </w:r>
            <w:r w:rsidRPr="00D60823">
              <w:rPr>
                <w:rFonts w:ascii="Garamond" w:hAnsi="Garamond"/>
              </w:rPr>
              <w:t>2025)</w:t>
            </w:r>
            <w:r>
              <w:rPr>
                <w:rFonts w:ascii="Garamond" w:hAnsi="Garamond"/>
              </w:rPr>
              <w:fldChar w:fldCharType="end"/>
            </w:r>
            <w:r w:rsidR="00FA305C">
              <w:rPr>
                <w:rFonts w:ascii="Garamond" w:hAnsi="Garamond"/>
              </w:rPr>
              <w:t>, by proposing a continuum approach</w:t>
            </w:r>
            <w:r w:rsidR="005477C4">
              <w:rPr>
                <w:rFonts w:ascii="Garamond" w:hAnsi="Garamond"/>
              </w:rPr>
              <w:t xml:space="preserve"> (discussed below)</w:t>
            </w:r>
            <w:r w:rsidR="00FA305C">
              <w:rPr>
                <w:rFonts w:ascii="Garamond" w:hAnsi="Garamond"/>
              </w:rPr>
              <w:t>,</w:t>
            </w:r>
            <w:r>
              <w:rPr>
                <w:rFonts w:ascii="Garamond" w:hAnsi="Garamond"/>
              </w:rPr>
              <w:t xml:space="preserve"> have expanded upon the original framework to incorporate this</w:t>
            </w:r>
            <w:r w:rsidR="007856CE">
              <w:rPr>
                <w:rFonts w:ascii="Garamond" w:hAnsi="Garamond"/>
              </w:rPr>
              <w:t xml:space="preserve"> layer of analysis</w:t>
            </w:r>
            <w:r>
              <w:rPr>
                <w:rFonts w:ascii="Garamond" w:hAnsi="Garamond"/>
              </w:rPr>
              <w:t>.</w:t>
            </w:r>
          </w:p>
        </w:tc>
        <w:tc>
          <w:tcPr>
            <w:tcW w:w="2175" w:type="dxa"/>
          </w:tcPr>
          <w:p w14:paraId="49A3DC2A" w14:textId="0A3DF612" w:rsidR="006E3B16" w:rsidRDefault="00D60823" w:rsidP="00326537">
            <w:pPr>
              <w:spacing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rPr>
            </w:pPr>
            <w:r>
              <w:rPr>
                <w:rFonts w:ascii="Garamond" w:hAnsi="Garamond"/>
              </w:rPr>
              <w:t>Central to the framework</w:t>
            </w:r>
          </w:p>
        </w:tc>
      </w:tr>
      <w:tr w:rsidR="008B4E93" w14:paraId="73DB001E" w14:textId="77777777" w:rsidTr="007856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Borders>
              <w:bottom w:val="single" w:sz="4" w:space="0" w:color="000000"/>
            </w:tcBorders>
          </w:tcPr>
          <w:p w14:paraId="3DA29BD4" w14:textId="74E034D3" w:rsidR="008B4E93" w:rsidRDefault="006B32FD" w:rsidP="008B4E93">
            <w:pPr>
              <w:spacing w:line="360" w:lineRule="auto"/>
              <w:jc w:val="both"/>
              <w:rPr>
                <w:rFonts w:ascii="Garamond" w:hAnsi="Garamond"/>
              </w:rPr>
            </w:pPr>
            <w:r>
              <w:rPr>
                <w:rFonts w:ascii="Garamond" w:hAnsi="Garamond"/>
              </w:rPr>
              <w:lastRenderedPageBreak/>
              <w:t>Types of capabilities operationalizations</w:t>
            </w:r>
          </w:p>
        </w:tc>
        <w:tc>
          <w:tcPr>
            <w:tcW w:w="2097" w:type="dxa"/>
            <w:tcBorders>
              <w:bottom w:val="single" w:sz="4" w:space="0" w:color="000000"/>
            </w:tcBorders>
          </w:tcPr>
          <w:p w14:paraId="2A2A30CA" w14:textId="77777777" w:rsidR="008B4E93" w:rsidRDefault="008B4E93" w:rsidP="008B4E93">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rPr>
            </w:pPr>
            <w:r>
              <w:rPr>
                <w:rFonts w:ascii="Garamond" w:hAnsi="Garamond"/>
              </w:rPr>
              <w:t>Household assets index</w:t>
            </w:r>
          </w:p>
          <w:p w14:paraId="2240DECC" w14:textId="6125E237" w:rsidR="008B4E93" w:rsidRPr="006B32FD" w:rsidRDefault="008B4E93" w:rsidP="008B4E93">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rPr>
            </w:pPr>
            <w:r>
              <w:rPr>
                <w:rFonts w:ascii="Garamond" w:hAnsi="Garamond"/>
              </w:rPr>
              <w:t>Household assets value</w:t>
            </w:r>
          </w:p>
        </w:tc>
        <w:tc>
          <w:tcPr>
            <w:tcW w:w="2552" w:type="dxa"/>
            <w:tcBorders>
              <w:bottom w:val="single" w:sz="4" w:space="0" w:color="000000"/>
            </w:tcBorders>
          </w:tcPr>
          <w:p w14:paraId="5E67E704" w14:textId="77777777" w:rsidR="008B4E93" w:rsidRDefault="008B4E93" w:rsidP="008B4E93">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rPr>
            </w:pPr>
            <w:r>
              <w:rPr>
                <w:rFonts w:ascii="Garamond" w:hAnsi="Garamond"/>
              </w:rPr>
              <w:t>Employment status</w:t>
            </w:r>
          </w:p>
          <w:p w14:paraId="2DAFF63A" w14:textId="53166197" w:rsidR="008B4E93" w:rsidRDefault="008B4E93" w:rsidP="008B4E93">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rPr>
            </w:pPr>
            <w:r>
              <w:rPr>
                <w:rFonts w:ascii="Garamond" w:hAnsi="Garamond"/>
              </w:rPr>
              <w:t>Education level</w:t>
            </w:r>
          </w:p>
        </w:tc>
        <w:tc>
          <w:tcPr>
            <w:tcW w:w="2175" w:type="dxa"/>
            <w:tcBorders>
              <w:bottom w:val="single" w:sz="4" w:space="0" w:color="000000"/>
            </w:tcBorders>
          </w:tcPr>
          <w:p w14:paraId="5285D8CD" w14:textId="1EF2B6B8" w:rsidR="008B4E93" w:rsidRDefault="008B4E93" w:rsidP="008B4E93">
            <w:pPr>
              <w:spacing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rPr>
            </w:pPr>
            <w:r>
              <w:rPr>
                <w:rFonts w:ascii="Garamond" w:hAnsi="Garamond"/>
              </w:rPr>
              <w:t>Not applicable</w:t>
            </w:r>
          </w:p>
        </w:tc>
      </w:tr>
    </w:tbl>
    <w:p w14:paraId="05455369" w14:textId="7D8F360C" w:rsidR="00326537" w:rsidRPr="008B3403" w:rsidRDefault="00E83E25" w:rsidP="007A47EB">
      <w:pPr>
        <w:spacing w:line="360" w:lineRule="auto"/>
        <w:jc w:val="both"/>
      </w:pPr>
      <w:r>
        <w:t>Source: Author</w:t>
      </w:r>
    </w:p>
    <w:p w14:paraId="79AC05A9" w14:textId="767FA072" w:rsidR="00FC44BF" w:rsidRPr="00A86A91" w:rsidRDefault="005820ED" w:rsidP="00A86A91">
      <w:pPr>
        <w:pStyle w:val="Heading2"/>
        <w:numPr>
          <w:ilvl w:val="1"/>
          <w:numId w:val="4"/>
        </w:numPr>
        <w:rPr>
          <w:b/>
          <w:bCs/>
          <w:color w:val="000000" w:themeColor="text1"/>
          <w:sz w:val="24"/>
          <w:szCs w:val="24"/>
        </w:rPr>
      </w:pPr>
      <w:bookmarkStart w:id="16" w:name="_Toc230511840"/>
      <w:r w:rsidRPr="00A86A91">
        <w:rPr>
          <w:b/>
          <w:bCs/>
          <w:color w:val="000000" w:themeColor="text1"/>
          <w:sz w:val="24"/>
          <w:szCs w:val="24"/>
        </w:rPr>
        <w:t>Unidimensional o</w:t>
      </w:r>
      <w:r w:rsidR="00B673C5" w:rsidRPr="00A86A91">
        <w:rPr>
          <w:b/>
          <w:bCs/>
          <w:color w:val="000000" w:themeColor="text1"/>
          <w:sz w:val="24"/>
          <w:szCs w:val="24"/>
        </w:rPr>
        <w:t>perationalizations of migration capabilities</w:t>
      </w:r>
      <w:bookmarkEnd w:id="16"/>
    </w:p>
    <w:p w14:paraId="0C12E061" w14:textId="05BA3C12" w:rsidR="006959E5" w:rsidRPr="006B32FD" w:rsidRDefault="008B4E93" w:rsidP="006B32FD">
      <w:pPr>
        <w:spacing w:line="360" w:lineRule="auto"/>
        <w:jc w:val="both"/>
        <w:rPr>
          <w:rFonts w:eastAsia="Times New Roman" w:cs="Times New Roman"/>
          <w:kern w:val="0"/>
          <w:lang w:eastAsia="en-CA"/>
          <w14:ligatures w14:val="none"/>
        </w:rPr>
      </w:pPr>
      <w:r w:rsidRPr="008B4E93">
        <w:rPr>
          <w:rFonts w:eastAsia="Times New Roman" w:cs="Times New Roman"/>
          <w:kern w:val="0"/>
          <w:lang w:eastAsia="en-CA"/>
          <w14:ligatures w14:val="none"/>
        </w:rPr>
        <w:t xml:space="preserve">As already suggested, the theoretical frameworks discussed above have important implications for how mobility capabilities are operationalized empirically. </w:t>
      </w:r>
      <w:r w:rsidR="003953B1">
        <w:rPr>
          <w:rFonts w:eastAsia="Times New Roman" w:cs="Times New Roman"/>
          <w:kern w:val="0"/>
          <w:lang w:eastAsia="en-CA"/>
          <w14:ligatures w14:val="none"/>
        </w:rPr>
        <w:t xml:space="preserve">It’s important to clarify that, due to the emergent nature of the field, </w:t>
      </w:r>
      <w:r w:rsidRPr="008B4E93">
        <w:rPr>
          <w:rFonts w:eastAsia="Times New Roman" w:cs="Times New Roman"/>
          <w:kern w:val="0"/>
          <w:lang w:eastAsia="en-CA"/>
          <w14:ligatures w14:val="none"/>
        </w:rPr>
        <w:t>many operationalizations remain author-specific proposals rather than standardized indicators</w:t>
      </w:r>
      <w:r w:rsidR="003953B1">
        <w:rPr>
          <w:rFonts w:eastAsia="Times New Roman" w:cs="Times New Roman"/>
          <w:kern w:val="0"/>
          <w:lang w:eastAsia="en-CA"/>
          <w14:ligatures w14:val="none"/>
        </w:rPr>
        <w:t xml:space="preserve"> like </w:t>
      </w:r>
      <w:r w:rsidR="007C5C79">
        <w:rPr>
          <w:rFonts w:eastAsia="Times New Roman" w:cs="Times New Roman"/>
          <w:kern w:val="0"/>
          <w:lang w:eastAsia="en-CA"/>
          <w14:ligatures w14:val="none"/>
        </w:rPr>
        <w:t>those</w:t>
      </w:r>
      <w:r w:rsidR="003953B1">
        <w:rPr>
          <w:rFonts w:eastAsia="Times New Roman" w:cs="Times New Roman"/>
          <w:kern w:val="0"/>
          <w:lang w:eastAsia="en-CA"/>
          <w14:ligatures w14:val="none"/>
        </w:rPr>
        <w:t xml:space="preserve"> found in studies related to food security</w:t>
      </w:r>
      <w:r w:rsidR="007C5C79">
        <w:rPr>
          <w:rFonts w:eastAsia="Times New Roman" w:cs="Times New Roman"/>
          <w:kern w:val="0"/>
          <w:lang w:eastAsia="en-CA"/>
          <w14:ligatures w14:val="none"/>
        </w:rPr>
        <w:t>, for example</w:t>
      </w:r>
      <w:r w:rsidRPr="008B4E93">
        <w:rPr>
          <w:rFonts w:eastAsia="Times New Roman" w:cs="Times New Roman"/>
          <w:kern w:val="0"/>
          <w:lang w:eastAsia="en-CA"/>
          <w14:ligatures w14:val="none"/>
        </w:rPr>
        <w:t>. To organize the literature, this review distinguishes between unidimensional and multidimensional operationalizations of mobility capabilities. Unidimensional approaches capture only one dimension of mobility constraints, such as financial, human, social, political, or natural capital. In contrast, multidimensional operationalizations aggregate several dimensions into a single composite indicator.</w:t>
      </w:r>
    </w:p>
    <w:p w14:paraId="680C56D1" w14:textId="2EFD432C" w:rsidR="00FC44BF" w:rsidRPr="00A86A91" w:rsidRDefault="005820ED" w:rsidP="00A86A91">
      <w:pPr>
        <w:pStyle w:val="Heading3"/>
        <w:numPr>
          <w:ilvl w:val="2"/>
          <w:numId w:val="4"/>
        </w:numPr>
        <w:rPr>
          <w:b/>
          <w:bCs/>
          <w:color w:val="000000" w:themeColor="text1"/>
          <w:sz w:val="24"/>
          <w:szCs w:val="24"/>
        </w:rPr>
      </w:pPr>
      <w:bookmarkStart w:id="17" w:name="_Toc230511841"/>
      <w:r w:rsidRPr="00A86A91">
        <w:rPr>
          <w:b/>
          <w:bCs/>
          <w:color w:val="000000" w:themeColor="text1"/>
          <w:sz w:val="24"/>
          <w:szCs w:val="24"/>
        </w:rPr>
        <w:t>Financial dimension</w:t>
      </w:r>
      <w:bookmarkEnd w:id="17"/>
    </w:p>
    <w:p w14:paraId="22E0917D" w14:textId="3D331297" w:rsidR="00FC44BF" w:rsidRPr="00A86A91" w:rsidRDefault="005820ED" w:rsidP="00A86A91">
      <w:pPr>
        <w:pStyle w:val="Heading4"/>
        <w:numPr>
          <w:ilvl w:val="3"/>
          <w:numId w:val="4"/>
        </w:numPr>
        <w:rPr>
          <w:b/>
          <w:bCs/>
          <w:color w:val="000000" w:themeColor="text1"/>
        </w:rPr>
      </w:pPr>
      <w:r w:rsidRPr="00A86A91">
        <w:rPr>
          <w:b/>
          <w:bCs/>
          <w:color w:val="000000" w:themeColor="text1"/>
        </w:rPr>
        <w:t>Employment status</w:t>
      </w:r>
    </w:p>
    <w:p w14:paraId="0A5B083B" w14:textId="050D3EE5" w:rsidR="006B32FD" w:rsidRDefault="002035FE" w:rsidP="00CF78B6">
      <w:pPr>
        <w:spacing w:line="360" w:lineRule="auto"/>
        <w:jc w:val="both"/>
      </w:pPr>
      <w:r w:rsidRPr="002035FE">
        <w:t xml:space="preserve">In individual-level studies of immobility, which often employ the aspirations–capabilities framework, one of the most common proxies for migration capability is employment status. For example, </w:t>
      </w:r>
      <w:r w:rsidR="00FA7C1A">
        <w:fldChar w:fldCharType="begin"/>
      </w:r>
      <w:r w:rsidR="004B028D">
        <w:instrText xml:space="preserve"> ADDIN ZOTERO_ITEM CSL_CITATION {"citationID":"LAhQqOp2","properties":{"unsorted":false,"formattedCitation":"(DeWaard et\\uc0\\u160{}al., 2022)","plainCitation":"(DeWaard et al., 2022)","dontUpdate":true,"noteIndex":0},"citationItems":[{"id":24,"uris":["http://zotero.org/users/18422904/items/UXXS6JME"],"itemData":{"id":24,"type":"article-journal","abstract":"In this paper, we propose a guiding operational definition and corresponding set of empirical steps to identify and study trapped populations. Trapped populations consist of actors who are highly vulnerable to climate and environmental stressors given limited resources (economic, social, etc.), which limit their ability to adapt to these stressors in-situ or by choosing to migrate. Informed by both insights and omissions from prior theoretical and empirical research, we propose a guiding operational definition of trapped populations that appreciates and incorporates actors’ limited resources and their migration intentions against the backdrop of climate and environmental stressors. As it should, our operational definition points to a specific set of operations, or steps, which can be followed to empirically identify and study trapped populations. Using data from the Mexican Family Life Survey (MxFLS), we detail the steps permitting both retrospective and prospective identification of trapped populations. We conclude by discussing the strengths and weaknesses of our operational definition and empirical approach, as well as possible extensions.","container-title":"Regional environmental change","DOI":"10.1007/s10113-022-01882-7","ISSN":"1436-3798","issue":"1","journalAbbreviation":"Reg Environ Change","page":"29","PMID":"35422672","PMCID":"PMC9004677","source":"PubMed Central","title":"Operationalizing and empirically identifying populations trapped in place by climate and environmental stressors in Mexico","volume":"22","author":[{"family":"DeWaard","given":"Jack"},{"family":"Hunter","given":"Lori M."},{"family":"Mathews","given":"Mason"},{"family":"Quiñones","given":"Esteban J."},{"family":"Riosmena","given":"Fernando"},{"family":"Simon","given":"Daniel H."}],"issued":{"date-parts":[["2022",3]]}}}],"schema":"https://github.com/citation-style-language/schema/raw/master/csl-citation.json"} </w:instrText>
      </w:r>
      <w:r w:rsidR="00FA7C1A">
        <w:fldChar w:fldCharType="separate"/>
      </w:r>
      <w:r w:rsidR="00FA7C1A" w:rsidRPr="00FA7C1A">
        <w:rPr>
          <w:rFonts w:ascii="Garamond" w:hAnsi="Garamond" w:cs="Times New Roman"/>
          <w:kern w:val="0"/>
        </w:rPr>
        <w:t xml:space="preserve">DeWaard et al., </w:t>
      </w:r>
      <w:r w:rsidR="00FA7C1A">
        <w:rPr>
          <w:rFonts w:ascii="Garamond" w:hAnsi="Garamond" w:cs="Times New Roman"/>
          <w:kern w:val="0"/>
        </w:rPr>
        <w:t>(</w:t>
      </w:r>
      <w:r w:rsidR="00FA7C1A" w:rsidRPr="00FA7C1A">
        <w:rPr>
          <w:rFonts w:ascii="Garamond" w:hAnsi="Garamond" w:cs="Times New Roman"/>
          <w:kern w:val="0"/>
        </w:rPr>
        <w:t>2022)</w:t>
      </w:r>
      <w:r w:rsidR="00FA7C1A">
        <w:fldChar w:fldCharType="end"/>
      </w:r>
      <w:r w:rsidR="00FA7C1A">
        <w:t xml:space="preserve"> </w:t>
      </w:r>
      <w:r w:rsidR="00060642" w:rsidRPr="00060642">
        <w:t xml:space="preserve">use this indicator to identify </w:t>
      </w:r>
      <w:r w:rsidR="004B028D">
        <w:t>immobile</w:t>
      </w:r>
      <w:r w:rsidR="00060642" w:rsidRPr="00060642">
        <w:t xml:space="preserve"> populations in Mexico, assuming that as migration requires economic resources, having a job provides individuals with them. However, two important limitations could emerge, particularly in developing country contexts. First, employment may not be the only means through which migration is financed. For example, </w:t>
      </w:r>
      <w:r w:rsidR="00060642">
        <w:t>a recent</w:t>
      </w:r>
      <w:r w:rsidR="00060642" w:rsidRPr="00060642">
        <w:t xml:space="preserve"> </w:t>
      </w:r>
      <w:r w:rsidR="00060642">
        <w:fldChar w:fldCharType="begin"/>
      </w:r>
      <w:r w:rsidR="00FA7C1A">
        <w:instrText xml:space="preserve"> ADDIN ZOTERO_ITEM CSL_CITATION {"citationID":"CxczHUGX","properties":{"unsorted":false,"formattedCitation":"(IOM, 2019)","plainCitation":"(IOM, 2019)","dontUpdate":true,"noteIndex":0},"citationItems":[{"id":1843,"uris":["http://zotero.org/users/18422904/items/RAF3NECW"],"itemData":{"id":1843,"type":"article-journal","abstract":"Debt and indebtedness are central to the lives of migrants from South-East Asia. Indebtedness can motivate the need for migration and, conversely, migrants regularly use loans to finance costly cross-border moves. The remittances that migrants then send home are often used to repay household debt. Yet while debt is frequently linked to migration, we are only now beginning to understand the scope and impact of debt on migrants’ lives.","language":"en","source":"publications.iom.int","title":"Debt and the Migration Experience: Insights from South-East Asia","title-short":"Debt and the Migration Experience","URL":"https://publications.iom.int/system/files/pdf/debt_and_the_migration_experience_insights_from_southeast_asia_2.pdf?","author":[{"family":"IOM","given":""}],"accessed":{"date-parts":[["2026",5,20]]},"issued":{"date-parts":[["2019"]]}}}],"schema":"https://github.com/citation-style-language/schema/raw/master/csl-citation.json"} </w:instrText>
      </w:r>
      <w:r w:rsidR="00060642">
        <w:fldChar w:fldCharType="separate"/>
      </w:r>
      <w:r w:rsidR="00060642" w:rsidRPr="00060642">
        <w:rPr>
          <w:rFonts w:ascii="Garamond" w:hAnsi="Garamond"/>
        </w:rPr>
        <w:t>IOM</w:t>
      </w:r>
      <w:r w:rsidR="00060642">
        <w:rPr>
          <w:rFonts w:ascii="Garamond" w:hAnsi="Garamond"/>
        </w:rPr>
        <w:t xml:space="preserve"> (</w:t>
      </w:r>
      <w:r w:rsidR="00060642" w:rsidRPr="00060642">
        <w:rPr>
          <w:rFonts w:ascii="Garamond" w:hAnsi="Garamond"/>
        </w:rPr>
        <w:t>2019)</w:t>
      </w:r>
      <w:r w:rsidR="00060642">
        <w:fldChar w:fldCharType="end"/>
      </w:r>
      <w:r w:rsidR="00060642">
        <w:t xml:space="preserve"> </w:t>
      </w:r>
      <w:r w:rsidR="00060642" w:rsidRPr="00060642">
        <w:t>report documents that migration in many regions is frequently financed either through wage-deduction arrangements</w:t>
      </w:r>
      <w:r w:rsidR="00060642">
        <w:t>,</w:t>
      </w:r>
      <w:r w:rsidR="00060642" w:rsidRPr="00060642">
        <w:t xml:space="preserve"> whereby migrants repay migration costs through deductions from future earnings in destination jobs</w:t>
      </w:r>
      <w:r w:rsidR="00060642">
        <w:t>,</w:t>
      </w:r>
      <w:r w:rsidR="00060642" w:rsidRPr="00060642">
        <w:t xml:space="preserve"> or through loans obtained from informal lenders, relatives, or microfinance institutions. Consequently, access to migration financing may not depend exclusively on current employment status, but also on individuals’ access to informal credit mechanisms and social support networks.</w:t>
      </w:r>
    </w:p>
    <w:p w14:paraId="61D9A222" w14:textId="1170CCB2" w:rsidR="0086114D" w:rsidRDefault="002035FE" w:rsidP="00CF78B6">
      <w:pPr>
        <w:spacing w:line="360" w:lineRule="auto"/>
        <w:jc w:val="both"/>
      </w:pPr>
      <w:r w:rsidRPr="002035FE">
        <w:t xml:space="preserve">Second, employment status alone may inadequately capture effective mobility capability in contexts where informality and precarious labour conditions are widespread. </w:t>
      </w:r>
      <w:r w:rsidR="006B32FD">
        <w:t xml:space="preserve">For example, the </w:t>
      </w:r>
      <w:r w:rsidR="006B32FD">
        <w:lastRenderedPageBreak/>
        <w:t>latest ILO world outlook report estimates that for 2024</w:t>
      </w:r>
      <w:r w:rsidR="00060642">
        <w:t xml:space="preserve">, </w:t>
      </w:r>
      <w:r w:rsidR="006B32FD">
        <w:t xml:space="preserve">88.5% of people in low-income countries worked in the informal </w:t>
      </w:r>
      <w:r w:rsidR="004B028D">
        <w:t>sector</w:t>
      </w:r>
      <w:r w:rsidR="006B32FD">
        <w:t>.</w:t>
      </w:r>
      <w:r w:rsidR="00060642">
        <w:t xml:space="preserve"> </w:t>
      </w:r>
      <w:r w:rsidRPr="004B028D">
        <w:rPr>
          <w:highlight w:val="red"/>
        </w:rPr>
        <w:t xml:space="preserve">For instance, if </w:t>
      </w:r>
      <w:r w:rsidR="006710D5">
        <w:rPr>
          <w:highlight w:val="red"/>
        </w:rPr>
        <w:t xml:space="preserve">some groups of people are under or over represented in jobs with precarious conditions this </w:t>
      </w:r>
      <w:r w:rsidRPr="004B028D">
        <w:rPr>
          <w:highlight w:val="red"/>
        </w:rPr>
        <w:t>proxy may under</w:t>
      </w:r>
      <w:r w:rsidR="006710D5">
        <w:rPr>
          <w:highlight w:val="red"/>
        </w:rPr>
        <w:t xml:space="preserve"> or over </w:t>
      </w:r>
      <w:r w:rsidRPr="004B028D">
        <w:rPr>
          <w:highlight w:val="red"/>
        </w:rPr>
        <w:t>estimate their vulnerability to involuntary immobility</w:t>
      </w:r>
      <w:r w:rsidRPr="002035FE">
        <w:t xml:space="preserve">. </w:t>
      </w:r>
      <w:r w:rsidR="005477C4">
        <w:t xml:space="preserve">In </w:t>
      </w:r>
      <w:r w:rsidR="004E2E3F">
        <w:t>a similar</w:t>
      </w:r>
      <w:r w:rsidR="005477C4">
        <w:t xml:space="preserve"> argument, </w:t>
      </w:r>
      <w:r w:rsidR="005477C4">
        <w:fldChar w:fldCharType="begin"/>
      </w:r>
      <w:r w:rsidR="00FA7C1A">
        <w:instrText xml:space="preserve"> ADDIN ZOTERO_ITEM CSL_CITATION {"citationID":"VUkQcS9A","properties":{"unsorted":false,"formattedCitation":"(Villarreal &amp; Blanchard, 2013)","plainCitation":"(Villarreal &amp; Blanchard, 2013)","dontUpdate":true,"noteIndex":0},"citationItems":[{"id":1840,"uris":["http://zotero.org/users/18422904/items/B9D7FPX4"],"itemData":{"id":1840,"type":"article-journal","abstract":"Despite the importance given to employment opportunities as a primary motive for migration, previous studies have paid insufficient attention to the kinds of jobs that are more likely to retain workers in their countries of origin. We use information from a panel survey of Mexican adults to examine how job characteristics affect the risk of international migration. The sampling strategy and overall size of the survey allow us to analyze the effect of employment characteristics on migration from urban areas, which have much greater labor market diversity, and to separate our analysis by gender. We also distinguish migrants according to whether they migrate for work or for other reasons. We find informality to be a significant predictor of international migration. Even after controlling for individual factors including workers’ wages, as well as various household- and community-level predictors, we find that workers employed in the informal sector have significantly higher odds of migrating than their counterparts in the formal sector. The pervasive nature of informality in many developing countries from which a high proportion of international migrants originate may therefore create a constant supply of workers who are predisposed to migrate. Our findings thus have important implications for a proper understanding of the effects of economic development on migration.","container-title":"Demography","DOI":"10.1007/s13524-012-0153-5","ISSN":"0070-3370","issue":"2","journalAbbreviation":"Demography","page":"751-775","PMID":"23073750","PMCID":"PMC4865380","source":"PubMed Central","title":"HOW JOB CHARACTERISTICS AFFECT INTERNATIONAL MIGRATION: THE ROLE OF INFORMALITY IN MEXICO","title-short":"HOW JOB CHARACTERISTICS AFFECT INTERNATIONAL MIGRATION","volume":"50","author":[{"family":"Villarreal","given":"Andrés"},{"family":"Blanchard","given":"Sarah"}],"issued":{"date-parts":[["2013",4]]}}}],"schema":"https://github.com/citation-style-language/schema/raw/master/csl-citation.json"} </w:instrText>
      </w:r>
      <w:r w:rsidR="005477C4">
        <w:fldChar w:fldCharType="separate"/>
      </w:r>
      <w:r w:rsidR="005477C4" w:rsidRPr="005477C4">
        <w:rPr>
          <w:rFonts w:ascii="Garamond" w:hAnsi="Garamond"/>
        </w:rPr>
        <w:t>Villarreal &amp; Blanchard</w:t>
      </w:r>
      <w:r w:rsidR="005477C4">
        <w:rPr>
          <w:rFonts w:ascii="Garamond" w:hAnsi="Garamond"/>
        </w:rPr>
        <w:t xml:space="preserve"> (</w:t>
      </w:r>
      <w:r w:rsidR="005477C4" w:rsidRPr="005477C4">
        <w:rPr>
          <w:rFonts w:ascii="Garamond" w:hAnsi="Garamond"/>
        </w:rPr>
        <w:t>2013)</w:t>
      </w:r>
      <w:r w:rsidR="005477C4">
        <w:fldChar w:fldCharType="end"/>
      </w:r>
      <w:r w:rsidR="004E2E3F" w:rsidRPr="004E2E3F">
        <w:t xml:space="preserve"> show that </w:t>
      </w:r>
      <w:r w:rsidR="004E2E3F">
        <w:t>the retain potential of jobs is</w:t>
      </w:r>
      <w:r w:rsidR="004E2E3F" w:rsidRPr="004E2E3F">
        <w:t xml:space="preserve"> shaped not only by employment status itself, but also by </w:t>
      </w:r>
      <w:r w:rsidR="00EE36F8">
        <w:t xml:space="preserve">non-pecuniary </w:t>
      </w:r>
      <w:r w:rsidR="004E2E3F" w:rsidRPr="004E2E3F">
        <w:t xml:space="preserve">characteristics of </w:t>
      </w:r>
      <w:r w:rsidR="00EE36F8">
        <w:t>the jobs.</w:t>
      </w:r>
      <w:r w:rsidR="006710D5">
        <w:t xml:space="preserve"> As an example, the authors find that some types of informal labour, such as self-employment, confers people with more autonomy, which in turn, reduces their desire to migrate.</w:t>
      </w:r>
      <w:r w:rsidR="004E2E3F">
        <w:t xml:space="preserve"> </w:t>
      </w:r>
      <w:r w:rsidR="004E2E3F" w:rsidRPr="004E2E3F">
        <w:t xml:space="preserve">By extension, this could suggest that different forms of employment may shape migration aspirations and capabilities in distinct </w:t>
      </w:r>
      <w:r w:rsidR="006710D5" w:rsidRPr="004E2E3F">
        <w:t>ways</w:t>
      </w:r>
      <w:r w:rsidR="006710D5">
        <w:t>.</w:t>
      </w:r>
      <w:r w:rsidR="004E2E3F">
        <w:t xml:space="preserve"> </w:t>
      </w:r>
      <w:r w:rsidRPr="004B028D">
        <w:rPr>
          <w:highlight w:val="red"/>
        </w:rPr>
        <w:t xml:space="preserve">More broadly, whether this indicator overestimates or underestimates trapped populations or incorrectly identifies them </w:t>
      </w:r>
      <w:r w:rsidR="0067023C" w:rsidRPr="004B028D">
        <w:rPr>
          <w:highlight w:val="red"/>
        </w:rPr>
        <w:t xml:space="preserve">could </w:t>
      </w:r>
      <w:r w:rsidRPr="004B028D">
        <w:rPr>
          <w:highlight w:val="red"/>
        </w:rPr>
        <w:t xml:space="preserve">ultimately depend on how employment conditions and access to other means of financing migration, are distributed across </w:t>
      </w:r>
      <w:r w:rsidR="001A721F">
        <w:rPr>
          <w:highlight w:val="red"/>
        </w:rPr>
        <w:t>the sample</w:t>
      </w:r>
      <w:r w:rsidRPr="004B028D">
        <w:rPr>
          <w:highlight w:val="red"/>
        </w:rPr>
        <w:t>.</w:t>
      </w:r>
      <w:r>
        <w:t xml:space="preserve"> </w:t>
      </w:r>
    </w:p>
    <w:p w14:paraId="30D47281" w14:textId="5E60AAD0" w:rsidR="00FC44BF" w:rsidRDefault="005820ED" w:rsidP="00A86A91">
      <w:pPr>
        <w:pStyle w:val="Heading4"/>
        <w:numPr>
          <w:ilvl w:val="3"/>
          <w:numId w:val="4"/>
        </w:numPr>
        <w:rPr>
          <w:b/>
          <w:bCs/>
          <w:color w:val="000000" w:themeColor="text1"/>
        </w:rPr>
      </w:pPr>
      <w:commentRangeStart w:id="18"/>
      <w:commentRangeStart w:id="19"/>
      <w:r w:rsidRPr="00A86A91">
        <w:rPr>
          <w:b/>
          <w:bCs/>
          <w:color w:val="000000" w:themeColor="text1"/>
        </w:rPr>
        <w:t>Household’s asset</w:t>
      </w:r>
      <w:r w:rsidR="008A5927" w:rsidRPr="00A86A91">
        <w:rPr>
          <w:b/>
          <w:bCs/>
          <w:color w:val="000000" w:themeColor="text1"/>
        </w:rPr>
        <w:t xml:space="preserve"> ownership</w:t>
      </w:r>
      <w:commentRangeEnd w:id="18"/>
      <w:r w:rsidR="00D61192">
        <w:rPr>
          <w:rStyle w:val="CommentReference"/>
          <w:b/>
          <w:bCs/>
          <w:color w:val="000000" w:themeColor="text1"/>
          <w:sz w:val="24"/>
          <w:szCs w:val="24"/>
        </w:rPr>
        <w:commentReference w:id="18"/>
      </w:r>
      <w:commentRangeEnd w:id="19"/>
      <w:r w:rsidR="00AD6F72">
        <w:rPr>
          <w:rStyle w:val="CommentReference"/>
          <w:b/>
          <w:bCs/>
          <w:color w:val="000000" w:themeColor="text1"/>
          <w:sz w:val="24"/>
          <w:szCs w:val="24"/>
        </w:rPr>
        <w:commentReference w:id="19"/>
      </w:r>
    </w:p>
    <w:p w14:paraId="7CD7C23B" w14:textId="73359C67" w:rsidR="006710D5" w:rsidRPr="006710D5" w:rsidRDefault="006710D5" w:rsidP="006710D5">
      <w:pPr>
        <w:spacing w:line="360" w:lineRule="auto"/>
        <w:jc w:val="both"/>
      </w:pPr>
      <w:r>
        <w:t xml:space="preserve">From studies at the household level, which often use NELM as theoretical framework, household’s asset ownership has been used often as a proxy. </w:t>
      </w:r>
    </w:p>
    <w:p w14:paraId="7A8718D8" w14:textId="3B9890C3" w:rsidR="00FC44BF" w:rsidRPr="00A86A91" w:rsidRDefault="008A5927" w:rsidP="00A86A91">
      <w:pPr>
        <w:pStyle w:val="Heading3"/>
        <w:numPr>
          <w:ilvl w:val="2"/>
          <w:numId w:val="4"/>
        </w:numPr>
        <w:rPr>
          <w:b/>
          <w:bCs/>
          <w:color w:val="000000" w:themeColor="text1"/>
          <w:sz w:val="24"/>
          <w:szCs w:val="24"/>
        </w:rPr>
      </w:pPr>
      <w:bookmarkStart w:id="20" w:name="_Toc230511842"/>
      <w:r w:rsidRPr="00A86A91">
        <w:rPr>
          <w:b/>
          <w:bCs/>
          <w:color w:val="000000" w:themeColor="text1"/>
          <w:sz w:val="24"/>
          <w:szCs w:val="24"/>
        </w:rPr>
        <w:t>Human capital dimension</w:t>
      </w:r>
      <w:bookmarkEnd w:id="20"/>
    </w:p>
    <w:p w14:paraId="0C829723" w14:textId="48957A35" w:rsidR="00FC44BF" w:rsidRPr="00A86A91" w:rsidRDefault="008A5927" w:rsidP="00A86A91">
      <w:pPr>
        <w:pStyle w:val="Heading4"/>
        <w:numPr>
          <w:ilvl w:val="3"/>
          <w:numId w:val="4"/>
        </w:numPr>
        <w:rPr>
          <w:b/>
          <w:bCs/>
          <w:color w:val="000000" w:themeColor="text1"/>
        </w:rPr>
      </w:pPr>
      <w:r w:rsidRPr="00A86A91">
        <w:rPr>
          <w:b/>
          <w:bCs/>
          <w:color w:val="000000" w:themeColor="text1"/>
        </w:rPr>
        <w:t>Education level</w:t>
      </w:r>
    </w:p>
    <w:p w14:paraId="68E36558" w14:textId="4111B1C1" w:rsidR="00FC44BF" w:rsidRPr="00A86A91" w:rsidRDefault="00CA5DD0" w:rsidP="00A86A91">
      <w:pPr>
        <w:pStyle w:val="Heading3"/>
        <w:numPr>
          <w:ilvl w:val="2"/>
          <w:numId w:val="4"/>
        </w:numPr>
        <w:rPr>
          <w:b/>
          <w:bCs/>
          <w:color w:val="000000" w:themeColor="text1"/>
          <w:sz w:val="24"/>
          <w:szCs w:val="24"/>
        </w:rPr>
      </w:pPr>
      <w:bookmarkStart w:id="21" w:name="_Toc230511843"/>
      <w:r w:rsidRPr="00A86A91">
        <w:rPr>
          <w:b/>
          <w:bCs/>
          <w:color w:val="000000" w:themeColor="text1"/>
          <w:sz w:val="24"/>
          <w:szCs w:val="24"/>
        </w:rPr>
        <w:t>Natural capital dimension</w:t>
      </w:r>
      <w:bookmarkEnd w:id="21"/>
    </w:p>
    <w:p w14:paraId="6C903523" w14:textId="6442FEFB" w:rsidR="00FC44BF" w:rsidRPr="00A86A91" w:rsidRDefault="00CA5DD0" w:rsidP="00A86A91">
      <w:pPr>
        <w:pStyle w:val="Heading4"/>
        <w:numPr>
          <w:ilvl w:val="3"/>
          <w:numId w:val="4"/>
        </w:numPr>
        <w:rPr>
          <w:b/>
          <w:bCs/>
          <w:color w:val="000000" w:themeColor="text1"/>
        </w:rPr>
      </w:pPr>
      <w:r w:rsidRPr="00A86A91">
        <w:rPr>
          <w:b/>
          <w:bCs/>
          <w:color w:val="000000" w:themeColor="text1"/>
        </w:rPr>
        <w:t>Soil quality</w:t>
      </w:r>
    </w:p>
    <w:p w14:paraId="6581AA90" w14:textId="726AD69F" w:rsidR="00FC44BF" w:rsidRPr="00A86A91" w:rsidRDefault="00B673C5" w:rsidP="00A86A91">
      <w:pPr>
        <w:pStyle w:val="Heading2"/>
        <w:numPr>
          <w:ilvl w:val="1"/>
          <w:numId w:val="4"/>
        </w:numPr>
        <w:rPr>
          <w:b/>
          <w:bCs/>
          <w:color w:val="000000" w:themeColor="text1"/>
          <w:sz w:val="24"/>
          <w:szCs w:val="24"/>
        </w:rPr>
      </w:pPr>
      <w:bookmarkStart w:id="22" w:name="_Toc230511844"/>
      <w:r w:rsidRPr="00A86A91">
        <w:rPr>
          <w:b/>
          <w:bCs/>
          <w:color w:val="000000" w:themeColor="text1"/>
          <w:sz w:val="24"/>
          <w:szCs w:val="24"/>
        </w:rPr>
        <w:t>Multidimensional operationalizations</w:t>
      </w:r>
      <w:r w:rsidR="00163C1E" w:rsidRPr="00A86A91">
        <w:rPr>
          <w:b/>
          <w:bCs/>
          <w:color w:val="000000" w:themeColor="text1"/>
          <w:sz w:val="24"/>
          <w:szCs w:val="24"/>
        </w:rPr>
        <w:t xml:space="preserve"> of migration capabilities</w:t>
      </w:r>
      <w:bookmarkEnd w:id="22"/>
    </w:p>
    <w:p w14:paraId="6A5640EB" w14:textId="16FBD6CB" w:rsidR="00FC44BF" w:rsidRPr="00A86A91" w:rsidRDefault="005820ED" w:rsidP="00A86A91">
      <w:pPr>
        <w:pStyle w:val="Heading3"/>
        <w:numPr>
          <w:ilvl w:val="2"/>
          <w:numId w:val="4"/>
        </w:numPr>
        <w:rPr>
          <w:b/>
          <w:bCs/>
          <w:color w:val="000000" w:themeColor="text1"/>
          <w:sz w:val="24"/>
          <w:szCs w:val="24"/>
        </w:rPr>
      </w:pPr>
      <w:bookmarkStart w:id="23" w:name="_Toc230511845"/>
      <w:r w:rsidRPr="00A86A91">
        <w:rPr>
          <w:b/>
          <w:bCs/>
          <w:color w:val="000000" w:themeColor="text1"/>
          <w:sz w:val="24"/>
          <w:szCs w:val="24"/>
        </w:rPr>
        <w:t>Individual level index</w:t>
      </w:r>
      <w:r w:rsidR="00CA5DD0" w:rsidRPr="00A86A91">
        <w:rPr>
          <w:b/>
          <w:bCs/>
          <w:color w:val="000000" w:themeColor="text1"/>
          <w:sz w:val="24"/>
          <w:szCs w:val="24"/>
        </w:rPr>
        <w:t xml:space="preserve"> with psychological and physical factors</w:t>
      </w:r>
      <w:bookmarkEnd w:id="23"/>
    </w:p>
    <w:p w14:paraId="1205FE24" w14:textId="2193D792" w:rsidR="008C57C7" w:rsidRPr="008C57C7" w:rsidRDefault="008C57C7" w:rsidP="00D539EF">
      <w:pPr>
        <w:spacing w:line="360" w:lineRule="auto"/>
      </w:pPr>
      <w:r>
        <w:t xml:space="preserve">This index author is </w:t>
      </w:r>
      <w:r>
        <w:fldChar w:fldCharType="begin"/>
      </w:r>
      <w:r w:rsidR="00B2762C">
        <w:instrText xml:space="preserve"> ADDIN ZOTERO_ITEM CSL_CITATION {"citationID":"3jEfhwDX","properties":{"unsorted":false,"formattedCitation":"(Obi, 2021)","plainCitation":"(Obi, 2021)","dontUpdate":true,"noteIndex":0},"citationItems":[{"id":1803,"uris":["http://zotero.org/users/18422904/items/IA4J47MP"],"itemData":{"id":1803,"type":"thesis","publisher":"Universiteit Gent.","title":"The socioeconomics of international migration decisions and outcomes. Exploring the Nigeria – Italy Migration Corridor through a capability-based migration framework.","URL":"https://backoffice.biblio.ugent.be/download/8700021/8700026","author":[{"family":"Obi","given":"Chinedu Temple"}],"issued":{"date-parts":[["2021"]]}}}],"schema":"https://github.com/citation-style-language/schema/raw/master/csl-citation.json"} </w:instrText>
      </w:r>
      <w:r>
        <w:fldChar w:fldCharType="separate"/>
      </w:r>
      <w:r w:rsidRPr="008C57C7">
        <w:rPr>
          <w:rFonts w:ascii="Garamond" w:hAnsi="Garamond"/>
        </w:rPr>
        <w:t>Obi</w:t>
      </w:r>
      <w:r>
        <w:rPr>
          <w:rFonts w:ascii="Garamond" w:hAnsi="Garamond"/>
        </w:rPr>
        <w:t xml:space="preserve"> (</w:t>
      </w:r>
      <w:r w:rsidRPr="008C57C7">
        <w:rPr>
          <w:rFonts w:ascii="Garamond" w:hAnsi="Garamond"/>
        </w:rPr>
        <w:t>2021)</w:t>
      </w:r>
      <w:r>
        <w:fldChar w:fldCharType="end"/>
      </w:r>
    </w:p>
    <w:p w14:paraId="3E7B93F6" w14:textId="51E3C73C" w:rsidR="008C57C7" w:rsidRPr="00A86A91" w:rsidRDefault="00432876" w:rsidP="00A86A91">
      <w:pPr>
        <w:pStyle w:val="Heading3"/>
        <w:numPr>
          <w:ilvl w:val="2"/>
          <w:numId w:val="4"/>
        </w:numPr>
        <w:rPr>
          <w:rFonts w:asciiTheme="majorHAnsi" w:hAnsiTheme="majorHAnsi"/>
          <w:b/>
          <w:bCs/>
          <w:color w:val="000000" w:themeColor="text1"/>
          <w:sz w:val="24"/>
          <w:szCs w:val="24"/>
        </w:rPr>
      </w:pPr>
      <w:bookmarkStart w:id="24" w:name="_Toc230511846"/>
      <w:r w:rsidRPr="00A86A91">
        <w:rPr>
          <w:rFonts w:asciiTheme="majorHAnsi" w:hAnsiTheme="majorHAnsi"/>
          <w:b/>
          <w:bCs/>
          <w:color w:val="000000" w:themeColor="text1"/>
          <w:sz w:val="24"/>
          <w:szCs w:val="24"/>
        </w:rPr>
        <w:t>Individual level index with inter-</w:t>
      </w:r>
      <w:r w:rsidR="000A326D" w:rsidRPr="00A86A91">
        <w:rPr>
          <w:rFonts w:asciiTheme="majorHAnsi" w:hAnsiTheme="majorHAnsi"/>
          <w:b/>
          <w:bCs/>
          <w:color w:val="000000" w:themeColor="text1"/>
          <w:sz w:val="24"/>
          <w:szCs w:val="24"/>
        </w:rPr>
        <w:t>temporal</w:t>
      </w:r>
      <w:r w:rsidRPr="00A86A91">
        <w:rPr>
          <w:rFonts w:asciiTheme="majorHAnsi" w:hAnsiTheme="majorHAnsi"/>
          <w:b/>
          <w:bCs/>
          <w:color w:val="000000" w:themeColor="text1"/>
          <w:sz w:val="24"/>
          <w:szCs w:val="24"/>
        </w:rPr>
        <w:t xml:space="preserve"> focus</w:t>
      </w:r>
      <w:bookmarkEnd w:id="24"/>
      <w:r w:rsidRPr="00A86A91">
        <w:rPr>
          <w:rFonts w:asciiTheme="majorHAnsi" w:hAnsiTheme="majorHAnsi"/>
          <w:b/>
          <w:bCs/>
          <w:color w:val="000000" w:themeColor="text1"/>
          <w:sz w:val="24"/>
          <w:szCs w:val="24"/>
        </w:rPr>
        <w:t xml:space="preserve"> </w:t>
      </w:r>
    </w:p>
    <w:p w14:paraId="5F493B43" w14:textId="7C96F83E" w:rsidR="00B2762C" w:rsidRPr="00B2762C" w:rsidRDefault="00F20FBC" w:rsidP="00F20FBC">
      <w:pPr>
        <w:spacing w:line="360" w:lineRule="auto"/>
        <w:jc w:val="both"/>
      </w:pPr>
      <w:r w:rsidRPr="00F20FBC">
        <w:t xml:space="preserve">Drawing on </w:t>
      </w:r>
      <w:r>
        <w:fldChar w:fldCharType="begin"/>
      </w:r>
      <w:r w:rsidR="00FA7C1A">
        <w:instrText xml:space="preserve"> ADDIN ZOTERO_ITEM CSL_CITATION {"citationID":"H13RGDSt","properties":{"unsorted":false,"formattedCitation":"(Schewel, 2020)","plainCitation":"(Schewel, 2020)","dontUpdate":true,"noteIndex":0},"citationItems":[{"id":1779,"uris":["http://zotero.org/users/18422904/items/MQMAISN3"],"itemData":{"id":1779,"type":"article-journal","abstract":"This article suggests that there is a mobility bias in migration research: by focusing on the “drivers” of migration — the forces that lead to the initiation and perpetuation of migration flows — migration theories neglect the countervailing structural and personal forces that restrict or resist these drivers and lead to different immobility outcomes. To advance a research agenda on immobility, it offers a definition of immobility, further develops the aspiration-capability framework as an analytical tool for exploring the determinants of different forms of (im)mobility, synthesizes decades of interdisciplinary research to help explain why people do not migrate or desire to migrate, and considers future directions for further qualitative and quantitative research on immobility.","container-title":"International Migration Review","DOI":"10.1177/0197918319831952","ISSN":"0197-9183","issue":"2","language":"EN","page":"328-355","publisher":"SAGE Publications Inc","source":"SAGE Journals","title":"Understanding Immobility: Moving Beyond the Mobility Bias in Migration Studies","title-short":"Understanding Immobility","volume":"54","author":[{"family":"Schewel","given":"Kerilyn"}],"issued":{"date-parts":[["2020",6,1]]}}}],"schema":"https://github.com/citation-style-language/schema/raw/master/csl-citation.json"} </w:instrText>
      </w:r>
      <w:r>
        <w:fldChar w:fldCharType="separate"/>
      </w:r>
      <w:r w:rsidRPr="00F20FBC">
        <w:rPr>
          <w:rFonts w:ascii="Garamond" w:hAnsi="Garamond"/>
        </w:rPr>
        <w:t>Schewel</w:t>
      </w:r>
      <w:r>
        <w:rPr>
          <w:rFonts w:ascii="Garamond" w:hAnsi="Garamond"/>
        </w:rPr>
        <w:t xml:space="preserve"> (</w:t>
      </w:r>
      <w:r w:rsidRPr="00F20FBC">
        <w:rPr>
          <w:rFonts w:ascii="Garamond" w:hAnsi="Garamond"/>
        </w:rPr>
        <w:t>2020)</w:t>
      </w:r>
      <w:r>
        <w:fldChar w:fldCharType="end"/>
      </w:r>
      <w:r>
        <w:t xml:space="preserve">, </w:t>
      </w:r>
      <w:r>
        <w:fldChar w:fldCharType="begin"/>
      </w:r>
      <w:r>
        <w:instrText xml:space="preserve"> ADDIN ZOTERO_ITEM CSL_CITATION {"citationID":"jhUJRMTt","properties":{"unsorted":false,"formattedCitation":"(Hosnedlov\\uc0\\u225{} &amp; Maidanik, 2025)","plainCitation":"(Hosnedlová &amp; Maidanik, 2025)","dontUpdate":true,"noteIndex":0},"citationItems":[{"id":1813,"uris":["http://zotero.org/users/18422904/items/M42IQHPV"],"itemData":{"id":1813,"type":"article-journal","abstract":"This study investigates the spatial and temporal dimensions of im/mobility within the population of western Ukraine. It challenges the typical focus on receiving countries by examining both the capabilities and motivations for staying in Ukraine or considering emigration. Based on data from 1242 individual questionnaires collected in a pre-invasion survey in western Ukraine, this study provides a comparative analysis of return migrants and non-migrants, examining the relationship between past migration experience and the likelihood of future (im)mobility. We construct a novel migration capability scale that situates migration capability along a continuum and offers a more nuanced understanding of the dynamics of place-based decision-making (grounded in the fulfilment of basic economic needs, transnational social ties, risk attitude, and foreign language proficiency). Only 11% of respondents reported having no migration potential, while those with the highest migration capabilities - including both returnees and non-migrants - were often undecided about their future mobility. Regression analyses show that past migration experience enhances migration capability, yet decision-making is ultimately influenced by personal motivations, socio-demographic factors, and the evolving relationship between population and place. These findings have important implications for migration policy and spatial planning.","container-title":"Population, Space and Place","DOI":"10.1002/psp.70128","ISSN":"1544-8452","issue":"8","language":"en","license":"© 2025 John Wiley &amp; Sons Ltd.","note":"_eprint: https://onlinelibrary.wiley.com/doi/pdf/10.1002/psp.70128","page":"e70128","source":"Wiley Online Library","title":"Decoding Migration Capability: (Im)Mobility Decision-Making in the Ukrainian Population","title-short":"Decoding Migration Capability","volume":"31","author":[{"family":"Hosnedlová","given":"Renáta"},{"family":"Maidanik","given":"Iryna"}],"issued":{"date-parts":[["2025"]]}}}],"schema":"https://github.com/citation-style-language/schema/raw/master/csl-citation.json"} </w:instrText>
      </w:r>
      <w:r>
        <w:fldChar w:fldCharType="separate"/>
      </w:r>
      <w:r w:rsidRPr="00B2762C">
        <w:rPr>
          <w:rFonts w:ascii="Garamond" w:hAnsi="Garamond" w:cs="Times New Roman"/>
          <w:kern w:val="0"/>
        </w:rPr>
        <w:t xml:space="preserve">Hosnedlová </w:t>
      </w:r>
      <w:r>
        <w:rPr>
          <w:rFonts w:ascii="Garamond" w:hAnsi="Garamond" w:cs="Times New Roman"/>
          <w:kern w:val="0"/>
        </w:rPr>
        <w:t>and</w:t>
      </w:r>
      <w:r w:rsidRPr="00B2762C">
        <w:rPr>
          <w:rFonts w:ascii="Garamond" w:hAnsi="Garamond" w:cs="Times New Roman"/>
          <w:kern w:val="0"/>
        </w:rPr>
        <w:t xml:space="preserve"> Maidanik</w:t>
      </w:r>
      <w:r>
        <w:rPr>
          <w:rFonts w:ascii="Garamond" w:hAnsi="Garamond" w:cs="Times New Roman"/>
          <w:kern w:val="0"/>
        </w:rPr>
        <w:t xml:space="preserve"> (</w:t>
      </w:r>
      <w:r w:rsidRPr="00B2762C">
        <w:rPr>
          <w:rFonts w:ascii="Garamond" w:hAnsi="Garamond" w:cs="Times New Roman"/>
          <w:kern w:val="0"/>
        </w:rPr>
        <w:t>2025)</w:t>
      </w:r>
      <w:r>
        <w:fldChar w:fldCharType="end"/>
      </w:r>
      <w:r>
        <w:t xml:space="preserve"> </w:t>
      </w:r>
      <w:r w:rsidRPr="00F20FBC">
        <w:t xml:space="preserve">develop an index that is particularly relevant because it incorporates often overlooked dimensions of migration capability, including learned behavioural patterns and prior migration experience. Although the article was not specifically intended to explain climate immobility, it offers </w:t>
      </w:r>
      <w:r w:rsidR="00F51F73">
        <w:t>important</w:t>
      </w:r>
      <w:r w:rsidRPr="00F20FBC">
        <w:t xml:space="preserve"> insights into the determinants of migration capability.</w:t>
      </w:r>
    </w:p>
    <w:p w14:paraId="608B45D2" w14:textId="5AC2DC17" w:rsidR="00163C1E" w:rsidRPr="00A86A91" w:rsidRDefault="005820ED" w:rsidP="00A86A91">
      <w:pPr>
        <w:pStyle w:val="Heading3"/>
        <w:numPr>
          <w:ilvl w:val="2"/>
          <w:numId w:val="4"/>
        </w:numPr>
        <w:rPr>
          <w:b/>
          <w:bCs/>
          <w:color w:val="000000" w:themeColor="text1"/>
          <w:sz w:val="24"/>
          <w:szCs w:val="24"/>
        </w:rPr>
      </w:pPr>
      <w:bookmarkStart w:id="25" w:name="_Toc230511847"/>
      <w:r w:rsidRPr="00A86A91">
        <w:rPr>
          <w:b/>
          <w:bCs/>
          <w:color w:val="000000" w:themeColor="text1"/>
          <w:sz w:val="24"/>
          <w:szCs w:val="24"/>
        </w:rPr>
        <w:t xml:space="preserve">Country level index </w:t>
      </w:r>
      <w:r w:rsidR="00432876" w:rsidRPr="00A86A91">
        <w:rPr>
          <w:b/>
          <w:bCs/>
          <w:color w:val="000000" w:themeColor="text1"/>
          <w:sz w:val="24"/>
          <w:szCs w:val="24"/>
        </w:rPr>
        <w:t xml:space="preserve">with </w:t>
      </w:r>
      <w:r w:rsidR="00CA5DD0" w:rsidRPr="00A86A91">
        <w:rPr>
          <w:b/>
          <w:bCs/>
          <w:color w:val="000000" w:themeColor="text1"/>
          <w:sz w:val="24"/>
          <w:szCs w:val="24"/>
        </w:rPr>
        <w:t xml:space="preserve">weighting </w:t>
      </w:r>
      <w:r w:rsidRPr="00A86A91">
        <w:rPr>
          <w:b/>
          <w:bCs/>
          <w:color w:val="000000" w:themeColor="text1"/>
          <w:sz w:val="24"/>
          <w:szCs w:val="24"/>
        </w:rPr>
        <w:t>scenarios</w:t>
      </w:r>
      <w:bookmarkEnd w:id="25"/>
    </w:p>
    <w:p w14:paraId="28785B8C" w14:textId="3C460159" w:rsidR="008C57C7" w:rsidRPr="008C57C7" w:rsidRDefault="008C57C7" w:rsidP="00D539EF">
      <w:pPr>
        <w:spacing w:line="360" w:lineRule="auto"/>
      </w:pPr>
      <w:r>
        <w:t xml:space="preserve">This index author is </w:t>
      </w:r>
      <w:r>
        <w:fldChar w:fldCharType="begin"/>
      </w:r>
      <w:r w:rsidR="00B2762C">
        <w:instrText xml:space="preserve"> ADDIN ZOTERO_ITEM CSL_CITATION {"citationID":"5nRJuimR","properties":{"unsorted":false,"formattedCitation":"(Rodr\\uc0\\u237{}guez-Pe\\uc0\\u241{}a, 2025)","plainCitation":"(Rodríguez-Peña, 2025)","dontUpdate":true,"noteIndex":0},"citationItems":[{"id":16,"uris":["http://zotero.org/users/18422904/items/M78YADIA"],"itemData":{"id":16,"type":"article-journal","abstract":"The complexity and abstract nature of capabilities may explain why research on migration aspirations is far more prevalent than studies on migration capabilities, and why clear conceptualizations and operationalizations of migration capabilities remain lacking. This article provides a first global estimation of migration capabilities, discusses challenges of measuring capabilities at the macro-level and proposes directions for future research. To achieve this, it focuses on four key forms of capital at the aggregate level: economic, social, human and citizenship capital. By integrating these dimensions, the article presents three scenarios with different distributions of migration capabilities and shows that a calculation centered on economic resources and citizenship capital best explains patterns of involuntary immobility. Furthermore, the article discusses the importance of further exploring migration capabilities for both research and policy and identifies three directions for future research. First, expanding data sources and calculations to identify regions where freedom of movement is most restricted and its implications for human development. Second, examining the capability to stay and exploring how different forms of immobility interact with local development. Finally, broadening the understanding of migration capabilities beyond formal migration barriers to uncover commonalities in emigration dynamics and immobility experiences across countries.","container-title":"Comparative Migration Studies","DOI":"10.1186/s40878-025-00449-9","ISSN":"2214-594X","issue":"1","journalAbbreviation":"CMS","language":"en","page":"31","source":"Springer Link","title":"Mapping migration capabilities worldwide","volume":"13","author":[{"family":"Rodríguez-Peña","given":"Naiara"}],"issued":{"date-parts":[["2025",5,19]]}}}],"schema":"https://github.com/citation-style-language/schema/raw/master/csl-citation.json"} </w:instrText>
      </w:r>
      <w:r>
        <w:fldChar w:fldCharType="separate"/>
      </w:r>
      <w:r w:rsidRPr="008C57C7">
        <w:rPr>
          <w:rFonts w:ascii="Garamond" w:hAnsi="Garamond" w:cs="Times New Roman"/>
          <w:kern w:val="0"/>
        </w:rPr>
        <w:t>Rodríguez-Peña</w:t>
      </w:r>
      <w:r>
        <w:rPr>
          <w:rFonts w:ascii="Garamond" w:hAnsi="Garamond" w:cs="Times New Roman"/>
          <w:kern w:val="0"/>
        </w:rPr>
        <w:t xml:space="preserve"> (2</w:t>
      </w:r>
      <w:r w:rsidRPr="008C57C7">
        <w:rPr>
          <w:rFonts w:ascii="Garamond" w:hAnsi="Garamond" w:cs="Times New Roman"/>
          <w:kern w:val="0"/>
        </w:rPr>
        <w:t>025)</w:t>
      </w:r>
      <w:r>
        <w:fldChar w:fldCharType="end"/>
      </w:r>
    </w:p>
    <w:p w14:paraId="4E816F5D" w14:textId="31F073DA" w:rsidR="00B673C5" w:rsidRPr="00BE4D2A" w:rsidRDefault="00163C1E" w:rsidP="00BE4D2A">
      <w:pPr>
        <w:pStyle w:val="Heading2"/>
        <w:numPr>
          <w:ilvl w:val="1"/>
          <w:numId w:val="4"/>
        </w:numPr>
        <w:rPr>
          <w:b/>
          <w:bCs/>
          <w:color w:val="000000" w:themeColor="text1"/>
          <w:sz w:val="24"/>
          <w:szCs w:val="24"/>
        </w:rPr>
      </w:pPr>
      <w:bookmarkStart w:id="26" w:name="_Toc230511848"/>
      <w:r w:rsidRPr="00BE4D2A">
        <w:rPr>
          <w:b/>
          <w:bCs/>
          <w:color w:val="000000" w:themeColor="text1"/>
          <w:sz w:val="24"/>
          <w:szCs w:val="24"/>
        </w:rPr>
        <w:lastRenderedPageBreak/>
        <w:t>S</w:t>
      </w:r>
      <w:r w:rsidR="005820ED" w:rsidRPr="00BE4D2A">
        <w:rPr>
          <w:b/>
          <w:bCs/>
          <w:color w:val="000000" w:themeColor="text1"/>
          <w:sz w:val="24"/>
          <w:szCs w:val="24"/>
        </w:rPr>
        <w:t>pati</w:t>
      </w:r>
      <w:r w:rsidR="008C57C7" w:rsidRPr="00BE4D2A">
        <w:rPr>
          <w:b/>
          <w:bCs/>
          <w:color w:val="000000" w:themeColor="text1"/>
          <w:sz w:val="24"/>
          <w:szCs w:val="24"/>
        </w:rPr>
        <w:t xml:space="preserve">al and </w:t>
      </w:r>
      <w:r w:rsidR="005820ED" w:rsidRPr="00BE4D2A">
        <w:rPr>
          <w:b/>
          <w:bCs/>
          <w:color w:val="000000" w:themeColor="text1"/>
          <w:sz w:val="24"/>
          <w:szCs w:val="24"/>
        </w:rPr>
        <w:t xml:space="preserve">temporal </w:t>
      </w:r>
      <w:r w:rsidRPr="00BE4D2A">
        <w:rPr>
          <w:b/>
          <w:bCs/>
          <w:color w:val="000000" w:themeColor="text1"/>
          <w:sz w:val="24"/>
          <w:szCs w:val="24"/>
        </w:rPr>
        <w:t>dimensions</w:t>
      </w:r>
      <w:r w:rsidR="005820ED" w:rsidRPr="00BE4D2A">
        <w:rPr>
          <w:b/>
          <w:bCs/>
          <w:color w:val="000000" w:themeColor="text1"/>
          <w:sz w:val="24"/>
          <w:szCs w:val="24"/>
        </w:rPr>
        <w:t xml:space="preserve"> of migration capabilities</w:t>
      </w:r>
      <w:bookmarkEnd w:id="26"/>
    </w:p>
    <w:p w14:paraId="5EF248EF" w14:textId="45C9FB4E" w:rsidR="003072BB" w:rsidRPr="003072BB" w:rsidRDefault="003072BB" w:rsidP="003072BB">
      <w:pPr>
        <w:spacing w:line="360" w:lineRule="auto"/>
        <w:jc w:val="both"/>
      </w:pPr>
      <w:r w:rsidRPr="003072BB">
        <w:t>Since the emergence of NELM and the aspirations-capability framework several authors have expanded them to better incorporate dimensions related to the dynamic</w:t>
      </w:r>
      <w:r>
        <w:t xml:space="preserve"> and relational</w:t>
      </w:r>
      <w:r w:rsidRPr="003072BB">
        <w:t xml:space="preserve"> nature of (im)mobility. </w:t>
      </w:r>
      <w:r>
        <w:t>Tow of these contributions</w:t>
      </w:r>
      <w:r w:rsidRPr="003072BB">
        <w:t xml:space="preserve"> will b</w:t>
      </w:r>
      <w:r>
        <w:t xml:space="preserve">e discussed below </w:t>
      </w:r>
      <w:r w:rsidRPr="003072BB">
        <w:t xml:space="preserve">to assess the extent to which the operationalizations presented </w:t>
      </w:r>
      <w:r>
        <w:t xml:space="preserve">above </w:t>
      </w:r>
      <w:r w:rsidRPr="003072BB">
        <w:t>are able to capture such complexities.</w:t>
      </w:r>
    </w:p>
    <w:p w14:paraId="465CAF23" w14:textId="2AEF2D28" w:rsidR="002167BA" w:rsidRPr="00BE4D2A" w:rsidRDefault="00780466" w:rsidP="00BE4D2A">
      <w:pPr>
        <w:pStyle w:val="Heading3"/>
        <w:numPr>
          <w:ilvl w:val="2"/>
          <w:numId w:val="4"/>
        </w:numPr>
        <w:rPr>
          <w:b/>
          <w:bCs/>
          <w:color w:val="000000" w:themeColor="text1"/>
          <w:sz w:val="24"/>
          <w:szCs w:val="24"/>
        </w:rPr>
      </w:pPr>
      <w:bookmarkStart w:id="27" w:name="_Toc230511849"/>
      <w:r w:rsidRPr="00BE4D2A">
        <w:rPr>
          <w:b/>
          <w:bCs/>
          <w:color w:val="000000" w:themeColor="text1"/>
          <w:sz w:val="24"/>
          <w:szCs w:val="24"/>
        </w:rPr>
        <w:t>Coping strategies thresholds perspective</w:t>
      </w:r>
      <w:bookmarkEnd w:id="27"/>
    </w:p>
    <w:p w14:paraId="2E7DB14A" w14:textId="40891A25" w:rsidR="002167BA" w:rsidRPr="00BE4D2A" w:rsidRDefault="00532B53" w:rsidP="00BE4D2A">
      <w:pPr>
        <w:pStyle w:val="Heading3"/>
        <w:numPr>
          <w:ilvl w:val="2"/>
          <w:numId w:val="4"/>
        </w:numPr>
        <w:rPr>
          <w:b/>
          <w:bCs/>
          <w:color w:val="000000" w:themeColor="text1"/>
          <w:sz w:val="24"/>
          <w:szCs w:val="24"/>
        </w:rPr>
      </w:pPr>
      <w:bookmarkStart w:id="28" w:name="_Toc230511850"/>
      <w:r w:rsidRPr="00BE4D2A">
        <w:rPr>
          <w:b/>
          <w:bCs/>
          <w:color w:val="000000" w:themeColor="text1"/>
          <w:sz w:val="24"/>
          <w:szCs w:val="24"/>
        </w:rPr>
        <w:t>Continuum approach to (im)mobilities</w:t>
      </w:r>
      <w:bookmarkEnd w:id="28"/>
    </w:p>
    <w:p w14:paraId="7A9487D4" w14:textId="19D7F662" w:rsidR="00397A91" w:rsidRPr="00397A91" w:rsidRDefault="00397A91" w:rsidP="00D539EF">
      <w:pPr>
        <w:spacing w:line="360" w:lineRule="auto"/>
      </w:pPr>
      <w:r>
        <w:t xml:space="preserve">The author of this approach is </w:t>
      </w:r>
      <w:r>
        <w:fldChar w:fldCharType="begin"/>
      </w:r>
      <w:r w:rsidR="00B2762C">
        <w:instrText xml:space="preserve"> ADDIN ZOTERO_ITEM CSL_CITATION {"citationID":"6E9Q2D17","properties":{"unsorted":false,"formattedCitation":"(Sengupta, 2025)","plainCitation":"(Sengupta, 2025)","dontUpdate":true,"noteIndex":0},"citationItems":[{"id":9,"uris":["http://zotero.org/users/18422904/items/BKFLSSJU"],"itemData":{"id":9,"type":"article-journal","abstract":"Environmental migration research has traditionally focused on mobility outcomes in the face of environmental change. However, the ‘trapped populations’ concept introduced in the influential Foresight Report (2011) drew attention to immobility outcomes owing to people’s inability or unwillingness to migrate away from environmentally high-risk settings. To assess the evolution of the empirical research landscape of environmental immobility, this paper systematically reviews 55 studies in terms of their thematic focus areas, theoretical and methodological concerns, geographical distribution, the interplay between environmental and societal contexts, the characterisation of immobility processes, and interrelations with mobility processes. The findings suggest a predominant focus on the causes of immobility based on a dichotomisation of immobility as ‘forced’ and ‘voluntary’. Using insights from migration theory, this paper provides a schematic framework that helps us think analytically about environmental immobility processes in terms of a continuum of choices and constraints and implications for stayers’ well-being.","container-title":"Ambio","DOI":"10.1007/s13280-025-02195-9","ISSN":"1654-7209","issue":"11","journalAbbreviation":"Ambio","language":"en","page":"1729-1756","source":"Springer Link","title":"Environmental immobility: A systematic review of empirical research","title-short":"Environmental immobility","volume":"54","author":[{"family":"Sengupta","given":"Moitrayee"}],"issued":{"date-parts":[["2025",11,1]]}}}],"schema":"https://github.com/citation-style-language/schema/raw/master/csl-citation.json"} </w:instrText>
      </w:r>
      <w:r>
        <w:fldChar w:fldCharType="separate"/>
      </w:r>
      <w:r w:rsidRPr="00397A91">
        <w:rPr>
          <w:rFonts w:ascii="Garamond" w:hAnsi="Garamond"/>
        </w:rPr>
        <w:t>Sengupta</w:t>
      </w:r>
      <w:r>
        <w:rPr>
          <w:rFonts w:ascii="Garamond" w:hAnsi="Garamond"/>
        </w:rPr>
        <w:t xml:space="preserve"> (</w:t>
      </w:r>
      <w:r w:rsidRPr="00397A91">
        <w:rPr>
          <w:rFonts w:ascii="Garamond" w:hAnsi="Garamond"/>
        </w:rPr>
        <w:t>2025)</w:t>
      </w:r>
      <w:r>
        <w:fldChar w:fldCharType="end"/>
      </w:r>
      <w:r>
        <w:t xml:space="preserve"> drawing on </w:t>
      </w:r>
      <w:r>
        <w:fldChar w:fldCharType="begin"/>
      </w:r>
      <w:r w:rsidR="007C56CE">
        <w:instrText xml:space="preserve"> ADDIN ZOTERO_ITEM CSL_CITATION {"citationID":"oTYUhsr2","properties":{"unsorted":false,"formattedCitation":"(Schewel, 2020)","plainCitation":"(Schewel, 2020)","dontUpdate":true,"noteIndex":0},"citationItems":[{"id":1779,"uris":["http://zotero.org/users/18422904/items/MQMAISN3"],"itemData":{"id":1779,"type":"article-journal","abstract":"This article suggests that there is a mobility bias in migration research: by focusing on the “drivers” of migration — the forces that lead to the initiation and perpetuation of migration flows — migration theories neglect the countervailing structural and personal forces that restrict or resist these drivers and lead to different immobility outcomes. To advance a research agenda on immobility, it offers a definition of immobility, further develops the aspiration-capability framework as an analytical tool for exploring the determinants of different forms of (im)mobility, synthesizes decades of interdisciplinary research to help explain why people do not migrate or desire to migrate, and considers future directions for further qualitative and quantitative research on immobility.","container-title":"International Migration Review","DOI":"10.1177/0197918319831952","ISSN":"0197-9183","issue":"2","language":"EN","page":"328-355","publisher":"SAGE Publications Inc","source":"SAGE Journals","title":"Understanding Immobility: Moving Beyond the Mobility Bias in Migration Studies","title-short":"Understanding Immobility","volume":"54","author":[{"family":"Schewel","given":"Kerilyn"}],"issued":{"date-parts":[["2020",6,1]]}}}],"schema":"https://github.com/citation-style-language/schema/raw/master/csl-citation.json"} </w:instrText>
      </w:r>
      <w:r>
        <w:fldChar w:fldCharType="separate"/>
      </w:r>
      <w:r w:rsidRPr="00397A91">
        <w:rPr>
          <w:rFonts w:ascii="Garamond" w:hAnsi="Garamond"/>
        </w:rPr>
        <w:t>Schewel</w:t>
      </w:r>
      <w:r>
        <w:rPr>
          <w:rFonts w:ascii="Garamond" w:hAnsi="Garamond"/>
        </w:rPr>
        <w:t xml:space="preserve"> (</w:t>
      </w:r>
      <w:r w:rsidRPr="00397A91">
        <w:rPr>
          <w:rFonts w:ascii="Garamond" w:hAnsi="Garamond"/>
        </w:rPr>
        <w:t>2020)</w:t>
      </w:r>
      <w:r>
        <w:fldChar w:fldCharType="end"/>
      </w:r>
      <w:r>
        <w:t>.</w:t>
      </w:r>
    </w:p>
    <w:p w14:paraId="38BE3248" w14:textId="23AFEC97" w:rsidR="003D07A1" w:rsidRDefault="00B85136" w:rsidP="00D539EF">
      <w:pPr>
        <w:pStyle w:val="Heading1"/>
        <w:numPr>
          <w:ilvl w:val="0"/>
          <w:numId w:val="4"/>
        </w:numPr>
        <w:spacing w:line="360" w:lineRule="auto"/>
        <w:rPr>
          <w:rFonts w:ascii="Garamond" w:hAnsi="Garamond" w:cs="Times New Roman"/>
          <w:b/>
          <w:bCs/>
          <w:color w:val="000000" w:themeColor="text1"/>
          <w:sz w:val="24"/>
          <w:szCs w:val="24"/>
        </w:rPr>
      </w:pPr>
      <w:bookmarkStart w:id="29" w:name="_Toc230511851"/>
      <w:r>
        <w:rPr>
          <w:rFonts w:ascii="Garamond" w:hAnsi="Garamond" w:cs="Times New Roman"/>
          <w:b/>
          <w:bCs/>
          <w:color w:val="000000" w:themeColor="text1"/>
          <w:sz w:val="24"/>
          <w:szCs w:val="24"/>
        </w:rPr>
        <w:t>Illustrations with the Mexic</w:t>
      </w:r>
      <w:r w:rsidR="00F43549">
        <w:rPr>
          <w:rFonts w:ascii="Garamond" w:hAnsi="Garamond" w:cs="Times New Roman"/>
          <w:b/>
          <w:bCs/>
          <w:color w:val="000000" w:themeColor="text1"/>
          <w:sz w:val="24"/>
          <w:szCs w:val="24"/>
        </w:rPr>
        <w:t>o Family</w:t>
      </w:r>
      <w:r>
        <w:rPr>
          <w:rFonts w:ascii="Garamond" w:hAnsi="Garamond" w:cs="Times New Roman"/>
          <w:b/>
          <w:bCs/>
          <w:color w:val="000000" w:themeColor="text1"/>
          <w:sz w:val="24"/>
          <w:szCs w:val="24"/>
        </w:rPr>
        <w:t xml:space="preserve"> Life Survey Data</w:t>
      </w:r>
      <w:bookmarkEnd w:id="29"/>
    </w:p>
    <w:p w14:paraId="1D7A600D" w14:textId="06C0EA54" w:rsidR="00D24D48" w:rsidRDefault="00D24D48" w:rsidP="004F4E65">
      <w:pPr>
        <w:spacing w:line="360" w:lineRule="auto"/>
        <w:jc w:val="both"/>
      </w:pPr>
      <w:r w:rsidRPr="00D24D48">
        <w:t xml:space="preserve">In this section, I apply </w:t>
      </w:r>
      <w:r>
        <w:t xml:space="preserve">to the MxFLS data </w:t>
      </w:r>
      <w:r w:rsidRPr="00D24D48">
        <w:t xml:space="preserve">two unidimensional proxies of mobility capability and one multidimensional proxy, and descriptively compare the populations identified by each in order to examine the trade-offs involved in identifying involuntarily immobile populations. This analysis remains purely descriptive, and no causal interpretation should be inferred. However, it may help reveal </w:t>
      </w:r>
      <w:r w:rsidR="00FE692A">
        <w:t>d</w:t>
      </w:r>
      <w:r w:rsidRPr="00D24D48">
        <w:t xml:space="preserve">ifferences across operationalizations that could influence </w:t>
      </w:r>
      <w:r>
        <w:t xml:space="preserve">model specification </w:t>
      </w:r>
      <w:r w:rsidR="00FE692A">
        <w:t>in</w:t>
      </w:r>
      <w:r>
        <w:t xml:space="preserve"> a more detailed analysis. </w:t>
      </w:r>
    </w:p>
    <w:p w14:paraId="292AA48B" w14:textId="253384F7" w:rsidR="00A70E83" w:rsidRDefault="004F4E65" w:rsidP="004F4E65">
      <w:pPr>
        <w:spacing w:line="360" w:lineRule="auto"/>
        <w:jc w:val="both"/>
        <w:rPr>
          <w:rFonts w:ascii="Garamond" w:eastAsia="Times New Roman" w:hAnsi="Garamond" w:cs="Times New Roman"/>
          <w:kern w:val="0"/>
          <w:lang w:eastAsia="en-CA"/>
          <w14:ligatures w14:val="none"/>
        </w:rPr>
      </w:pPr>
      <w:r w:rsidRPr="004F4E65">
        <w:rPr>
          <w:rFonts w:ascii="Garamond" w:eastAsia="Times New Roman" w:hAnsi="Garamond" w:cs="Times New Roman"/>
          <w:kern w:val="0"/>
          <w:lang w:eastAsia="en-CA"/>
          <w14:ligatures w14:val="none"/>
        </w:rPr>
        <w:t xml:space="preserve">Applying this first notion of capability (employment status) to the </w:t>
      </w:r>
      <w:r w:rsidR="00FE692A">
        <w:rPr>
          <w:rFonts w:ascii="Garamond" w:eastAsia="Times New Roman" w:hAnsi="Garamond" w:cs="Times New Roman"/>
          <w:kern w:val="0"/>
          <w:lang w:eastAsia="en-CA"/>
          <w14:ligatures w14:val="none"/>
        </w:rPr>
        <w:t>MxFLS</w:t>
      </w:r>
      <w:r w:rsidRPr="004F4E65">
        <w:rPr>
          <w:rFonts w:ascii="Garamond" w:eastAsia="Times New Roman" w:hAnsi="Garamond" w:cs="Times New Roman"/>
          <w:kern w:val="0"/>
          <w:lang w:eastAsia="en-CA"/>
          <w14:ligatures w14:val="none"/>
        </w:rPr>
        <w:t xml:space="preserve"> suggests that in wave 1, 54% of the population could be considered “capable” of migrating under this unidimensional operationalization, as they reported performing a job or activity that contributed to household expenditure during the interview period. However, this result changes substantially once the quality and stability of employment are considered. A more detailed analysis reveals that 78% of employed individuals could be classified as informal workers, meaning they lacked access to social security. This pattern persists across multiple occupational categories: 65% of non-agricultural workers and 88% of rural labourers are informal. Moreover, 19.3% of employed individuals reported receiving no monetary compensation for their activity. </w:t>
      </w:r>
    </w:p>
    <w:p w14:paraId="788DBFDD" w14:textId="53A91D4D" w:rsidR="00983CF5" w:rsidRPr="006768BA" w:rsidRDefault="00983CF5" w:rsidP="00983CF5">
      <w:pPr>
        <w:pStyle w:val="Caption"/>
        <w:rPr>
          <w:b/>
          <w:bCs/>
          <w:i w:val="0"/>
          <w:iCs w:val="0"/>
          <w:color w:val="000000" w:themeColor="text1"/>
          <w:sz w:val="24"/>
          <w:szCs w:val="24"/>
        </w:rPr>
      </w:pPr>
      <w:r w:rsidRPr="006768BA">
        <w:rPr>
          <w:b/>
          <w:bCs/>
          <w:i w:val="0"/>
          <w:iCs w:val="0"/>
          <w:color w:val="000000" w:themeColor="text1"/>
          <w:sz w:val="24"/>
          <w:szCs w:val="24"/>
        </w:rPr>
        <w:t xml:space="preserve">Figure </w:t>
      </w:r>
      <w:r w:rsidRPr="006768BA">
        <w:rPr>
          <w:b/>
          <w:bCs/>
          <w:i w:val="0"/>
          <w:iCs w:val="0"/>
          <w:color w:val="000000" w:themeColor="text1"/>
          <w:sz w:val="24"/>
          <w:szCs w:val="24"/>
        </w:rPr>
        <w:fldChar w:fldCharType="begin"/>
      </w:r>
      <w:r w:rsidRPr="006768BA">
        <w:rPr>
          <w:b/>
          <w:bCs/>
          <w:i w:val="0"/>
          <w:iCs w:val="0"/>
          <w:color w:val="000000" w:themeColor="text1"/>
          <w:sz w:val="24"/>
          <w:szCs w:val="24"/>
        </w:rPr>
        <w:instrText xml:space="preserve"> SEQ Figure \* ARABIC </w:instrText>
      </w:r>
      <w:r w:rsidRPr="006768BA">
        <w:rPr>
          <w:b/>
          <w:bCs/>
          <w:i w:val="0"/>
          <w:iCs w:val="0"/>
          <w:color w:val="000000" w:themeColor="text1"/>
          <w:sz w:val="24"/>
          <w:szCs w:val="24"/>
        </w:rPr>
        <w:fldChar w:fldCharType="separate"/>
      </w:r>
      <w:r>
        <w:rPr>
          <w:b/>
          <w:bCs/>
          <w:i w:val="0"/>
          <w:iCs w:val="0"/>
          <w:noProof/>
          <w:color w:val="000000" w:themeColor="text1"/>
          <w:sz w:val="24"/>
          <w:szCs w:val="24"/>
        </w:rPr>
        <w:t>2</w:t>
      </w:r>
      <w:r w:rsidRPr="006768BA">
        <w:rPr>
          <w:b/>
          <w:bCs/>
          <w:i w:val="0"/>
          <w:iCs w:val="0"/>
          <w:color w:val="000000" w:themeColor="text1"/>
          <w:sz w:val="24"/>
          <w:szCs w:val="24"/>
        </w:rPr>
        <w:fldChar w:fldCharType="end"/>
      </w:r>
    </w:p>
    <w:p w14:paraId="399DF86B" w14:textId="6279AF37" w:rsidR="00983CF5" w:rsidRDefault="00983CF5" w:rsidP="00983CF5">
      <w:pPr>
        <w:spacing w:line="360" w:lineRule="auto"/>
        <w:jc w:val="both"/>
        <w:rPr>
          <w:rFonts w:ascii="Garamond" w:eastAsia="Times New Roman" w:hAnsi="Garamond" w:cs="Times New Roman"/>
          <w:kern w:val="0"/>
          <w:lang w:eastAsia="en-CA"/>
          <w14:ligatures w14:val="none"/>
        </w:rPr>
      </w:pPr>
      <w:r w:rsidRPr="00983CF5">
        <w:rPr>
          <w:rFonts w:ascii="Garamond" w:eastAsia="Times New Roman" w:hAnsi="Garamond" w:cs="Times New Roman"/>
          <w:kern w:val="0"/>
          <w:lang w:eastAsia="en-CA"/>
          <w14:ligatures w14:val="none"/>
        </w:rPr>
        <w:t>Operationalized</w:t>
      </w:r>
      <w:r w:rsidRPr="00983CF5">
        <w:rPr>
          <w:rFonts w:ascii="Garamond" w:eastAsia="Times New Roman" w:hAnsi="Garamond" w:cs="Times New Roman"/>
          <w:kern w:val="0"/>
          <w:lang w:eastAsia="en-CA"/>
          <w14:ligatures w14:val="none"/>
        </w:rPr>
        <w:t xml:space="preserve"> (im)mobility categories u</w:t>
      </w:r>
      <w:r w:rsidRPr="00983CF5">
        <w:rPr>
          <w:rFonts w:ascii="Garamond" w:eastAsia="Times New Roman" w:hAnsi="Garamond" w:cs="Times New Roman"/>
          <w:kern w:val="0"/>
          <w:lang w:eastAsia="en-CA"/>
          <w14:ligatures w14:val="none"/>
        </w:rPr>
        <w:t xml:space="preserve">sing the </w:t>
      </w:r>
      <w:r w:rsidRPr="00983CF5">
        <w:rPr>
          <w:rFonts w:ascii="Garamond" w:eastAsia="Times New Roman" w:hAnsi="Garamond" w:cs="Times New Roman"/>
          <w:kern w:val="0"/>
          <w:lang w:eastAsia="en-CA"/>
          <w14:ligatures w14:val="none"/>
        </w:rPr>
        <w:t>e</w:t>
      </w:r>
      <w:r w:rsidRPr="00983CF5">
        <w:rPr>
          <w:rFonts w:ascii="Garamond" w:eastAsia="Times New Roman" w:hAnsi="Garamond" w:cs="Times New Roman"/>
          <w:kern w:val="0"/>
          <w:lang w:eastAsia="en-CA"/>
          <w14:ligatures w14:val="none"/>
        </w:rPr>
        <w:t xml:space="preserve">mployment </w:t>
      </w:r>
      <w:r w:rsidRPr="00983CF5">
        <w:rPr>
          <w:rFonts w:ascii="Garamond" w:eastAsia="Times New Roman" w:hAnsi="Garamond" w:cs="Times New Roman"/>
          <w:kern w:val="0"/>
          <w:lang w:eastAsia="en-CA"/>
          <w14:ligatures w14:val="none"/>
        </w:rPr>
        <w:t>p</w:t>
      </w:r>
      <w:r w:rsidRPr="00983CF5">
        <w:rPr>
          <w:rFonts w:ascii="Garamond" w:eastAsia="Times New Roman" w:hAnsi="Garamond" w:cs="Times New Roman"/>
          <w:kern w:val="0"/>
          <w:lang w:eastAsia="en-CA"/>
          <w14:ligatures w14:val="none"/>
        </w:rPr>
        <w:t>roxy</w:t>
      </w:r>
    </w:p>
    <w:tbl>
      <w:tblPr>
        <w:tblStyle w:val="TableGrid"/>
        <w:tblW w:w="0" w:type="auto"/>
        <w:tblLook w:val="04A0" w:firstRow="1" w:lastRow="0" w:firstColumn="1" w:lastColumn="0" w:noHBand="0" w:noVBand="1"/>
      </w:tblPr>
      <w:tblGrid>
        <w:gridCol w:w="8828"/>
      </w:tblGrid>
      <w:tr w:rsidR="009805FB" w14:paraId="3712AE65" w14:textId="77777777" w:rsidTr="009805FB">
        <w:tc>
          <w:tcPr>
            <w:tcW w:w="8828" w:type="dxa"/>
          </w:tcPr>
          <w:p w14:paraId="48671EBA" w14:textId="2C3B8EA5" w:rsidR="009805FB" w:rsidRDefault="009805FB" w:rsidP="00983CF5">
            <w:pPr>
              <w:spacing w:line="360" w:lineRule="auto"/>
              <w:jc w:val="both"/>
              <w:rPr>
                <w:rFonts w:ascii="Garamond" w:eastAsia="Times New Roman" w:hAnsi="Garamond" w:cs="Times New Roman"/>
                <w:kern w:val="0"/>
                <w:lang w:eastAsia="en-CA"/>
                <w14:ligatures w14:val="none"/>
              </w:rPr>
            </w:pPr>
            <w:r w:rsidRPr="00983CF5">
              <w:rPr>
                <w:rFonts w:ascii="Garamond" w:eastAsia="Times New Roman" w:hAnsi="Garamond" w:cs="Times New Roman"/>
                <w:noProof/>
                <w:kern w:val="0"/>
                <w:lang w:eastAsia="en-CA"/>
                <w14:ligatures w14:val="none"/>
              </w:rPr>
              <w:lastRenderedPageBreak/>
              <w:drawing>
                <wp:inline distT="0" distB="0" distL="0" distR="0" wp14:anchorId="03DC0944" wp14:editId="6A13C9F2">
                  <wp:extent cx="5448300" cy="3269103"/>
                  <wp:effectExtent l="0" t="0" r="0" b="7620"/>
                  <wp:docPr id="1549098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55693" cy="3273539"/>
                          </a:xfrm>
                          <a:prstGeom prst="rect">
                            <a:avLst/>
                          </a:prstGeom>
                          <a:noFill/>
                          <a:ln>
                            <a:noFill/>
                          </a:ln>
                        </pic:spPr>
                      </pic:pic>
                    </a:graphicData>
                  </a:graphic>
                </wp:inline>
              </w:drawing>
            </w:r>
          </w:p>
        </w:tc>
      </w:tr>
    </w:tbl>
    <w:p w14:paraId="4FBABF94" w14:textId="5297FFC2" w:rsidR="00983CF5" w:rsidRDefault="00983CF5" w:rsidP="00983CF5">
      <w:pPr>
        <w:pStyle w:val="NoSpacing"/>
        <w:rPr>
          <w:lang w:eastAsia="en-CA"/>
        </w:rPr>
      </w:pPr>
      <w:r>
        <w:rPr>
          <w:lang w:eastAsia="en-CA"/>
        </w:rPr>
        <w:t xml:space="preserve">Source: Author. </w:t>
      </w:r>
    </w:p>
    <w:p w14:paraId="20F5DA84" w14:textId="66C56E89" w:rsidR="00983CF5" w:rsidRPr="00983CF5" w:rsidRDefault="00983CF5" w:rsidP="00983CF5">
      <w:pPr>
        <w:pStyle w:val="NoSpacing"/>
        <w:rPr>
          <w:rFonts w:ascii="Garamond" w:eastAsia="Times New Roman" w:hAnsi="Garamond" w:cs="Times New Roman"/>
          <w:kern w:val="0"/>
          <w:lang w:eastAsia="en-CA"/>
          <w14:ligatures w14:val="none"/>
        </w:rPr>
      </w:pPr>
      <w:r>
        <w:rPr>
          <w:lang w:eastAsia="en-CA"/>
        </w:rPr>
        <w:t xml:space="preserve">Note: (Im)mobility categories are based on </w:t>
      </w:r>
      <w:r>
        <w:rPr>
          <w:lang w:eastAsia="en-CA"/>
        </w:rPr>
        <w:fldChar w:fldCharType="begin"/>
      </w:r>
      <w:r>
        <w:rPr>
          <w:lang w:eastAsia="en-CA"/>
        </w:rPr>
        <w:instrText xml:space="preserve"> ADDIN ZOTERO_ITEM CSL_CITATION {"citationID":"9vu27BWT","properties":{"unsorted":false,"formattedCitation":"(de Haas, 2021; Schewel, 2020)","plainCitation":"(de Haas, 2021; Schewel, 2020)","noteIndex":0},"citationItems":[{"id":17,"uris":["http://zotero.org/users/18422904/items/XPQ54UP6"],"itemData":{"id":17,"type":"article-journal","abstract":"This paper elaborates an aspirations–capabilities framework to advance our understanding of human mobility as an intrinsic part of broader processes of social change. In order to achieve a more meaningful understanding of agency and structure in migration processes, this framework conceptualises migration as a function of aspirations and capabilities to migrate within given sets of perceived geographical opportunity structures. It distinguishes between the instrumental (means-to-an-end) and intrinsic (directly wellbeing-affecting) dimensions of human mobility. This yields a vision in which moving and staying are seen as complementary manifestations of migratory agency and in which human mobility is defined as people’s capability to choose where to live, including the option to stay, rather than as the act of moving or migrating itself. Drawing on Berlin’s concepts of positive and negative liberty (as manifestations of the widely varying structural conditions under which migration occurs) this paper conceptualises how macro-structural change shapes people’s migratory aspirations and capabilities. The resulting framework helps to understand the complex and often counter-intuitive ways in which processes of social transformation and ‘development’ shape patterns of migration and enable us to integrate the analysis of almost all forms of migratory mobility within one meta-conceptual framework.","container-title":"Comparative Migration Studies","DOI":"10.1186/s40878-020-00210-4","ISSN":"2214-594X","issue":"1","journalAbbreviation":"CMS","language":"en","page":"8","source":"Springer Link","title":"A theory of migration: the aspirations-capabilities framework","title-short":"A theory of migration","volume":"9","author":[{"family":"Haas","given":"Hein","non-dropping-particle":"de"}],"issued":{"date-parts":[["2021",2,24]]}}},{"id":1779,"uris":["http://zotero.org/users/18422904/items/MQMAISN3"],"itemData":{"id":1779,"type":"article-journal","abstract":"This article suggests that there is a mobility bias in migration research: by focusing on the “drivers” of migration — the forces that lead to the initiation and perpetuation of migration flows — migration theories neglect the countervailing structural and personal forces that restrict or resist these drivers and lead to different immobility outcomes. To advance a research agenda on immobility, it offers a definition of immobility, further develops the aspiration-capability framework as an analytical tool for exploring the determinants of different forms of (im)mobility, synthesizes decades of interdisciplinary research to help explain why people do not migrate or desire to migrate, and considers future directions for further qualitative and quantitative research on immobility.","container-title":"International Migration Review","DOI":"10.1177/0197918319831952","ISSN":"0197-9183","issue":"2","language":"EN","page":"328-355","publisher":"SAGE Publications Inc","source":"SAGE Journals","title":"Understanding Immobility: Moving Beyond the Mobility Bias in Migration Studies","title-short":"Understanding Immobility","volume":"54","author":[{"family":"Schewel","given":"Kerilyn"}],"issued":{"date-parts":[["2020",6,1]]}}}],"schema":"https://github.com/citation-style-language/schema/raw/master/csl-citation.json"} </w:instrText>
      </w:r>
      <w:r>
        <w:rPr>
          <w:lang w:eastAsia="en-CA"/>
        </w:rPr>
        <w:fldChar w:fldCharType="separate"/>
      </w:r>
      <w:r w:rsidRPr="00983CF5">
        <w:rPr>
          <w:lang w:eastAsia="en-CA"/>
        </w:rPr>
        <w:t>de Haas</w:t>
      </w:r>
      <w:r>
        <w:rPr>
          <w:lang w:eastAsia="en-CA"/>
        </w:rPr>
        <w:t xml:space="preserve"> (</w:t>
      </w:r>
      <w:r w:rsidRPr="00983CF5">
        <w:rPr>
          <w:lang w:eastAsia="en-CA"/>
        </w:rPr>
        <w:t>2021</w:t>
      </w:r>
      <w:r>
        <w:rPr>
          <w:lang w:eastAsia="en-CA"/>
        </w:rPr>
        <w:t xml:space="preserve">) and </w:t>
      </w:r>
      <w:r w:rsidRPr="00983CF5">
        <w:rPr>
          <w:lang w:eastAsia="en-CA"/>
        </w:rPr>
        <w:t>Schewel</w:t>
      </w:r>
      <w:r>
        <w:rPr>
          <w:lang w:eastAsia="en-CA"/>
        </w:rPr>
        <w:t xml:space="preserve"> (</w:t>
      </w:r>
      <w:r w:rsidRPr="00983CF5">
        <w:rPr>
          <w:lang w:eastAsia="en-CA"/>
        </w:rPr>
        <w:t>2020)</w:t>
      </w:r>
      <w:r>
        <w:rPr>
          <w:lang w:eastAsia="en-CA"/>
        </w:rPr>
        <w:fldChar w:fldCharType="end"/>
      </w:r>
    </w:p>
    <w:p w14:paraId="1529634B" w14:textId="77777777" w:rsidR="00983CF5" w:rsidRDefault="00983CF5" w:rsidP="00983CF5">
      <w:pPr>
        <w:pStyle w:val="NoSpacing"/>
        <w:rPr>
          <w:lang w:eastAsia="en-CA"/>
        </w:rPr>
      </w:pPr>
    </w:p>
    <w:p w14:paraId="74414E5E" w14:textId="170AD210" w:rsidR="004A4E82" w:rsidRDefault="004A4E82" w:rsidP="004F4E65">
      <w:pPr>
        <w:spacing w:line="360" w:lineRule="auto"/>
        <w:jc w:val="both"/>
        <w:rPr>
          <w:rFonts w:ascii="Garamond" w:eastAsia="Times New Roman" w:hAnsi="Garamond" w:cs="Times New Roman"/>
          <w:kern w:val="0"/>
          <w:lang w:eastAsia="en-CA"/>
          <w14:ligatures w14:val="none"/>
        </w:rPr>
      </w:pPr>
      <w:r>
        <w:rPr>
          <w:rFonts w:ascii="Garamond" w:eastAsia="Times New Roman" w:hAnsi="Garamond" w:cs="Times New Roman"/>
          <w:kern w:val="0"/>
          <w:lang w:eastAsia="en-CA"/>
          <w14:ligatures w14:val="none"/>
        </w:rPr>
        <w:t xml:space="preserve">Comparing the previous unidimensional indicator with the second one, that of education, the MxFLS data reveals that only 8.56% percent of the people had college education or above, 10.20% had no instruction, and the remaining 81.76% had instruction below college level. Therefor, depending on the cutoff level chosen to define who has the capability to move according to this unidimensional operationalization , if one applies a </w:t>
      </w:r>
      <w:r w:rsidR="00A725B3">
        <w:rPr>
          <w:rFonts w:ascii="Garamond" w:eastAsia="Times New Roman" w:hAnsi="Garamond" w:cs="Times New Roman"/>
          <w:kern w:val="0"/>
          <w:lang w:eastAsia="en-CA"/>
          <w14:ligatures w14:val="none"/>
        </w:rPr>
        <w:t xml:space="preserve">broad cutoff </w:t>
      </w:r>
      <w:r>
        <w:rPr>
          <w:rFonts w:ascii="Garamond" w:eastAsia="Times New Roman" w:hAnsi="Garamond" w:cs="Times New Roman"/>
          <w:kern w:val="0"/>
          <w:lang w:eastAsia="en-CA"/>
          <w14:ligatures w14:val="none"/>
        </w:rPr>
        <w:t xml:space="preserve">where what matters is any degree of education, then 92% of people would be considered capable of moving, and if one applies a more strict measurment where only highly educated people could be considered capable of moving, that is, those with college degree, then only </w:t>
      </w:r>
      <w:r w:rsidR="00A725B3">
        <w:rPr>
          <w:rFonts w:ascii="Garamond" w:eastAsia="Times New Roman" w:hAnsi="Garamond" w:cs="Times New Roman"/>
          <w:kern w:val="0"/>
          <w:lang w:eastAsia="en-CA"/>
          <w14:ligatures w14:val="none"/>
        </w:rPr>
        <w:t xml:space="preserve">8.56% would be considered capable of moving. </w:t>
      </w:r>
    </w:p>
    <w:p w14:paraId="30FE5E59" w14:textId="4B4F6C86" w:rsidR="009805FB" w:rsidRPr="006768BA" w:rsidRDefault="009805FB" w:rsidP="009805FB">
      <w:pPr>
        <w:pStyle w:val="Caption"/>
        <w:rPr>
          <w:b/>
          <w:bCs/>
          <w:i w:val="0"/>
          <w:iCs w:val="0"/>
          <w:color w:val="000000" w:themeColor="text1"/>
          <w:sz w:val="24"/>
          <w:szCs w:val="24"/>
        </w:rPr>
      </w:pPr>
      <w:r w:rsidRPr="006768BA">
        <w:rPr>
          <w:b/>
          <w:bCs/>
          <w:i w:val="0"/>
          <w:iCs w:val="0"/>
          <w:color w:val="000000" w:themeColor="text1"/>
          <w:sz w:val="24"/>
          <w:szCs w:val="24"/>
        </w:rPr>
        <w:t xml:space="preserve">Figure </w:t>
      </w:r>
      <w:r w:rsidRPr="006768BA">
        <w:rPr>
          <w:b/>
          <w:bCs/>
          <w:i w:val="0"/>
          <w:iCs w:val="0"/>
          <w:color w:val="000000" w:themeColor="text1"/>
          <w:sz w:val="24"/>
          <w:szCs w:val="24"/>
        </w:rPr>
        <w:fldChar w:fldCharType="begin"/>
      </w:r>
      <w:r w:rsidRPr="006768BA">
        <w:rPr>
          <w:b/>
          <w:bCs/>
          <w:i w:val="0"/>
          <w:iCs w:val="0"/>
          <w:color w:val="000000" w:themeColor="text1"/>
          <w:sz w:val="24"/>
          <w:szCs w:val="24"/>
        </w:rPr>
        <w:instrText xml:space="preserve"> SEQ Figure \* ARABIC </w:instrText>
      </w:r>
      <w:r w:rsidRPr="006768BA">
        <w:rPr>
          <w:b/>
          <w:bCs/>
          <w:i w:val="0"/>
          <w:iCs w:val="0"/>
          <w:color w:val="000000" w:themeColor="text1"/>
          <w:sz w:val="24"/>
          <w:szCs w:val="24"/>
        </w:rPr>
        <w:fldChar w:fldCharType="separate"/>
      </w:r>
      <w:r>
        <w:rPr>
          <w:b/>
          <w:bCs/>
          <w:i w:val="0"/>
          <w:iCs w:val="0"/>
          <w:noProof/>
          <w:color w:val="000000" w:themeColor="text1"/>
          <w:sz w:val="24"/>
          <w:szCs w:val="24"/>
        </w:rPr>
        <w:t>3</w:t>
      </w:r>
      <w:r w:rsidRPr="006768BA">
        <w:rPr>
          <w:b/>
          <w:bCs/>
          <w:i w:val="0"/>
          <w:iCs w:val="0"/>
          <w:color w:val="000000" w:themeColor="text1"/>
          <w:sz w:val="24"/>
          <w:szCs w:val="24"/>
        </w:rPr>
        <w:fldChar w:fldCharType="end"/>
      </w:r>
    </w:p>
    <w:p w14:paraId="297658A5" w14:textId="45750D14" w:rsidR="009805FB" w:rsidRDefault="009805FB" w:rsidP="009805FB">
      <w:pPr>
        <w:spacing w:line="360" w:lineRule="auto"/>
        <w:jc w:val="both"/>
        <w:rPr>
          <w:rFonts w:ascii="Garamond" w:eastAsia="Times New Roman" w:hAnsi="Garamond" w:cs="Times New Roman"/>
          <w:kern w:val="0"/>
          <w:lang w:eastAsia="en-CA"/>
          <w14:ligatures w14:val="none"/>
        </w:rPr>
      </w:pPr>
      <w:r w:rsidRPr="00983CF5">
        <w:rPr>
          <w:rFonts w:ascii="Garamond" w:eastAsia="Times New Roman" w:hAnsi="Garamond" w:cs="Times New Roman"/>
          <w:kern w:val="0"/>
          <w:lang w:eastAsia="en-CA"/>
          <w14:ligatures w14:val="none"/>
        </w:rPr>
        <w:t xml:space="preserve">Operationalized (im)mobility categories using the </w:t>
      </w:r>
      <w:r>
        <w:rPr>
          <w:rFonts w:ascii="Garamond" w:eastAsia="Times New Roman" w:hAnsi="Garamond" w:cs="Times New Roman"/>
          <w:kern w:val="0"/>
          <w:lang w:eastAsia="en-CA"/>
          <w14:ligatures w14:val="none"/>
        </w:rPr>
        <w:t>education</w:t>
      </w:r>
      <w:r w:rsidRPr="00983CF5">
        <w:rPr>
          <w:rFonts w:ascii="Garamond" w:eastAsia="Times New Roman" w:hAnsi="Garamond" w:cs="Times New Roman"/>
          <w:kern w:val="0"/>
          <w:lang w:eastAsia="en-CA"/>
          <w14:ligatures w14:val="none"/>
        </w:rPr>
        <w:t xml:space="preserve"> proxy</w:t>
      </w:r>
    </w:p>
    <w:tbl>
      <w:tblPr>
        <w:tblStyle w:val="TableGrid"/>
        <w:tblW w:w="0" w:type="auto"/>
        <w:tblLook w:val="04A0" w:firstRow="1" w:lastRow="0" w:firstColumn="1" w:lastColumn="0" w:noHBand="0" w:noVBand="1"/>
      </w:tblPr>
      <w:tblGrid>
        <w:gridCol w:w="8828"/>
      </w:tblGrid>
      <w:tr w:rsidR="009805FB" w14:paraId="55A44C51" w14:textId="77777777" w:rsidTr="009805FB">
        <w:tc>
          <w:tcPr>
            <w:tcW w:w="8828" w:type="dxa"/>
          </w:tcPr>
          <w:p w14:paraId="0A00A41B" w14:textId="1BA27BE6" w:rsidR="009805FB" w:rsidRDefault="009805FB" w:rsidP="009805FB">
            <w:pPr>
              <w:spacing w:line="360" w:lineRule="auto"/>
              <w:jc w:val="both"/>
              <w:rPr>
                <w:rFonts w:ascii="Garamond" w:eastAsia="Times New Roman" w:hAnsi="Garamond" w:cs="Times New Roman"/>
                <w:kern w:val="0"/>
                <w:lang w:eastAsia="en-CA"/>
                <w14:ligatures w14:val="none"/>
              </w:rPr>
            </w:pPr>
            <w:r w:rsidRPr="009805FB">
              <w:rPr>
                <w:rFonts w:ascii="Garamond" w:eastAsia="Times New Roman" w:hAnsi="Garamond" w:cs="Times New Roman"/>
                <w:noProof/>
                <w:kern w:val="0"/>
                <w:lang w:eastAsia="en-CA"/>
                <w14:ligatures w14:val="none"/>
              </w:rPr>
              <w:lastRenderedPageBreak/>
              <w:drawing>
                <wp:inline distT="0" distB="0" distL="0" distR="0" wp14:anchorId="4377D4DC" wp14:editId="4A7827E6">
                  <wp:extent cx="5429045" cy="3257550"/>
                  <wp:effectExtent l="0" t="0" r="635" b="0"/>
                  <wp:docPr id="3398494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32894" cy="3259860"/>
                          </a:xfrm>
                          <a:prstGeom prst="rect">
                            <a:avLst/>
                          </a:prstGeom>
                          <a:noFill/>
                          <a:ln>
                            <a:noFill/>
                          </a:ln>
                        </pic:spPr>
                      </pic:pic>
                    </a:graphicData>
                  </a:graphic>
                </wp:inline>
              </w:drawing>
            </w:r>
          </w:p>
        </w:tc>
      </w:tr>
    </w:tbl>
    <w:p w14:paraId="1F4457D1" w14:textId="41032EF1" w:rsidR="009805FB" w:rsidRDefault="009805FB" w:rsidP="009805FB">
      <w:pPr>
        <w:pStyle w:val="NoSpacing"/>
        <w:rPr>
          <w:lang w:eastAsia="en-CA"/>
        </w:rPr>
      </w:pPr>
      <w:r>
        <w:rPr>
          <w:lang w:eastAsia="en-CA"/>
        </w:rPr>
        <w:t xml:space="preserve">Source: Author. </w:t>
      </w:r>
    </w:p>
    <w:p w14:paraId="735DFAEC" w14:textId="143738DC" w:rsidR="00A70E83" w:rsidRPr="009805FB" w:rsidRDefault="009805FB" w:rsidP="009805FB">
      <w:pPr>
        <w:pStyle w:val="NoSpacing"/>
        <w:rPr>
          <w:rFonts w:ascii="Garamond" w:eastAsia="Times New Roman" w:hAnsi="Garamond" w:cs="Times New Roman"/>
          <w:kern w:val="0"/>
          <w:lang w:eastAsia="en-CA"/>
          <w14:ligatures w14:val="none"/>
        </w:rPr>
      </w:pPr>
      <w:r>
        <w:rPr>
          <w:lang w:eastAsia="en-CA"/>
        </w:rPr>
        <w:t xml:space="preserve">Note: (Im)mobility categories are based on </w:t>
      </w:r>
      <w:r>
        <w:rPr>
          <w:lang w:eastAsia="en-CA"/>
        </w:rPr>
        <w:fldChar w:fldCharType="begin"/>
      </w:r>
      <w:r>
        <w:rPr>
          <w:lang w:eastAsia="en-CA"/>
        </w:rPr>
        <w:instrText xml:space="preserve"> ADDIN ZOTERO_ITEM CSL_CITATION {"citationID":"9vu27BWT","properties":{"unsorted":false,"formattedCitation":"(de Haas, 2021; Schewel, 2020)","plainCitation":"(de Haas, 2021; Schewel, 2020)","noteIndex":0},"citationItems":[{"id":17,"uris":["http://zotero.org/users/18422904/items/XPQ54UP6"],"itemData":{"id":17,"type":"article-journal","abstract":"This paper elaborates an aspirations–capabilities framework to advance our understanding of human mobility as an intrinsic part of broader processes of social change. In order to achieve a more meaningful understanding of agency and structure in migration processes, this framework conceptualises migration as a function of aspirations and capabilities to migrate within given sets of perceived geographical opportunity structures. It distinguishes between the instrumental (means-to-an-end) and intrinsic (directly wellbeing-affecting) dimensions of human mobility. This yields a vision in which moving and staying are seen as complementary manifestations of migratory agency and in which human mobility is defined as people’s capability to choose where to live, including the option to stay, rather than as the act of moving or migrating itself. Drawing on Berlin’s concepts of positive and negative liberty (as manifestations of the widely varying structural conditions under which migration occurs) this paper conceptualises how macro-structural change shapes people’s migratory aspirations and capabilities. The resulting framework helps to understand the complex and often counter-intuitive ways in which processes of social transformation and ‘development’ shape patterns of migration and enable us to integrate the analysis of almost all forms of migratory mobility within one meta-conceptual framework.","container-title":"Comparative Migration Studies","DOI":"10.1186/s40878-020-00210-4","ISSN":"2214-594X","issue":"1","journalAbbreviation":"CMS","language":"en","page":"8","source":"Springer Link","title":"A theory of migration: the aspirations-capabilities framework","title-short":"A theory of migration","volume":"9","author":[{"family":"Haas","given":"Hein","non-dropping-particle":"de"}],"issued":{"date-parts":[["2021",2,24]]}}},{"id":1779,"uris":["http://zotero.org/users/18422904/items/MQMAISN3"],"itemData":{"id":1779,"type":"article-journal","abstract":"This article suggests that there is a mobility bias in migration research: by focusing on the “drivers” of migration — the forces that lead to the initiation and perpetuation of migration flows — migration theories neglect the countervailing structural and personal forces that restrict or resist these drivers and lead to different immobility outcomes. To advance a research agenda on immobility, it offers a definition of immobility, further develops the aspiration-capability framework as an analytical tool for exploring the determinants of different forms of (im)mobility, synthesizes decades of interdisciplinary research to help explain why people do not migrate or desire to migrate, and considers future directions for further qualitative and quantitative research on immobility.","container-title":"International Migration Review","DOI":"10.1177/0197918319831952","ISSN":"0197-9183","issue":"2","language":"EN","page":"328-355","publisher":"SAGE Publications Inc","source":"SAGE Journals","title":"Understanding Immobility: Moving Beyond the Mobility Bias in Migration Studies","title-short":"Understanding Immobility","volume":"54","author":[{"family":"Schewel","given":"Kerilyn"}],"issued":{"date-parts":[["2020",6,1]]}}}],"schema":"https://github.com/citation-style-language/schema/raw/master/csl-citation.json"} </w:instrText>
      </w:r>
      <w:r>
        <w:rPr>
          <w:lang w:eastAsia="en-CA"/>
        </w:rPr>
        <w:fldChar w:fldCharType="separate"/>
      </w:r>
      <w:r w:rsidRPr="00983CF5">
        <w:rPr>
          <w:lang w:eastAsia="en-CA"/>
        </w:rPr>
        <w:t>de Haas</w:t>
      </w:r>
      <w:r>
        <w:rPr>
          <w:lang w:eastAsia="en-CA"/>
        </w:rPr>
        <w:t xml:space="preserve"> (</w:t>
      </w:r>
      <w:r w:rsidRPr="00983CF5">
        <w:rPr>
          <w:lang w:eastAsia="en-CA"/>
        </w:rPr>
        <w:t>2021</w:t>
      </w:r>
      <w:r>
        <w:rPr>
          <w:lang w:eastAsia="en-CA"/>
        </w:rPr>
        <w:t xml:space="preserve">) and </w:t>
      </w:r>
      <w:r w:rsidRPr="00983CF5">
        <w:rPr>
          <w:lang w:eastAsia="en-CA"/>
        </w:rPr>
        <w:t>Schewel</w:t>
      </w:r>
      <w:r>
        <w:rPr>
          <w:lang w:eastAsia="en-CA"/>
        </w:rPr>
        <w:t xml:space="preserve"> (</w:t>
      </w:r>
      <w:r w:rsidRPr="00983CF5">
        <w:rPr>
          <w:lang w:eastAsia="en-CA"/>
        </w:rPr>
        <w:t>2020)</w:t>
      </w:r>
      <w:r>
        <w:rPr>
          <w:lang w:eastAsia="en-CA"/>
        </w:rPr>
        <w:fldChar w:fldCharType="end"/>
      </w:r>
    </w:p>
    <w:p w14:paraId="298F78DC" w14:textId="633FF762" w:rsidR="00164697" w:rsidRPr="00163C1E" w:rsidRDefault="003D07A1" w:rsidP="00D539EF">
      <w:pPr>
        <w:pStyle w:val="Heading1"/>
        <w:numPr>
          <w:ilvl w:val="0"/>
          <w:numId w:val="4"/>
        </w:numPr>
        <w:spacing w:line="360" w:lineRule="auto"/>
        <w:rPr>
          <w:rFonts w:ascii="Garamond" w:hAnsi="Garamond" w:cs="Times New Roman"/>
          <w:b/>
          <w:bCs/>
          <w:color w:val="000000" w:themeColor="text1"/>
          <w:sz w:val="24"/>
          <w:szCs w:val="24"/>
        </w:rPr>
      </w:pPr>
      <w:bookmarkStart w:id="30" w:name="_Toc230511852"/>
      <w:r w:rsidRPr="00163C1E">
        <w:rPr>
          <w:rFonts w:ascii="Garamond" w:hAnsi="Garamond" w:cs="Times New Roman"/>
          <w:b/>
          <w:bCs/>
          <w:color w:val="000000" w:themeColor="text1"/>
          <w:sz w:val="24"/>
          <w:szCs w:val="24"/>
        </w:rPr>
        <w:t>Conclusions and preliminary policy implications</w:t>
      </w:r>
      <w:bookmarkEnd w:id="30"/>
    </w:p>
    <w:p w14:paraId="23EB58CF" w14:textId="77777777" w:rsidR="000C0648" w:rsidRPr="00163C1E" w:rsidRDefault="000C0648" w:rsidP="00DB086E">
      <w:pPr>
        <w:spacing w:line="360" w:lineRule="auto"/>
        <w:rPr>
          <w:rFonts w:ascii="Garamond" w:hAnsi="Garamond"/>
        </w:rPr>
      </w:pPr>
    </w:p>
    <w:p w14:paraId="136EEAA5" w14:textId="7BFCC0DF" w:rsidR="000C0648" w:rsidRPr="00163C1E" w:rsidRDefault="000C0648" w:rsidP="00DB086E">
      <w:pPr>
        <w:spacing w:line="360" w:lineRule="auto"/>
        <w:jc w:val="center"/>
        <w:rPr>
          <w:rFonts w:ascii="Garamond" w:hAnsi="Garamond"/>
        </w:rPr>
      </w:pPr>
      <w:r w:rsidRPr="00163C1E">
        <w:rPr>
          <w:rFonts w:ascii="Garamond" w:hAnsi="Garamond"/>
          <w:b/>
          <w:bCs/>
        </w:rPr>
        <w:t>References</w:t>
      </w:r>
    </w:p>
    <w:p w14:paraId="02FDE9DE" w14:textId="77777777" w:rsidR="00983CF5" w:rsidRPr="00983CF5" w:rsidRDefault="00164697" w:rsidP="00983CF5">
      <w:pPr>
        <w:pStyle w:val="Bibliography"/>
      </w:pPr>
      <w:r w:rsidRPr="00163C1E">
        <w:fldChar w:fldCharType="begin"/>
      </w:r>
      <w:r w:rsidR="00060642">
        <w:instrText xml:space="preserve"> ADDIN ZOTERO_BIBL {"uncited":[],"omitted":[],"custom":[]} CSL_BIBLIOGRAPHY </w:instrText>
      </w:r>
      <w:r w:rsidRPr="00163C1E">
        <w:fldChar w:fldCharType="separate"/>
      </w:r>
      <w:r w:rsidR="00983CF5" w:rsidRPr="00983CF5">
        <w:t xml:space="preserve">Adams, H. (2016). Why populations persist: Mobility, place attachment and climate change. </w:t>
      </w:r>
      <w:r w:rsidR="00983CF5" w:rsidRPr="00983CF5">
        <w:rPr>
          <w:i/>
          <w:iCs/>
        </w:rPr>
        <w:t>Population and Environment</w:t>
      </w:r>
      <w:r w:rsidR="00983CF5" w:rsidRPr="00983CF5">
        <w:t xml:space="preserve">, </w:t>
      </w:r>
      <w:r w:rsidR="00983CF5" w:rsidRPr="00983CF5">
        <w:rPr>
          <w:i/>
          <w:iCs/>
        </w:rPr>
        <w:t>37</w:t>
      </w:r>
      <w:r w:rsidR="00983CF5" w:rsidRPr="00983CF5">
        <w:t>(4), 429-448. https://doi.org/10.1007/s11111-015-0246-3</w:t>
      </w:r>
    </w:p>
    <w:p w14:paraId="6201AE0E" w14:textId="77777777" w:rsidR="00983CF5" w:rsidRPr="00983CF5" w:rsidRDefault="00983CF5" w:rsidP="00983CF5">
      <w:pPr>
        <w:pStyle w:val="Bibliography"/>
      </w:pPr>
      <w:r w:rsidRPr="00983CF5">
        <w:t xml:space="preserve">Ahsan, Md. N., Khatun, F., Kumar, P., Dasgupta, R., Johnson, B. A., &amp; Shaw, R. (2021). Promise, premise, and reality: The case of voluntary environmental non-migration despite climate risks in coastal Bangladesh. </w:t>
      </w:r>
      <w:r w:rsidRPr="00983CF5">
        <w:rPr>
          <w:i/>
          <w:iCs/>
        </w:rPr>
        <w:t>Regional Environmental Change</w:t>
      </w:r>
      <w:r w:rsidRPr="00983CF5">
        <w:t xml:space="preserve">, </w:t>
      </w:r>
      <w:r w:rsidRPr="00983CF5">
        <w:rPr>
          <w:i/>
          <w:iCs/>
        </w:rPr>
        <w:t>22</w:t>
      </w:r>
      <w:r w:rsidRPr="00983CF5">
        <w:t>(1), 1. https://doi.org/10.1007/s10113-021-01864-1</w:t>
      </w:r>
    </w:p>
    <w:p w14:paraId="757F4912" w14:textId="77777777" w:rsidR="00983CF5" w:rsidRPr="00983CF5" w:rsidRDefault="00983CF5" w:rsidP="00983CF5">
      <w:pPr>
        <w:pStyle w:val="Bibliography"/>
      </w:pPr>
      <w:r w:rsidRPr="00983CF5">
        <w:t xml:space="preserve">Ayeb-Karlsson, S., Smith, C. D., &amp; Kniveton, D. (2018). A discursive review of the textual use of ‘trapped’ in environmental migration studies: The conceptual birth and troubled teenage years of trapped populations. </w:t>
      </w:r>
      <w:r w:rsidRPr="00983CF5">
        <w:rPr>
          <w:i/>
          <w:iCs/>
        </w:rPr>
        <w:t>Ambio</w:t>
      </w:r>
      <w:r w:rsidRPr="00983CF5">
        <w:t xml:space="preserve">, </w:t>
      </w:r>
      <w:r w:rsidRPr="00983CF5">
        <w:rPr>
          <w:i/>
          <w:iCs/>
        </w:rPr>
        <w:t>47</w:t>
      </w:r>
      <w:r w:rsidRPr="00983CF5">
        <w:t>(5), 557-573. https://doi.org/10.1007/s13280-017-1007-6</w:t>
      </w:r>
    </w:p>
    <w:p w14:paraId="2F231D4B" w14:textId="77777777" w:rsidR="00983CF5" w:rsidRPr="00983CF5" w:rsidRDefault="00983CF5" w:rsidP="00983CF5">
      <w:pPr>
        <w:pStyle w:val="Bibliography"/>
      </w:pPr>
      <w:r w:rsidRPr="00983CF5">
        <w:lastRenderedPageBreak/>
        <w:t xml:space="preserve">Azose, J. J., &amp; Raftery, A. E. (2019). Estimation of emigration, return migration, and transit migration between all pairs of countries. </w:t>
      </w:r>
      <w:r w:rsidRPr="00983CF5">
        <w:rPr>
          <w:i/>
          <w:iCs/>
        </w:rPr>
        <w:t>Proceedings of the National Academy of Sciences</w:t>
      </w:r>
      <w:r w:rsidRPr="00983CF5">
        <w:t xml:space="preserve">, </w:t>
      </w:r>
      <w:r w:rsidRPr="00983CF5">
        <w:rPr>
          <w:i/>
          <w:iCs/>
        </w:rPr>
        <w:t>116</w:t>
      </w:r>
      <w:r w:rsidRPr="00983CF5">
        <w:t>(1), 116-122. https://doi.org/10.1073/pnas.1722334116</w:t>
      </w:r>
    </w:p>
    <w:p w14:paraId="7127937F" w14:textId="77777777" w:rsidR="00983CF5" w:rsidRPr="00983CF5" w:rsidRDefault="00983CF5" w:rsidP="00983CF5">
      <w:pPr>
        <w:pStyle w:val="Bibliography"/>
      </w:pPr>
      <w:r w:rsidRPr="00983CF5">
        <w:t xml:space="preserve">Beine, M., &amp; Jeusette, L. (2018). A Meta-Analysis of the Literature on Climate Change and Migration. </w:t>
      </w:r>
      <w:r w:rsidRPr="00983CF5">
        <w:rPr>
          <w:i/>
          <w:iCs/>
        </w:rPr>
        <w:t>DEM Discussion Paper Series, DEM Discussion Paper Series</w:t>
      </w:r>
      <w:r w:rsidRPr="00983CF5">
        <w:t>, Article 18-05. https://ideas.repec.org//p/luc/wpaper/18-05.html</w:t>
      </w:r>
    </w:p>
    <w:p w14:paraId="16525365" w14:textId="77777777" w:rsidR="00983CF5" w:rsidRPr="00983CF5" w:rsidRDefault="00983CF5" w:rsidP="00983CF5">
      <w:pPr>
        <w:pStyle w:val="Bibliography"/>
      </w:pPr>
      <w:r w:rsidRPr="00983CF5">
        <w:t xml:space="preserve">Black, R., &amp; Collyer, M. (2014). “Trapped” Populations: Limits on mobility at times of crisis. En </w:t>
      </w:r>
      <w:r w:rsidRPr="00983CF5">
        <w:rPr>
          <w:i/>
          <w:iCs/>
        </w:rPr>
        <w:t>Humanitarian Crises and Migration</w:t>
      </w:r>
      <w:r w:rsidRPr="00983CF5">
        <w:t>. Routledge.</w:t>
      </w:r>
    </w:p>
    <w:p w14:paraId="6F55FEAA" w14:textId="77777777" w:rsidR="00983CF5" w:rsidRPr="00983CF5" w:rsidRDefault="00983CF5" w:rsidP="00983CF5">
      <w:pPr>
        <w:pStyle w:val="Bibliography"/>
      </w:pPr>
      <w:r w:rsidRPr="00983CF5">
        <w:t xml:space="preserve">Boas, I., Kloppenburg, S., van Leeuwen, J., &amp; Lamers, M. (2018). Environmental Mobilities: An Alternative Lens to Global Environmental Governance. </w:t>
      </w:r>
      <w:r w:rsidRPr="00983CF5">
        <w:rPr>
          <w:i/>
          <w:iCs/>
        </w:rPr>
        <w:t>Global Environmental Politics</w:t>
      </w:r>
      <w:r w:rsidRPr="00983CF5">
        <w:t xml:space="preserve">, </w:t>
      </w:r>
      <w:r w:rsidRPr="00983CF5">
        <w:rPr>
          <w:i/>
          <w:iCs/>
        </w:rPr>
        <w:t>18</w:t>
      </w:r>
      <w:r w:rsidRPr="00983CF5">
        <w:t>(4), 107-126. https://doi.org/10.1162/glep_a_00482</w:t>
      </w:r>
    </w:p>
    <w:p w14:paraId="5117A9B5" w14:textId="77777777" w:rsidR="00983CF5" w:rsidRPr="00983CF5" w:rsidRDefault="00983CF5" w:rsidP="00983CF5">
      <w:pPr>
        <w:pStyle w:val="Bibliography"/>
        <w:rPr>
          <w:lang w:val="es-MX"/>
        </w:rPr>
      </w:pPr>
      <w:r w:rsidRPr="00983CF5">
        <w:t xml:space="preserve">Boldrini, M., &amp; Saggiomo, V. (2026). On Women’s Shoulders: Care-Based Immobility and Climate Adaptation in Rural Ghana. </w:t>
      </w:r>
      <w:r w:rsidRPr="00983CF5">
        <w:rPr>
          <w:i/>
          <w:iCs/>
          <w:lang w:val="es-MX"/>
        </w:rPr>
        <w:t>Migraciones. Publicación Del Instituto Universitario de Estudios Sobre Migraciones</w:t>
      </w:r>
      <w:r w:rsidRPr="00983CF5">
        <w:rPr>
          <w:lang w:val="es-MX"/>
        </w:rPr>
        <w:t>, (66), 1-21. https://doi.org/10.14422/mig.23420.012</w:t>
      </w:r>
    </w:p>
    <w:p w14:paraId="13D6589A" w14:textId="77777777" w:rsidR="00983CF5" w:rsidRPr="00983CF5" w:rsidRDefault="00983CF5" w:rsidP="00983CF5">
      <w:pPr>
        <w:pStyle w:val="Bibliography"/>
      </w:pPr>
      <w:r w:rsidRPr="00983CF5">
        <w:t xml:space="preserve">Carling, J., &amp; Schewel, K. (2019). : Revisiting aspiration and ability in international migration. En </w:t>
      </w:r>
      <w:r w:rsidRPr="00983CF5">
        <w:rPr>
          <w:i/>
          <w:iCs/>
        </w:rPr>
        <w:t>Aspiration, Desire and the Drivers of Migration</w:t>
      </w:r>
      <w:r w:rsidRPr="00983CF5">
        <w:t>. Routledge.</w:t>
      </w:r>
    </w:p>
    <w:p w14:paraId="2111C93D" w14:textId="77777777" w:rsidR="00983CF5" w:rsidRPr="00983CF5" w:rsidRDefault="00983CF5" w:rsidP="00983CF5">
      <w:pPr>
        <w:pStyle w:val="Bibliography"/>
      </w:pPr>
      <w:r w:rsidRPr="00983CF5">
        <w:t xml:space="preserve">Clement, V., Rigaud, K. K., de Sherbinin, A., Jones, B., Adamo, S., Schewe, J., Sadiq, N., &amp; Shabahat, E. (2021). </w:t>
      </w:r>
      <w:r w:rsidRPr="00983CF5">
        <w:rPr>
          <w:i/>
          <w:iCs/>
        </w:rPr>
        <w:t>Groundswell Part 2: Acting on Internal Climate Migration</w:t>
      </w:r>
      <w:r w:rsidRPr="00983CF5">
        <w:t>. World Bank. https://openknowledge.worldbank.org/entities/publication/2c9150df-52c3-58ed-9075-d78ea56c3267</w:t>
      </w:r>
    </w:p>
    <w:p w14:paraId="4261F2F7" w14:textId="77777777" w:rsidR="00983CF5" w:rsidRPr="00983CF5" w:rsidRDefault="00983CF5" w:rsidP="00983CF5">
      <w:pPr>
        <w:pStyle w:val="Bibliography"/>
      </w:pPr>
      <w:r w:rsidRPr="00983CF5">
        <w:t xml:space="preserve">de Haas, H. (2021). A theory of migration: The aspirations-capabilities framework. </w:t>
      </w:r>
      <w:r w:rsidRPr="00983CF5">
        <w:rPr>
          <w:i/>
          <w:iCs/>
        </w:rPr>
        <w:t>Comparative Migration Studies</w:t>
      </w:r>
      <w:r w:rsidRPr="00983CF5">
        <w:t xml:space="preserve">, </w:t>
      </w:r>
      <w:r w:rsidRPr="00983CF5">
        <w:rPr>
          <w:i/>
          <w:iCs/>
        </w:rPr>
        <w:t>9</w:t>
      </w:r>
      <w:r w:rsidRPr="00983CF5">
        <w:t>(1), 8. https://doi.org/10.1186/s40878-020-00210-4</w:t>
      </w:r>
    </w:p>
    <w:p w14:paraId="42B2C459" w14:textId="77777777" w:rsidR="00983CF5" w:rsidRPr="00983CF5" w:rsidRDefault="00983CF5" w:rsidP="00983CF5">
      <w:pPr>
        <w:pStyle w:val="Bibliography"/>
      </w:pPr>
      <w:r w:rsidRPr="00983CF5">
        <w:lastRenderedPageBreak/>
        <w:t xml:space="preserve">De Haas, H., &amp; Fokkema, T. (2010). Intra-Household Conflicts in Migration Decisionmaking: Return and Pendulum Migration in Morocco. </w:t>
      </w:r>
      <w:r w:rsidRPr="00983CF5">
        <w:rPr>
          <w:i/>
          <w:iCs/>
        </w:rPr>
        <w:t>Population and Development Review</w:t>
      </w:r>
      <w:r w:rsidRPr="00983CF5">
        <w:t xml:space="preserve">, </w:t>
      </w:r>
      <w:r w:rsidRPr="00983CF5">
        <w:rPr>
          <w:i/>
          <w:iCs/>
        </w:rPr>
        <w:t>36</w:t>
      </w:r>
      <w:r w:rsidRPr="00983CF5">
        <w:t>(3), 541-561. https://doi.org/10.1111/j.1728-4457.2010.00345.x</w:t>
      </w:r>
    </w:p>
    <w:p w14:paraId="5F236345" w14:textId="77777777" w:rsidR="00983CF5" w:rsidRPr="00983CF5" w:rsidRDefault="00983CF5" w:rsidP="00983CF5">
      <w:pPr>
        <w:pStyle w:val="Bibliography"/>
      </w:pPr>
      <w:r w:rsidRPr="00983CF5">
        <w:t xml:space="preserve">DeWaard, J., Hunter, L. M., Mathews, M., Quiñones, E. J., Riosmena, F., &amp; Simon, D. H. (2022). Operationalizing and empirically identifying populations trapped in place by climate and environmental stressors in Mexico. </w:t>
      </w:r>
      <w:r w:rsidRPr="00983CF5">
        <w:rPr>
          <w:i/>
          <w:iCs/>
        </w:rPr>
        <w:t>Regional environmental change</w:t>
      </w:r>
      <w:r w:rsidRPr="00983CF5">
        <w:t xml:space="preserve">, </w:t>
      </w:r>
      <w:r w:rsidRPr="00983CF5">
        <w:rPr>
          <w:i/>
          <w:iCs/>
        </w:rPr>
        <w:t>22</w:t>
      </w:r>
      <w:r w:rsidRPr="00983CF5">
        <w:t>(1), 29. https://doi.org/10.1007/s10113-022-01882-7</w:t>
      </w:r>
    </w:p>
    <w:p w14:paraId="6BA43F35" w14:textId="77777777" w:rsidR="00983CF5" w:rsidRPr="00983CF5" w:rsidRDefault="00983CF5" w:rsidP="00983CF5">
      <w:pPr>
        <w:pStyle w:val="Bibliography"/>
      </w:pPr>
      <w:r w:rsidRPr="00983CF5">
        <w:t xml:space="preserve">Foresight. (2011). </w:t>
      </w:r>
      <w:r w:rsidRPr="00983CF5">
        <w:rPr>
          <w:i/>
          <w:iCs/>
        </w:rPr>
        <w:t>Migration and Global Environmental Change Future Challenges and Opportunities</w:t>
      </w:r>
      <w:r w:rsidRPr="00983CF5">
        <w:t>. Foresight. https://www.un.org/development/desa/pd/sites/www.un.org.development.desa.pd/files/unpd-cm10201202-11-1116-migration-and-global-environmental-change.pdf</w:t>
      </w:r>
    </w:p>
    <w:p w14:paraId="1719B8BC" w14:textId="77777777" w:rsidR="00983CF5" w:rsidRPr="00983CF5" w:rsidRDefault="00983CF5" w:rsidP="00983CF5">
      <w:pPr>
        <w:pStyle w:val="Bibliography"/>
      </w:pPr>
      <w:r w:rsidRPr="00983CF5">
        <w:t>Fréguin</w:t>
      </w:r>
      <w:r w:rsidRPr="00983CF5">
        <w:rPr>
          <w:rFonts w:ascii="Cambria Math" w:hAnsi="Cambria Math" w:cs="Cambria Math"/>
        </w:rPr>
        <w:t>‐</w:t>
      </w:r>
      <w:r w:rsidRPr="00983CF5">
        <w:t>Gresh, S., &amp; Cortès, G. (2026). Migration, circular mobility and food security in Nicaragua: An analytical framework based on food sourcing and farm household multi</w:t>
      </w:r>
      <w:r w:rsidRPr="00983CF5">
        <w:rPr>
          <w:rFonts w:ascii="Cambria Math" w:hAnsi="Cambria Math" w:cs="Cambria Math"/>
        </w:rPr>
        <w:t>‐</w:t>
      </w:r>
      <w:r w:rsidRPr="00983CF5">
        <w:t xml:space="preserve">localisation. </w:t>
      </w:r>
      <w:r w:rsidRPr="00983CF5">
        <w:rPr>
          <w:i/>
          <w:iCs/>
        </w:rPr>
        <w:t>The Geographical Journal</w:t>
      </w:r>
      <w:r w:rsidRPr="00983CF5">
        <w:t xml:space="preserve">, </w:t>
      </w:r>
      <w:r w:rsidRPr="00983CF5">
        <w:rPr>
          <w:i/>
          <w:iCs/>
        </w:rPr>
        <w:t>192</w:t>
      </w:r>
      <w:r w:rsidRPr="00983CF5">
        <w:t>(1), e70052. https://doi.org/10.1111/geoj.70052</w:t>
      </w:r>
    </w:p>
    <w:p w14:paraId="50D0CE1A" w14:textId="77777777" w:rsidR="00983CF5" w:rsidRPr="00983CF5" w:rsidRDefault="00983CF5" w:rsidP="00983CF5">
      <w:pPr>
        <w:pStyle w:val="Bibliography"/>
      </w:pPr>
      <w:r w:rsidRPr="00983CF5">
        <w:t xml:space="preserve">Freihardt, J. (2025). Trapped by climate change? (In)voluntary immobility in Bangladesh. </w:t>
      </w:r>
      <w:r w:rsidRPr="00983CF5">
        <w:rPr>
          <w:i/>
          <w:iCs/>
        </w:rPr>
        <w:t>Regional Environmental Change</w:t>
      </w:r>
      <w:r w:rsidRPr="00983CF5">
        <w:t xml:space="preserve">, </w:t>
      </w:r>
      <w:r w:rsidRPr="00983CF5">
        <w:rPr>
          <w:i/>
          <w:iCs/>
        </w:rPr>
        <w:t>25</w:t>
      </w:r>
      <w:r w:rsidRPr="00983CF5">
        <w:t>(4), 117. https://doi.org/10.1007/s10113-025-02452-3</w:t>
      </w:r>
    </w:p>
    <w:p w14:paraId="757F920F" w14:textId="77777777" w:rsidR="00983CF5" w:rsidRPr="00983CF5" w:rsidRDefault="00983CF5" w:rsidP="00983CF5">
      <w:pPr>
        <w:pStyle w:val="Bibliography"/>
      </w:pPr>
      <w:r w:rsidRPr="00983CF5">
        <w:t xml:space="preserve">Hosnedlová, R., &amp; Maidanik, I. (2025). Decoding Migration Capability: (Im)Mobility Decision-Making in the Ukrainian Population. </w:t>
      </w:r>
      <w:r w:rsidRPr="00983CF5">
        <w:rPr>
          <w:i/>
          <w:iCs/>
        </w:rPr>
        <w:t>Population, Space and Place</w:t>
      </w:r>
      <w:r w:rsidRPr="00983CF5">
        <w:t xml:space="preserve">, </w:t>
      </w:r>
      <w:r w:rsidRPr="00983CF5">
        <w:rPr>
          <w:i/>
          <w:iCs/>
        </w:rPr>
        <w:t>31</w:t>
      </w:r>
      <w:r w:rsidRPr="00983CF5">
        <w:t>(8), e70128. https://doi.org/10.1002/psp.70128</w:t>
      </w:r>
    </w:p>
    <w:p w14:paraId="3A1348C1" w14:textId="77777777" w:rsidR="00983CF5" w:rsidRPr="00983CF5" w:rsidRDefault="00983CF5" w:rsidP="00983CF5">
      <w:pPr>
        <w:pStyle w:val="Bibliography"/>
      </w:pPr>
      <w:r w:rsidRPr="00983CF5">
        <w:t xml:space="preserve">IDMC. (2025). </w:t>
      </w:r>
      <w:r w:rsidRPr="00983CF5">
        <w:rPr>
          <w:i/>
          <w:iCs/>
        </w:rPr>
        <w:t>2025 Global Report on Internal Displacement</w:t>
      </w:r>
      <w:r w:rsidRPr="00983CF5">
        <w:t>. Internal Displacement Monitoring Center. https://doi.org/10.55363/IDMC.XTGW2833</w:t>
      </w:r>
    </w:p>
    <w:p w14:paraId="10DADEF8" w14:textId="77777777" w:rsidR="00983CF5" w:rsidRPr="00983CF5" w:rsidRDefault="00983CF5" w:rsidP="00983CF5">
      <w:pPr>
        <w:pStyle w:val="Bibliography"/>
      </w:pPr>
      <w:r w:rsidRPr="00983CF5">
        <w:t xml:space="preserve">International Organization for Migration. (2008). </w:t>
      </w:r>
      <w:r w:rsidRPr="00983CF5">
        <w:rPr>
          <w:i/>
          <w:iCs/>
        </w:rPr>
        <w:t>Migration and climate change</w:t>
      </w:r>
      <w:r w:rsidRPr="00983CF5">
        <w:t xml:space="preserve"> (IOM Migration Research Series No. 31). International Organization for Migration.</w:t>
      </w:r>
    </w:p>
    <w:p w14:paraId="37A8952E" w14:textId="77777777" w:rsidR="00983CF5" w:rsidRPr="00983CF5" w:rsidRDefault="00983CF5" w:rsidP="00983CF5">
      <w:pPr>
        <w:pStyle w:val="Bibliography"/>
      </w:pPr>
      <w:r w:rsidRPr="00983CF5">
        <w:lastRenderedPageBreak/>
        <w:t xml:space="preserve">IOM. (2019). </w:t>
      </w:r>
      <w:r w:rsidRPr="00983CF5">
        <w:rPr>
          <w:i/>
          <w:iCs/>
        </w:rPr>
        <w:t>Debt and the Migration Experience: Insights from South-East Asia</w:t>
      </w:r>
      <w:r w:rsidRPr="00983CF5">
        <w:t>. https://publications.iom.int/system/files/pdf/debt_and_the_migration_experience_insights_from_southeast_asia_2.pdf?</w:t>
      </w:r>
    </w:p>
    <w:p w14:paraId="596FCB51" w14:textId="77777777" w:rsidR="00983CF5" w:rsidRPr="00983CF5" w:rsidRDefault="00983CF5" w:rsidP="00983CF5">
      <w:pPr>
        <w:pStyle w:val="Bibliography"/>
      </w:pPr>
      <w:r w:rsidRPr="00983CF5">
        <w:rPr>
          <w:lang w:val="es-MX"/>
        </w:rPr>
        <w:t xml:space="preserve">Letta, M., Montalbano, P., &amp; Paolantonio, A. (2024). </w:t>
      </w:r>
      <w:r w:rsidRPr="00983CF5">
        <w:rPr>
          <w:i/>
          <w:iCs/>
        </w:rPr>
        <w:t>Climate Immobility Traps: A Household-Level Test</w:t>
      </w:r>
      <w:r w:rsidRPr="00983CF5">
        <w:t xml:space="preserve"> (arXiv:2403.09470). arXiv. https://doi.org/10.48550/arXiv.2403.09470</w:t>
      </w:r>
    </w:p>
    <w:p w14:paraId="30D7D8D0" w14:textId="77777777" w:rsidR="00983CF5" w:rsidRPr="00983CF5" w:rsidRDefault="00983CF5" w:rsidP="00983CF5">
      <w:pPr>
        <w:pStyle w:val="Bibliography"/>
      </w:pPr>
      <w:r w:rsidRPr="00983CF5">
        <w:t xml:space="preserve">Link, A.-C., Oakes, R., Durand-Delacre, D., Thalheimer-Prezyna, L., &amp; van der Geest, K. (2025). To what extent do climatic stressors drive human mobility in the world’s drylands? A systematic review of empirical evidence. </w:t>
      </w:r>
      <w:r w:rsidRPr="00983CF5">
        <w:rPr>
          <w:i/>
          <w:iCs/>
        </w:rPr>
        <w:t>Population and Environment</w:t>
      </w:r>
      <w:r w:rsidRPr="00983CF5">
        <w:t xml:space="preserve">, </w:t>
      </w:r>
      <w:r w:rsidRPr="00983CF5">
        <w:rPr>
          <w:i/>
          <w:iCs/>
        </w:rPr>
        <w:t>47</w:t>
      </w:r>
      <w:r w:rsidRPr="00983CF5">
        <w:t>(1), 16. https://doi.org/10.1007/s11111-025-00486-7</w:t>
      </w:r>
    </w:p>
    <w:p w14:paraId="63A57D1A" w14:textId="77777777" w:rsidR="00983CF5" w:rsidRPr="00983CF5" w:rsidRDefault="00983CF5" w:rsidP="00983CF5">
      <w:pPr>
        <w:pStyle w:val="Bibliography"/>
      </w:pPr>
      <w:r w:rsidRPr="00983CF5">
        <w:t xml:space="preserve">Loebach, P. (2016). Household migration as a livelihood adaptation in response to a natural disaster: Nicaragua and Hurricane Mitch. </w:t>
      </w:r>
      <w:r w:rsidRPr="00983CF5">
        <w:rPr>
          <w:i/>
          <w:iCs/>
        </w:rPr>
        <w:t>Population and Environment</w:t>
      </w:r>
      <w:r w:rsidRPr="00983CF5">
        <w:t xml:space="preserve">, </w:t>
      </w:r>
      <w:r w:rsidRPr="00983CF5">
        <w:rPr>
          <w:i/>
          <w:iCs/>
        </w:rPr>
        <w:t>38</w:t>
      </w:r>
      <w:r w:rsidRPr="00983CF5">
        <w:t>(2), 185-206. https://doi.org/10.1007/s11111-016-0256-9</w:t>
      </w:r>
    </w:p>
    <w:p w14:paraId="5EBD2A9B" w14:textId="77777777" w:rsidR="00983CF5" w:rsidRPr="00983CF5" w:rsidRDefault="00983CF5" w:rsidP="00983CF5">
      <w:pPr>
        <w:pStyle w:val="Bibliography"/>
        <w:rPr>
          <w:lang w:val="es-MX"/>
        </w:rPr>
      </w:pPr>
      <w:r w:rsidRPr="00983CF5">
        <w:t xml:space="preserve">Mallick, B., &amp; Hunter, L. (2023). Environmental non-migration: Framework, methods, and cases. </w:t>
      </w:r>
      <w:r w:rsidRPr="00983CF5">
        <w:rPr>
          <w:i/>
          <w:iCs/>
          <w:lang w:val="es-MX"/>
        </w:rPr>
        <w:t>Regional Environmental Change</w:t>
      </w:r>
      <w:r w:rsidRPr="00983CF5">
        <w:rPr>
          <w:lang w:val="es-MX"/>
        </w:rPr>
        <w:t xml:space="preserve">, </w:t>
      </w:r>
      <w:r w:rsidRPr="00983CF5">
        <w:rPr>
          <w:i/>
          <w:iCs/>
          <w:lang w:val="es-MX"/>
        </w:rPr>
        <w:t>23</w:t>
      </w:r>
      <w:r w:rsidRPr="00983CF5">
        <w:rPr>
          <w:lang w:val="es-MX"/>
        </w:rPr>
        <w:t>(1), 22. https://doi.org/10.1007/s10113-022-02019-6</w:t>
      </w:r>
    </w:p>
    <w:p w14:paraId="1A18662F" w14:textId="77777777" w:rsidR="00983CF5" w:rsidRPr="00983CF5" w:rsidRDefault="00983CF5" w:rsidP="00983CF5">
      <w:pPr>
        <w:pStyle w:val="Bibliography"/>
      </w:pPr>
      <w:r w:rsidRPr="00983CF5">
        <w:rPr>
          <w:lang w:val="es-MX"/>
        </w:rPr>
        <w:t xml:space="preserve">Massey, D. S., Arango, J., Hugo, G., Kouaouci, A., Pellegrino, A., &amp; Taylor, J. E. (1993). </w:t>
      </w:r>
      <w:r w:rsidRPr="00983CF5">
        <w:t xml:space="preserve">Theories of International Migration: A Review and Appraisal. </w:t>
      </w:r>
      <w:r w:rsidRPr="00983CF5">
        <w:rPr>
          <w:i/>
          <w:iCs/>
        </w:rPr>
        <w:t>Population and Development Review</w:t>
      </w:r>
      <w:r w:rsidRPr="00983CF5">
        <w:t xml:space="preserve">, </w:t>
      </w:r>
      <w:r w:rsidRPr="00983CF5">
        <w:rPr>
          <w:i/>
          <w:iCs/>
        </w:rPr>
        <w:t>19</w:t>
      </w:r>
      <w:r w:rsidRPr="00983CF5">
        <w:t>(3), 431-466. https://doi.org/10.2307/2938462</w:t>
      </w:r>
    </w:p>
    <w:p w14:paraId="3514E5CD" w14:textId="77777777" w:rsidR="00983CF5" w:rsidRPr="00983CF5" w:rsidRDefault="00983CF5" w:rsidP="00983CF5">
      <w:pPr>
        <w:pStyle w:val="Bibliography"/>
      </w:pPr>
      <w:r w:rsidRPr="00983CF5">
        <w:t xml:space="preserve">McLeman, R. (2018). Thresholds in climate migration. </w:t>
      </w:r>
      <w:r w:rsidRPr="00983CF5">
        <w:rPr>
          <w:i/>
          <w:iCs/>
        </w:rPr>
        <w:t>Population and Environment</w:t>
      </w:r>
      <w:r w:rsidRPr="00983CF5">
        <w:t xml:space="preserve">, </w:t>
      </w:r>
      <w:r w:rsidRPr="00983CF5">
        <w:rPr>
          <w:i/>
          <w:iCs/>
        </w:rPr>
        <w:t>39</w:t>
      </w:r>
      <w:r w:rsidRPr="00983CF5">
        <w:t>, 319-338. https://doi.org/10.1007/s11111-017-0290-2</w:t>
      </w:r>
    </w:p>
    <w:p w14:paraId="7DC0C34F" w14:textId="77777777" w:rsidR="00983CF5" w:rsidRPr="00983CF5" w:rsidRDefault="00983CF5" w:rsidP="00983CF5">
      <w:pPr>
        <w:pStyle w:val="Bibliography"/>
      </w:pPr>
      <w:r w:rsidRPr="00983CF5">
        <w:t xml:space="preserve">Obi, C. T. (2021). </w:t>
      </w:r>
      <w:r w:rsidRPr="00983CF5">
        <w:rPr>
          <w:i/>
          <w:iCs/>
        </w:rPr>
        <w:t>The socioeconomics of international migration decisions and outcomes. Exploring the Nigeria – Italy Migration Corridor through a capability-based migration framework.</w:t>
      </w:r>
      <w:r w:rsidRPr="00983CF5">
        <w:t xml:space="preserve"> [Universiteit Gent.]. https://backoffice.biblio.ugent.be/download/8700021/8700026</w:t>
      </w:r>
    </w:p>
    <w:p w14:paraId="6711A5BB" w14:textId="77777777" w:rsidR="00983CF5" w:rsidRPr="00983CF5" w:rsidRDefault="00983CF5" w:rsidP="00983CF5">
      <w:pPr>
        <w:pStyle w:val="Bibliography"/>
      </w:pPr>
      <w:r w:rsidRPr="00983CF5">
        <w:lastRenderedPageBreak/>
        <w:t xml:space="preserve">Pakravan-charvadeh, M. R., Chamcham, J., &amp; Maleknia, R. (2025). How climate change adaptation strategies and climate migration interact to control food insecurity? </w:t>
      </w:r>
      <w:r w:rsidRPr="00983CF5">
        <w:rPr>
          <w:i/>
          <w:iCs/>
        </w:rPr>
        <w:t>Regional Sustainability</w:t>
      </w:r>
      <w:r w:rsidRPr="00983CF5">
        <w:t xml:space="preserve">, </w:t>
      </w:r>
      <w:r w:rsidRPr="00983CF5">
        <w:rPr>
          <w:i/>
          <w:iCs/>
        </w:rPr>
        <w:t>6</w:t>
      </w:r>
      <w:r w:rsidRPr="00983CF5">
        <w:t>(3), 100229. https://doi.org/10.1016/j.regsus.2025.100229</w:t>
      </w:r>
    </w:p>
    <w:p w14:paraId="2B0FF6D6" w14:textId="77777777" w:rsidR="00983CF5" w:rsidRPr="00983CF5" w:rsidRDefault="00983CF5" w:rsidP="00983CF5">
      <w:pPr>
        <w:pStyle w:val="Bibliography"/>
      </w:pPr>
      <w:r w:rsidRPr="00983CF5">
        <w:t xml:space="preserve">Rodríguez-Peña, N. (2025). Mapping migration capabilities worldwide. </w:t>
      </w:r>
      <w:r w:rsidRPr="00983CF5">
        <w:rPr>
          <w:i/>
          <w:iCs/>
        </w:rPr>
        <w:t>Comparative Migration Studies</w:t>
      </w:r>
      <w:r w:rsidRPr="00983CF5">
        <w:t xml:space="preserve">, </w:t>
      </w:r>
      <w:r w:rsidRPr="00983CF5">
        <w:rPr>
          <w:i/>
          <w:iCs/>
        </w:rPr>
        <w:t>13</w:t>
      </w:r>
      <w:r w:rsidRPr="00983CF5">
        <w:t>(1), 31. https://doi.org/10.1186/s40878-025-00449-9</w:t>
      </w:r>
    </w:p>
    <w:p w14:paraId="1E7D4BE8" w14:textId="77777777" w:rsidR="00983CF5" w:rsidRPr="00983CF5" w:rsidRDefault="00983CF5" w:rsidP="00983CF5">
      <w:pPr>
        <w:pStyle w:val="Bibliography"/>
      </w:pPr>
      <w:r w:rsidRPr="00983CF5">
        <w:t xml:space="preserve">Schewel, K. (2020). Understanding Immobility: Moving Beyond the Mobility Bias in Migration Studies. </w:t>
      </w:r>
      <w:r w:rsidRPr="00983CF5">
        <w:rPr>
          <w:i/>
          <w:iCs/>
        </w:rPr>
        <w:t>International Migration Review</w:t>
      </w:r>
      <w:r w:rsidRPr="00983CF5">
        <w:t xml:space="preserve">, </w:t>
      </w:r>
      <w:r w:rsidRPr="00983CF5">
        <w:rPr>
          <w:i/>
          <w:iCs/>
        </w:rPr>
        <w:t>54</w:t>
      </w:r>
      <w:r w:rsidRPr="00983CF5">
        <w:t>(2), 328-355. https://doi.org/10.1177/0197918319831952</w:t>
      </w:r>
    </w:p>
    <w:p w14:paraId="47D5C6CB" w14:textId="77777777" w:rsidR="00983CF5" w:rsidRPr="00983CF5" w:rsidRDefault="00983CF5" w:rsidP="00983CF5">
      <w:pPr>
        <w:pStyle w:val="Bibliography"/>
      </w:pPr>
      <w:r w:rsidRPr="00983CF5">
        <w:t xml:space="preserve">Sengupta, M. (2025). Environmental immobility: A systematic review of empirical research. </w:t>
      </w:r>
      <w:r w:rsidRPr="00983CF5">
        <w:rPr>
          <w:i/>
          <w:iCs/>
        </w:rPr>
        <w:t>Ambio</w:t>
      </w:r>
      <w:r w:rsidRPr="00983CF5">
        <w:t xml:space="preserve">, </w:t>
      </w:r>
      <w:r w:rsidRPr="00983CF5">
        <w:rPr>
          <w:i/>
          <w:iCs/>
        </w:rPr>
        <w:t>54</w:t>
      </w:r>
      <w:r w:rsidRPr="00983CF5">
        <w:t>(11), 1729-1756. https://doi.org/10.1007/s13280-025-02195-9</w:t>
      </w:r>
    </w:p>
    <w:p w14:paraId="6F382678" w14:textId="77777777" w:rsidR="00983CF5" w:rsidRPr="00983CF5" w:rsidRDefault="00983CF5" w:rsidP="00983CF5">
      <w:pPr>
        <w:pStyle w:val="Bibliography"/>
      </w:pPr>
      <w:r w:rsidRPr="00983CF5">
        <w:t xml:space="preserve">Sheller, M., &amp; Urry, J. (2006). The New Mobilities Paradigm. </w:t>
      </w:r>
      <w:r w:rsidRPr="00983CF5">
        <w:rPr>
          <w:i/>
          <w:iCs/>
        </w:rPr>
        <w:t>Environment and Planning A: Economy and Space</w:t>
      </w:r>
      <w:r w:rsidRPr="00983CF5">
        <w:t xml:space="preserve">, </w:t>
      </w:r>
      <w:r w:rsidRPr="00983CF5">
        <w:rPr>
          <w:i/>
          <w:iCs/>
        </w:rPr>
        <w:t>38</w:t>
      </w:r>
      <w:r w:rsidRPr="00983CF5">
        <w:t>(2), 207-226. https://doi.org/10.1068/a37268</w:t>
      </w:r>
    </w:p>
    <w:p w14:paraId="5828C9CB" w14:textId="77777777" w:rsidR="00983CF5" w:rsidRPr="00983CF5" w:rsidRDefault="00983CF5" w:rsidP="00983CF5">
      <w:pPr>
        <w:pStyle w:val="Bibliography"/>
      </w:pPr>
      <w:r w:rsidRPr="00983CF5">
        <w:t xml:space="preserve">Stark, O., &amp; Bloom, D. E. (1985). The New Economics of Labor Migration. </w:t>
      </w:r>
      <w:r w:rsidRPr="00983CF5">
        <w:rPr>
          <w:i/>
          <w:iCs/>
        </w:rPr>
        <w:t>The American Economic Review</w:t>
      </w:r>
      <w:r w:rsidRPr="00983CF5">
        <w:t xml:space="preserve">, </w:t>
      </w:r>
      <w:r w:rsidRPr="00983CF5">
        <w:rPr>
          <w:i/>
          <w:iCs/>
        </w:rPr>
        <w:t>75</w:t>
      </w:r>
      <w:r w:rsidRPr="00983CF5">
        <w:t>(2), 173-178.</w:t>
      </w:r>
    </w:p>
    <w:p w14:paraId="2FD268DC" w14:textId="77777777" w:rsidR="00983CF5" w:rsidRPr="00983CF5" w:rsidRDefault="00983CF5" w:rsidP="00983CF5">
      <w:pPr>
        <w:pStyle w:val="Bibliography"/>
      </w:pPr>
      <w:r w:rsidRPr="00983CF5">
        <w:t xml:space="preserve">Villarreal, A., &amp; Blanchard, S. (2013). HOW JOB CHARACTERISTICS AFFECT INTERNATIONAL MIGRATION: THE ROLE OF INFORMALITY IN MEXICO. </w:t>
      </w:r>
      <w:r w:rsidRPr="00983CF5">
        <w:rPr>
          <w:i/>
          <w:iCs/>
        </w:rPr>
        <w:t>Demography</w:t>
      </w:r>
      <w:r w:rsidRPr="00983CF5">
        <w:t xml:space="preserve">, </w:t>
      </w:r>
      <w:r w:rsidRPr="00983CF5">
        <w:rPr>
          <w:i/>
          <w:iCs/>
        </w:rPr>
        <w:t>50</w:t>
      </w:r>
      <w:r w:rsidRPr="00983CF5">
        <w:t>(2), 751-775. https://doi.org/10.1007/s13524-012-0153-5</w:t>
      </w:r>
    </w:p>
    <w:p w14:paraId="360D79EB" w14:textId="77777777" w:rsidR="00983CF5" w:rsidRPr="00983CF5" w:rsidRDefault="00983CF5" w:rsidP="00983CF5">
      <w:pPr>
        <w:pStyle w:val="Bibliography"/>
      </w:pPr>
      <w:r w:rsidRPr="00983CF5">
        <w:t xml:space="preserve">Vlase, I. (2025). Roma Migration Intentions: An Aspirations–Capabilities Approach. </w:t>
      </w:r>
      <w:r w:rsidRPr="00983CF5">
        <w:rPr>
          <w:i/>
          <w:iCs/>
        </w:rPr>
        <w:t>Sociology Compass</w:t>
      </w:r>
      <w:r w:rsidRPr="00983CF5">
        <w:t xml:space="preserve">, </w:t>
      </w:r>
      <w:r w:rsidRPr="00983CF5">
        <w:rPr>
          <w:i/>
          <w:iCs/>
        </w:rPr>
        <w:t>19</w:t>
      </w:r>
      <w:r w:rsidRPr="00983CF5">
        <w:t>(12), e70144. https://doi.org/10.1111/soc4.70144</w:t>
      </w:r>
    </w:p>
    <w:p w14:paraId="3E0AF67A" w14:textId="77777777" w:rsidR="00983CF5" w:rsidRPr="00983CF5" w:rsidRDefault="00983CF5" w:rsidP="00983CF5">
      <w:pPr>
        <w:pStyle w:val="Bibliography"/>
      </w:pPr>
      <w:r w:rsidRPr="00983CF5">
        <w:t xml:space="preserve">Zickgraf, C. (2018). Immobility. En R. McLeman &amp; F. Gemenne (Eds.), </w:t>
      </w:r>
      <w:r w:rsidRPr="00983CF5">
        <w:rPr>
          <w:i/>
          <w:iCs/>
        </w:rPr>
        <w:t>Routledge Handbook of Environmental Displacement and Migration</w:t>
      </w:r>
      <w:r w:rsidRPr="00983CF5">
        <w:t>.</w:t>
      </w:r>
    </w:p>
    <w:p w14:paraId="459E7273" w14:textId="77777777" w:rsidR="00983CF5" w:rsidRPr="00983CF5" w:rsidRDefault="00983CF5" w:rsidP="00983CF5">
      <w:pPr>
        <w:pStyle w:val="Bibliography"/>
      </w:pPr>
      <w:r w:rsidRPr="00983CF5">
        <w:t xml:space="preserve">Zickgraf, C. (2021). Theorizing (im)mobility in the face of environmental change. </w:t>
      </w:r>
      <w:r w:rsidRPr="00983CF5">
        <w:rPr>
          <w:i/>
          <w:iCs/>
        </w:rPr>
        <w:t>Regional Environmental Change</w:t>
      </w:r>
      <w:r w:rsidRPr="00983CF5">
        <w:t xml:space="preserve">, </w:t>
      </w:r>
      <w:r w:rsidRPr="00983CF5">
        <w:rPr>
          <w:i/>
          <w:iCs/>
        </w:rPr>
        <w:t>21</w:t>
      </w:r>
      <w:r w:rsidRPr="00983CF5">
        <w:t>(4), 126. https://doi.org/10.1007/s10113-021-01839-2</w:t>
      </w:r>
    </w:p>
    <w:p w14:paraId="0939AC94" w14:textId="1B26C014" w:rsidR="00A86A91" w:rsidRDefault="00164697">
      <w:pPr>
        <w:rPr>
          <w:rFonts w:ascii="Garamond" w:hAnsi="Garamond" w:cs="Times New Roman"/>
        </w:rPr>
      </w:pPr>
      <w:r w:rsidRPr="00163C1E">
        <w:rPr>
          <w:rFonts w:ascii="Garamond" w:hAnsi="Garamond" w:cs="Times New Roman"/>
        </w:rPr>
        <w:fldChar w:fldCharType="end"/>
      </w:r>
    </w:p>
    <w:p w14:paraId="3F32093F" w14:textId="600A1D8E" w:rsidR="00A86A91" w:rsidRPr="000F2584" w:rsidRDefault="00A86A91" w:rsidP="00164697">
      <w:pPr>
        <w:rPr>
          <w:rFonts w:ascii="Garamond" w:hAnsi="Garamond" w:cs="Times New Roman"/>
          <w:b/>
          <w:bCs/>
        </w:rPr>
      </w:pPr>
      <w:r w:rsidRPr="000F2584">
        <w:rPr>
          <w:rFonts w:ascii="Garamond" w:hAnsi="Garamond" w:cs="Times New Roman"/>
          <w:b/>
          <w:bCs/>
        </w:rPr>
        <w:lastRenderedPageBreak/>
        <w:t>Annexes</w:t>
      </w:r>
    </w:p>
    <w:p w14:paraId="0E8E520D" w14:textId="4BE503F7" w:rsidR="00A86A91" w:rsidRDefault="00A86A91" w:rsidP="00164697">
      <w:pPr>
        <w:rPr>
          <w:rFonts w:ascii="Garamond" w:hAnsi="Garamond" w:cs="Times New Roman"/>
        </w:rPr>
      </w:pPr>
      <w:r>
        <w:rPr>
          <w:rFonts w:ascii="Garamond" w:hAnsi="Garamond" w:cs="Times New Roman"/>
        </w:rPr>
        <w:t xml:space="preserve">Annex 1. </w:t>
      </w:r>
    </w:p>
    <w:p w14:paraId="48A74723" w14:textId="6F1E421B" w:rsidR="00A86A91" w:rsidRDefault="00A86A91" w:rsidP="00164697">
      <w:pPr>
        <w:rPr>
          <w:rFonts w:ascii="Garamond" w:hAnsi="Garamond" w:cs="Times New Roman"/>
        </w:rPr>
      </w:pPr>
      <w:r>
        <w:rPr>
          <w:rFonts w:ascii="Garamond" w:hAnsi="Garamond" w:cs="Times New Roman"/>
        </w:rPr>
        <w:t>Search strings applied in research databases</w:t>
      </w:r>
    </w:p>
    <w:tbl>
      <w:tblPr>
        <w:tblStyle w:val="PlainTable4"/>
        <w:tblW w:w="0" w:type="auto"/>
        <w:tblLook w:val="04A0" w:firstRow="1" w:lastRow="0" w:firstColumn="1" w:lastColumn="0" w:noHBand="0" w:noVBand="1"/>
      </w:tblPr>
      <w:tblGrid>
        <w:gridCol w:w="2405"/>
        <w:gridCol w:w="3480"/>
        <w:gridCol w:w="2943"/>
      </w:tblGrid>
      <w:tr w:rsidR="000F2584" w14:paraId="2C09BA68" w14:textId="77777777" w:rsidTr="000F25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000000"/>
              <w:bottom w:val="single" w:sz="4" w:space="0" w:color="000000"/>
            </w:tcBorders>
          </w:tcPr>
          <w:p w14:paraId="15F88AB1" w14:textId="332664D4" w:rsidR="000F2584" w:rsidRDefault="000F2584" w:rsidP="00164697">
            <w:pPr>
              <w:rPr>
                <w:rFonts w:ascii="Garamond" w:hAnsi="Garamond" w:cs="Times New Roman"/>
              </w:rPr>
            </w:pPr>
            <w:r>
              <w:rPr>
                <w:rFonts w:ascii="Garamond" w:hAnsi="Garamond" w:cs="Times New Roman"/>
              </w:rPr>
              <w:t>Database</w:t>
            </w:r>
          </w:p>
        </w:tc>
        <w:tc>
          <w:tcPr>
            <w:tcW w:w="3480" w:type="dxa"/>
            <w:tcBorders>
              <w:top w:val="single" w:sz="4" w:space="0" w:color="000000"/>
              <w:bottom w:val="single" w:sz="4" w:space="0" w:color="000000"/>
            </w:tcBorders>
          </w:tcPr>
          <w:p w14:paraId="7AED6F8E" w14:textId="440BC860" w:rsidR="000F2584" w:rsidRDefault="000F2584" w:rsidP="00164697">
            <w:pPr>
              <w:cnfStyle w:val="100000000000" w:firstRow="1" w:lastRow="0" w:firstColumn="0" w:lastColumn="0" w:oddVBand="0" w:evenVBand="0" w:oddHBand="0" w:evenHBand="0" w:firstRowFirstColumn="0" w:firstRowLastColumn="0" w:lastRowFirstColumn="0" w:lastRowLastColumn="0"/>
              <w:rPr>
                <w:rFonts w:ascii="Garamond" w:hAnsi="Garamond" w:cs="Times New Roman"/>
              </w:rPr>
            </w:pPr>
            <w:r>
              <w:rPr>
                <w:rFonts w:ascii="Garamond" w:hAnsi="Garamond" w:cs="Times New Roman"/>
              </w:rPr>
              <w:t>Search string</w:t>
            </w:r>
            <w:r w:rsidR="006768BA">
              <w:rPr>
                <w:rFonts w:ascii="Garamond" w:hAnsi="Garamond" w:cs="Times New Roman"/>
              </w:rPr>
              <w:t>s</w:t>
            </w:r>
          </w:p>
        </w:tc>
        <w:tc>
          <w:tcPr>
            <w:tcW w:w="2943" w:type="dxa"/>
            <w:tcBorders>
              <w:top w:val="single" w:sz="4" w:space="0" w:color="000000"/>
              <w:bottom w:val="single" w:sz="4" w:space="0" w:color="000000"/>
            </w:tcBorders>
          </w:tcPr>
          <w:p w14:paraId="01DD90D4" w14:textId="40A6E854" w:rsidR="000F2584" w:rsidRDefault="000F2584" w:rsidP="00164697">
            <w:pPr>
              <w:cnfStyle w:val="100000000000" w:firstRow="1" w:lastRow="0" w:firstColumn="0" w:lastColumn="0" w:oddVBand="0" w:evenVBand="0" w:oddHBand="0" w:evenHBand="0" w:firstRowFirstColumn="0" w:firstRowLastColumn="0" w:lastRowFirstColumn="0" w:lastRowLastColumn="0"/>
              <w:rPr>
                <w:rFonts w:ascii="Garamond" w:hAnsi="Garamond" w:cs="Times New Roman"/>
              </w:rPr>
            </w:pPr>
            <w:r>
              <w:rPr>
                <w:rFonts w:ascii="Garamond" w:hAnsi="Garamond" w:cs="Times New Roman"/>
              </w:rPr>
              <w:t>Documents</w:t>
            </w:r>
          </w:p>
        </w:tc>
      </w:tr>
      <w:tr w:rsidR="006768BA" w14:paraId="030E82A2" w14:textId="77777777" w:rsidTr="006768BA">
        <w:trPr>
          <w:cnfStyle w:val="000000100000" w:firstRow="0" w:lastRow="0" w:firstColumn="0" w:lastColumn="0" w:oddVBand="0" w:evenVBand="0" w:oddHBand="1" w:evenHBand="0" w:firstRowFirstColumn="0" w:firstRowLastColumn="0" w:lastRowFirstColumn="0" w:lastRowLastColumn="0"/>
          <w:trHeight w:val="981"/>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000000"/>
            </w:tcBorders>
          </w:tcPr>
          <w:p w14:paraId="0C40F3C4" w14:textId="178D8B41" w:rsidR="006768BA" w:rsidRDefault="006768BA" w:rsidP="00164697">
            <w:pPr>
              <w:rPr>
                <w:rFonts w:ascii="Garamond" w:hAnsi="Garamond" w:cs="Times New Roman"/>
              </w:rPr>
            </w:pPr>
            <w:r>
              <w:rPr>
                <w:rFonts w:ascii="Garamond" w:hAnsi="Garamond" w:cs="Times New Roman"/>
              </w:rPr>
              <w:t>Science Direct</w:t>
            </w:r>
          </w:p>
        </w:tc>
        <w:tc>
          <w:tcPr>
            <w:tcW w:w="3480" w:type="dxa"/>
            <w:vMerge w:val="restart"/>
            <w:tcBorders>
              <w:top w:val="single" w:sz="4" w:space="0" w:color="000000"/>
            </w:tcBorders>
          </w:tcPr>
          <w:p w14:paraId="32D4515D" w14:textId="574981C9" w:rsidR="006768BA" w:rsidRDefault="006768BA" w:rsidP="000F2584">
            <w:pPr>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rPr>
            </w:pPr>
            <w:r w:rsidRPr="000F2584">
              <w:rPr>
                <w:rFonts w:ascii="Garamond" w:hAnsi="Garamond" w:cs="Times New Roman"/>
              </w:rPr>
              <w:t>("capability to migrate" OR "involuntary immobility" OR “trapped populations” OR “immobility traps”) AND (operationalization OR conceptualization OR indicator) AND ("climate migration" OR "environmental migration")</w:t>
            </w:r>
          </w:p>
        </w:tc>
        <w:tc>
          <w:tcPr>
            <w:tcW w:w="2943" w:type="dxa"/>
            <w:tcBorders>
              <w:top w:val="single" w:sz="4" w:space="0" w:color="000000"/>
            </w:tcBorders>
          </w:tcPr>
          <w:p w14:paraId="1642283E" w14:textId="7B40D874" w:rsidR="006768BA" w:rsidRDefault="006768BA" w:rsidP="00164697">
            <w:pPr>
              <w:cnfStyle w:val="000000100000" w:firstRow="0" w:lastRow="0" w:firstColumn="0" w:lastColumn="0" w:oddVBand="0" w:evenVBand="0" w:oddHBand="1" w:evenHBand="0" w:firstRowFirstColumn="0" w:firstRowLastColumn="0" w:lastRowFirstColumn="0" w:lastRowLastColumn="0"/>
              <w:rPr>
                <w:rFonts w:ascii="Garamond" w:hAnsi="Garamond" w:cs="Times New Roman"/>
              </w:rPr>
            </w:pPr>
            <w:r>
              <w:rPr>
                <w:rFonts w:ascii="Garamond" w:hAnsi="Garamond" w:cs="Times New Roman"/>
              </w:rPr>
              <w:t>50</w:t>
            </w:r>
          </w:p>
        </w:tc>
      </w:tr>
      <w:tr w:rsidR="006768BA" w14:paraId="10465165" w14:textId="77777777" w:rsidTr="000F2584">
        <w:tc>
          <w:tcPr>
            <w:cnfStyle w:val="001000000000" w:firstRow="0" w:lastRow="0" w:firstColumn="1" w:lastColumn="0" w:oddVBand="0" w:evenVBand="0" w:oddHBand="0" w:evenHBand="0" w:firstRowFirstColumn="0" w:firstRowLastColumn="0" w:lastRowFirstColumn="0" w:lastRowLastColumn="0"/>
            <w:tcW w:w="2405" w:type="dxa"/>
            <w:tcBorders>
              <w:bottom w:val="single" w:sz="4" w:space="0" w:color="000000"/>
            </w:tcBorders>
          </w:tcPr>
          <w:p w14:paraId="5EB6257D" w14:textId="55C60DB2" w:rsidR="006768BA" w:rsidRDefault="006768BA" w:rsidP="00164697">
            <w:pPr>
              <w:rPr>
                <w:rFonts w:ascii="Garamond" w:hAnsi="Garamond" w:cs="Times New Roman"/>
              </w:rPr>
            </w:pPr>
            <w:r>
              <w:rPr>
                <w:rFonts w:ascii="Garamond" w:hAnsi="Garamond" w:cs="Times New Roman"/>
              </w:rPr>
              <w:t>Scopus</w:t>
            </w:r>
          </w:p>
        </w:tc>
        <w:tc>
          <w:tcPr>
            <w:tcW w:w="3480" w:type="dxa"/>
            <w:vMerge/>
            <w:tcBorders>
              <w:bottom w:val="single" w:sz="4" w:space="0" w:color="000000"/>
            </w:tcBorders>
          </w:tcPr>
          <w:p w14:paraId="0CC925CD" w14:textId="77777777" w:rsidR="006768BA" w:rsidRDefault="006768BA" w:rsidP="00164697">
            <w:pPr>
              <w:cnfStyle w:val="000000000000" w:firstRow="0" w:lastRow="0" w:firstColumn="0" w:lastColumn="0" w:oddVBand="0" w:evenVBand="0" w:oddHBand="0" w:evenHBand="0" w:firstRowFirstColumn="0" w:firstRowLastColumn="0" w:lastRowFirstColumn="0" w:lastRowLastColumn="0"/>
              <w:rPr>
                <w:rFonts w:ascii="Garamond" w:hAnsi="Garamond" w:cs="Times New Roman"/>
              </w:rPr>
            </w:pPr>
          </w:p>
        </w:tc>
        <w:tc>
          <w:tcPr>
            <w:tcW w:w="2943" w:type="dxa"/>
            <w:tcBorders>
              <w:bottom w:val="single" w:sz="4" w:space="0" w:color="000000"/>
            </w:tcBorders>
          </w:tcPr>
          <w:p w14:paraId="1BBBD77B" w14:textId="4462190F" w:rsidR="006768BA" w:rsidRDefault="006768BA" w:rsidP="00164697">
            <w:pPr>
              <w:cnfStyle w:val="000000000000" w:firstRow="0" w:lastRow="0" w:firstColumn="0" w:lastColumn="0" w:oddVBand="0" w:evenVBand="0" w:oddHBand="0" w:evenHBand="0" w:firstRowFirstColumn="0" w:firstRowLastColumn="0" w:lastRowFirstColumn="0" w:lastRowLastColumn="0"/>
              <w:rPr>
                <w:rFonts w:ascii="Garamond" w:hAnsi="Garamond" w:cs="Times New Roman"/>
              </w:rPr>
            </w:pPr>
            <w:r>
              <w:rPr>
                <w:rFonts w:ascii="Garamond" w:hAnsi="Garamond" w:cs="Times New Roman"/>
              </w:rPr>
              <w:t>149</w:t>
            </w:r>
          </w:p>
        </w:tc>
      </w:tr>
    </w:tbl>
    <w:p w14:paraId="495D6B76" w14:textId="77777777" w:rsidR="00A86A91" w:rsidRPr="00A86A91" w:rsidRDefault="00A86A91" w:rsidP="00164697">
      <w:pPr>
        <w:rPr>
          <w:rFonts w:ascii="Garamond" w:hAnsi="Garamond" w:cs="Times New Roman"/>
        </w:rPr>
      </w:pPr>
    </w:p>
    <w:sectPr w:rsidR="00A86A91" w:rsidRPr="00A86A91">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Gabriela Judith Lopez Gutierrez" w:date="2026-05-19T22:25:00Z" w:initials="GL">
    <w:p w14:paraId="516B0078" w14:textId="77777777" w:rsidR="000F7F38" w:rsidRDefault="000F7F38" w:rsidP="000F7F38">
      <w:pPr>
        <w:pStyle w:val="CommentText"/>
      </w:pPr>
      <w:r>
        <w:rPr>
          <w:rStyle w:val="CommentReference"/>
        </w:rPr>
        <w:annotationRef/>
      </w:r>
      <w:r>
        <w:rPr>
          <w:lang w:val="es-MX"/>
        </w:rPr>
        <w:t>Here I could emphasize the policy relevance of this</w:t>
      </w:r>
    </w:p>
  </w:comment>
  <w:comment w:id="4" w:author="Gabriela López Gutiérrez" w:date="2026-05-20T22:46:00Z" w:initials="GL">
    <w:p w14:paraId="54A6C880" w14:textId="77777777" w:rsidR="00A86A91" w:rsidRDefault="00A86A91" w:rsidP="00A86A91">
      <w:pPr>
        <w:pStyle w:val="CommentText"/>
      </w:pPr>
      <w:r>
        <w:rPr>
          <w:rStyle w:val="CommentReference"/>
        </w:rPr>
        <w:annotationRef/>
      </w:r>
      <w:r>
        <w:rPr>
          <w:lang w:val="es-MX"/>
        </w:rPr>
        <w:t>Comment to myself: Remember to verify this number for the final version</w:t>
      </w:r>
    </w:p>
  </w:comment>
  <w:comment w:id="6" w:author="Gabriela López Gutiérrez" w:date="2026-05-20T16:45:00Z" w:initials="GL">
    <w:p w14:paraId="64715DB6" w14:textId="77777777" w:rsidR="00885F40" w:rsidRDefault="00885F40" w:rsidP="00885F40">
      <w:pPr>
        <w:pStyle w:val="CommentText"/>
      </w:pPr>
      <w:r>
        <w:rPr>
          <w:rStyle w:val="CommentReference"/>
        </w:rPr>
        <w:annotationRef/>
      </w:r>
      <w:r>
        <w:rPr>
          <w:lang w:val="es-MX"/>
        </w:rPr>
        <w:t>This is in fact not the main limitation</w:t>
      </w:r>
    </w:p>
  </w:comment>
  <w:comment w:id="7" w:author="Gabriela López Gutiérrez" w:date="2026-05-20T16:31:00Z" w:initials="GL">
    <w:p w14:paraId="2EE01A1F" w14:textId="77777777" w:rsidR="009E6E6C" w:rsidRDefault="009E6E6C" w:rsidP="009E6E6C">
      <w:pPr>
        <w:pStyle w:val="CommentText"/>
      </w:pPr>
      <w:r>
        <w:rPr>
          <w:rStyle w:val="CommentReference"/>
        </w:rPr>
        <w:annotationRef/>
      </w:r>
      <w:r>
        <w:t>Another important limitation concerns how different studies classify the factors shaping mobility capabilities. For example, some authors conceptualize social capital as a direct component of mobility capability itself, while others treat it more as a “conversion factor” that influences how individuals are able to transform other resources into actual mobility opportunities.</w:t>
      </w:r>
      <w:r>
        <w:rPr>
          <w:lang w:val="es-MX"/>
        </w:rPr>
        <w:t xml:space="preserve"> </w:t>
      </w:r>
    </w:p>
  </w:comment>
  <w:comment w:id="14" w:author="Gabriela Judith Lopez Gutierrez" w:date="2026-05-24T10:49:00Z" w:initials="GL">
    <w:p w14:paraId="26E96C4E" w14:textId="77777777" w:rsidR="00E12926" w:rsidRDefault="00E12926" w:rsidP="00E12926">
      <w:pPr>
        <w:pStyle w:val="CommentText"/>
      </w:pPr>
      <w:r>
        <w:rPr>
          <w:rStyle w:val="CommentReference"/>
        </w:rPr>
        <w:annotationRef/>
      </w:r>
      <w:r>
        <w:rPr>
          <w:lang w:val="es-MX"/>
        </w:rPr>
        <w:t>Maybe this is repetitive</w:t>
      </w:r>
    </w:p>
  </w:comment>
  <w:comment w:id="15" w:author="Gabriela Judith Lopez Gutierrez" w:date="2026-05-24T10:39:00Z" w:initials="GL">
    <w:p w14:paraId="404B8F2C" w14:textId="77777777" w:rsidR="00CB7F93" w:rsidRDefault="00CB7F93" w:rsidP="00CB7F93">
      <w:pPr>
        <w:pStyle w:val="CommentText"/>
      </w:pPr>
      <w:r>
        <w:rPr>
          <w:rStyle w:val="CommentReference"/>
        </w:rPr>
        <w:annotationRef/>
      </w:r>
      <w:r>
        <w:rPr>
          <w:lang w:val="es-MX"/>
        </w:rPr>
        <w:t>Maybe this paragraph is better for conclusion. And I could also make it shorter as Table 2 already presents this summary</w:t>
      </w:r>
    </w:p>
  </w:comment>
  <w:comment w:id="18" w:author="Gabriela Judith Lopez Gutierrez" w:date="2026-05-19T02:36:00Z" w:initials="GL">
    <w:p w14:paraId="6DEB35CF" w14:textId="1BE521B7" w:rsidR="00F156B6" w:rsidRDefault="00395B33" w:rsidP="00F156B6">
      <w:pPr>
        <w:pStyle w:val="CommentText"/>
      </w:pPr>
      <w:r>
        <w:rPr>
          <w:rStyle w:val="CommentReference"/>
        </w:rPr>
        <w:annotationRef/>
      </w:r>
      <w:r w:rsidR="00F156B6">
        <w:rPr>
          <w:lang w:val="es-MX"/>
        </w:rPr>
        <w:t>Comment: I know that this indicator is built using the PCA method, and, as such, can be considered multidimensional in an statistical sense. However, for this review, multidimensional proxies are those that consider together different dimensions of the construct, beyond just the financial aspects</w:t>
      </w:r>
    </w:p>
  </w:comment>
  <w:comment w:id="19" w:author="Gabriela Judith Lopez Gutierrez" w:date="2026-05-19T02:36:00Z" w:initials="GL">
    <w:p w14:paraId="742B0390" w14:textId="562CA685" w:rsidR="00AD6F72" w:rsidRDefault="00AD6F72" w:rsidP="00AD6F72">
      <w:pPr>
        <w:pStyle w:val="CommentText"/>
      </w:pPr>
      <w:r>
        <w:rPr>
          <w:rStyle w:val="CommentReference"/>
        </w:rPr>
        <w:annotationRef/>
      </w:r>
      <w:r>
        <w:rPr>
          <w:lang w:val="es-MX"/>
        </w:rPr>
        <w:t>I will make this classification clear in the beginning of this sub-section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6B0078" w15:done="0"/>
  <w15:commentEx w15:paraId="54A6C880" w15:done="0"/>
  <w15:commentEx w15:paraId="64715DB6" w15:done="0"/>
  <w15:commentEx w15:paraId="2EE01A1F" w15:done="0"/>
  <w15:commentEx w15:paraId="26E96C4E" w15:done="0"/>
  <w15:commentEx w15:paraId="404B8F2C" w15:done="0"/>
  <w15:commentEx w15:paraId="6DEB35CF" w15:done="0"/>
  <w15:commentEx w15:paraId="742B0390" w15:paraIdParent="6DEB35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E5F409" w16cex:dateUtc="2026-05-19T20:25:00Z"/>
  <w16cex:commentExtensible w16cex:durableId="49F2D009" w16cex:dateUtc="2026-05-20T20:46:00Z"/>
  <w16cex:commentExtensible w16cex:durableId="13C8A6E8" w16cex:dateUtc="2026-05-20T14:45:00Z"/>
  <w16cex:commentExtensible w16cex:durableId="76CFF87E" w16cex:dateUtc="2026-05-20T14:31:00Z"/>
  <w16cex:commentExtensible w16cex:durableId="278DD225" w16cex:dateUtc="2026-05-24T08:49:00Z"/>
  <w16cex:commentExtensible w16cex:durableId="3DF15B16" w16cex:dateUtc="2026-05-24T08:39:00Z"/>
  <w16cex:commentExtensible w16cex:durableId="6466DA68" w16cex:dateUtc="2026-05-19T00:36:00Z"/>
  <w16cex:commentExtensible w16cex:durableId="1D2FC8CA" w16cex:dateUtc="2026-05-19T00: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6B0078" w16cid:durableId="13E5F409"/>
  <w16cid:commentId w16cid:paraId="54A6C880" w16cid:durableId="49F2D009"/>
  <w16cid:commentId w16cid:paraId="64715DB6" w16cid:durableId="13C8A6E8"/>
  <w16cid:commentId w16cid:paraId="2EE01A1F" w16cid:durableId="76CFF87E"/>
  <w16cid:commentId w16cid:paraId="26E96C4E" w16cid:durableId="278DD225"/>
  <w16cid:commentId w16cid:paraId="404B8F2C" w16cid:durableId="3DF15B16"/>
  <w16cid:commentId w16cid:paraId="6DEB35CF" w16cid:durableId="6466DA68"/>
  <w16cid:commentId w16cid:paraId="742B0390" w16cid:durableId="1D2FC8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9622F" w14:textId="77777777" w:rsidR="00984311" w:rsidRDefault="00984311" w:rsidP="00C9187E">
      <w:pPr>
        <w:spacing w:after="0" w:line="240" w:lineRule="auto"/>
      </w:pPr>
      <w:r>
        <w:separator/>
      </w:r>
    </w:p>
  </w:endnote>
  <w:endnote w:type="continuationSeparator" w:id="0">
    <w:p w14:paraId="7A2CCAC3" w14:textId="77777777" w:rsidR="00984311" w:rsidRDefault="00984311" w:rsidP="00C918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1DA0A" w14:textId="77777777" w:rsidR="00984311" w:rsidRDefault="00984311" w:rsidP="00C9187E">
      <w:pPr>
        <w:spacing w:after="0" w:line="240" w:lineRule="auto"/>
      </w:pPr>
      <w:r>
        <w:separator/>
      </w:r>
    </w:p>
  </w:footnote>
  <w:footnote w:type="continuationSeparator" w:id="0">
    <w:p w14:paraId="4522EDEB" w14:textId="77777777" w:rsidR="00984311" w:rsidRDefault="00984311" w:rsidP="00C9187E">
      <w:pPr>
        <w:spacing w:after="0" w:line="240" w:lineRule="auto"/>
      </w:pPr>
      <w:r>
        <w:continuationSeparator/>
      </w:r>
    </w:p>
  </w:footnote>
  <w:footnote w:id="1">
    <w:p w14:paraId="112650CA" w14:textId="7434E19B" w:rsidR="004E7763" w:rsidRPr="004E7763" w:rsidRDefault="004E7763" w:rsidP="004E7763">
      <w:pPr>
        <w:pStyle w:val="FootnoteText"/>
        <w:jc w:val="both"/>
      </w:pPr>
      <w:r w:rsidRPr="008B4E93">
        <w:rPr>
          <w:rStyle w:val="FootnoteReference"/>
        </w:rPr>
        <w:footnoteRef/>
      </w:r>
      <w:r>
        <w:t xml:space="preserve"> </w:t>
      </w:r>
      <w:r w:rsidRPr="004E7763">
        <w:t>Some studies have begun to question the assumption that voluntarily immobile populations are necessarily less vulnerable than involuntarily immobile ones, suggesting instead that they may underestimate environmental risks and remain exposed to future vulnerability</w:t>
      </w:r>
      <w:r w:rsidR="004361CD">
        <w:t xml:space="preserve"> </w:t>
      </w:r>
      <w:r w:rsidR="004361CD">
        <w:fldChar w:fldCharType="begin"/>
      </w:r>
      <w:r w:rsidR="004361CD">
        <w:instrText xml:space="preserve"> ADDIN ZOTERO_ITEM CSL_CITATION {"citationID":"myUxcRdV","properties":{"unsorted":false,"formattedCitation":"(Zickgraf, 2018)","plainCitation":"(Zickgraf, 2018)","noteIndex":1},"citationItems":[{"id":1822,"uris":["http://zotero.org/users/18422904/items/QZCPAADF"],"itemData":{"id":1822,"type":"chapter","container-title":"Routledge Handbook of Environmental Displacement and Migration","ISSN":"978-1-138-19446-5","publisher-place":"New York","title":"Immobility","author":[{"family":"Zickgraf","given":"Caroline"}],"editor":[{"family":"McLeman","given":"Robert"},{"family":"Gemenne","given":"François"}],"issued":{"date-parts":[["2018"]]}}}],"schema":"https://github.com/citation-style-language/schema/raw/master/csl-citation.json"} </w:instrText>
      </w:r>
      <w:r w:rsidR="004361CD">
        <w:fldChar w:fldCharType="separate"/>
      </w:r>
      <w:r w:rsidR="004361CD" w:rsidRPr="004361CD">
        <w:rPr>
          <w:rFonts w:ascii="Garamond" w:hAnsi="Garamond"/>
        </w:rPr>
        <w:t>(Zickgraf, 2018)</w:t>
      </w:r>
      <w:r w:rsidR="004361CD">
        <w:fldChar w:fldCharType="end"/>
      </w:r>
      <w:r w:rsidRPr="004E7763">
        <w:t>.</w:t>
      </w:r>
      <w:r>
        <w:t xml:space="preserve"> </w:t>
      </w:r>
    </w:p>
  </w:footnote>
  <w:footnote w:id="2">
    <w:p w14:paraId="53F99C05" w14:textId="20767E13" w:rsidR="00791210" w:rsidRPr="00791210" w:rsidRDefault="00791210" w:rsidP="00791210">
      <w:pPr>
        <w:pStyle w:val="FootnoteText"/>
        <w:jc w:val="both"/>
      </w:pPr>
      <w:r w:rsidRPr="008B4E93">
        <w:rPr>
          <w:rStyle w:val="FootnoteReference"/>
        </w:rPr>
        <w:footnoteRef/>
      </w:r>
      <w:r>
        <w:t xml:space="preserve"> </w:t>
      </w:r>
      <w:r w:rsidRPr="00791210">
        <w:t>Although not the focus of this paper, this illustrates some of the measurement decisions and conceptual ambiguities associated with the other side of the equation, namely migration aspirations.</w:t>
      </w:r>
    </w:p>
    <w:p w14:paraId="571D8794" w14:textId="29E35218" w:rsidR="00791210" w:rsidRPr="00791210" w:rsidRDefault="00791210">
      <w:pPr>
        <w:pStyle w:val="FootnoteText"/>
      </w:pPr>
    </w:p>
  </w:footnote>
  <w:footnote w:id="3">
    <w:p w14:paraId="31D4E945" w14:textId="18F40407" w:rsidR="006E3B16" w:rsidRPr="007856CE" w:rsidRDefault="006E3B16" w:rsidP="007856CE">
      <w:pPr>
        <w:pStyle w:val="FootnoteText"/>
        <w:jc w:val="both"/>
      </w:pPr>
      <w:r w:rsidRPr="008B4E93">
        <w:rPr>
          <w:rStyle w:val="FootnoteReference"/>
        </w:rPr>
        <w:footnoteRef/>
      </w:r>
      <w:r>
        <w:t xml:space="preserve"> </w:t>
      </w:r>
      <w:r w:rsidR="00CB7F93" w:rsidRPr="00CB7F93">
        <w:t xml:space="preserve">Returning to </w:t>
      </w:r>
      <w:r w:rsidR="00CB7F93">
        <w:fldChar w:fldCharType="begin"/>
      </w:r>
      <w:r w:rsidR="00983CF5">
        <w:instrText xml:space="preserve"> ADDIN ZOTERO_ITEM CSL_CITATION {"citationID":"AJGVmQDr","properties":{"unsorted":false,"formattedCitation":"(Loebach, 2016)","plainCitation":"(Loebach, 2016)","dontUpdate":true,"noteIndex":3},"citationItems":[{"id":1825,"uris":["http://zotero.org/users/18422904/items/VD6S7IEJ"],"itemData":{"id":1825,"type":"article-journal","abstract":"This study uses data drawn from the Nicaragua Living Standards and Measurement Study Survey to examine international livelihood migrations from Nicaragua in the years surrounding the rapid-onset Hurricane Mitch event of 1998. The likelihood of an international livelihood migration occurring between the years 1996 and 2001 is modeled utilizing discrete-time event history analysis. While findings indicate no influence of Hurricane Mitch on likelihood of livelihood migration, the Mitch event is associated with increased migrant selectivity according to past household migration experience for migrations to Costa Rica, suggesting these migrations to be livelihood adaptations of those with high capability in the form of access to migrant social networks. In addition, the Mitch event is found to be associated with decreased likelihood of migration by small business owners. This finding is interpreted as reflecting business owning households choosing to forego sending migrants to instead have ‘all hands on deck’ to assist with business operations.","container-title":"Population and Environment","DOI":"10.1007/s11111-016-0256-9","ISSN":"1573-7810","issue":"2","journalAbbreviation":"Popul Environ","language":"en","page":"185-206","source":"Springer Link","title":"Household migration as a livelihood adaptation in response to a natural disaster: Nicaragua and Hurricane Mitch","title-short":"Household migration as a livelihood adaptation in response to a natural disaster","volume":"38","author":[{"family":"Loebach","given":"Peter"}],"issued":{"date-parts":[["2016",12,1]]}}}],"schema":"https://github.com/citation-style-language/schema/raw/master/csl-citation.json"} </w:instrText>
      </w:r>
      <w:r w:rsidR="00CB7F93">
        <w:fldChar w:fldCharType="separate"/>
      </w:r>
      <w:r w:rsidR="00CB7F93" w:rsidRPr="00CB7F93">
        <w:rPr>
          <w:rFonts w:ascii="Garamond" w:hAnsi="Garamond"/>
        </w:rPr>
        <w:t>Loebach</w:t>
      </w:r>
      <w:r w:rsidR="00CB7F93">
        <w:rPr>
          <w:rFonts w:ascii="Garamond" w:hAnsi="Garamond"/>
        </w:rPr>
        <w:t>'s</w:t>
      </w:r>
      <w:r w:rsidR="00CB7F93" w:rsidRPr="00CB7F93">
        <w:rPr>
          <w:rFonts w:ascii="Garamond" w:hAnsi="Garamond"/>
        </w:rPr>
        <w:t xml:space="preserve"> </w:t>
      </w:r>
      <w:r w:rsidR="00CB7F93">
        <w:rPr>
          <w:rFonts w:ascii="Garamond" w:hAnsi="Garamond"/>
        </w:rPr>
        <w:t>(</w:t>
      </w:r>
      <w:r w:rsidR="00CB7F93" w:rsidRPr="00CB7F93">
        <w:rPr>
          <w:rFonts w:ascii="Garamond" w:hAnsi="Garamond"/>
        </w:rPr>
        <w:t>2016)</w:t>
      </w:r>
      <w:r w:rsidR="00CB7F93">
        <w:fldChar w:fldCharType="end"/>
      </w:r>
      <w:r w:rsidR="00CB7F93">
        <w:t xml:space="preserve"> </w:t>
      </w:r>
      <w:r w:rsidR="00CB7F93" w:rsidRPr="00CB7F93">
        <w:t>example of households remaining to sustain their businesses, the same asset may simultaneously increase mobility capabilities by providing migration resources while also strengthening the capability and willingness to stay.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C7445"/>
    <w:multiLevelType w:val="hybridMultilevel"/>
    <w:tmpl w:val="A1FCE310"/>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 w15:restartNumberingAfterBreak="0">
    <w:nsid w:val="14035B9C"/>
    <w:multiLevelType w:val="multilevel"/>
    <w:tmpl w:val="645EDFEE"/>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Garamond" w:hAnsi="Garamond" w:hint="default"/>
        <w:b/>
        <w:bCs/>
        <w:sz w:val="24"/>
        <w:szCs w:val="24"/>
      </w:rPr>
    </w:lvl>
    <w:lvl w:ilvl="2">
      <w:start w:val="1"/>
      <w:numFmt w:val="decimal"/>
      <w:lvlText w:val="%1.%2.%3."/>
      <w:lvlJc w:val="left"/>
      <w:pPr>
        <w:ind w:left="1224" w:hanging="504"/>
      </w:pPr>
      <w:rPr>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63F1EF8"/>
    <w:multiLevelType w:val="hybridMultilevel"/>
    <w:tmpl w:val="85D4B840"/>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 w15:restartNumberingAfterBreak="0">
    <w:nsid w:val="1924428E"/>
    <w:multiLevelType w:val="multilevel"/>
    <w:tmpl w:val="049E8C56"/>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Garamond" w:hAnsi="Garamond" w:hint="default"/>
        <w:b/>
        <w:bCs/>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BA6616E"/>
    <w:multiLevelType w:val="multilevel"/>
    <w:tmpl w:val="645EDFEE"/>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Garamond" w:hAnsi="Garamond" w:hint="default"/>
        <w:b/>
        <w:bCs/>
        <w:sz w:val="24"/>
        <w:szCs w:val="24"/>
      </w:rPr>
    </w:lvl>
    <w:lvl w:ilvl="2">
      <w:start w:val="1"/>
      <w:numFmt w:val="decimal"/>
      <w:lvlText w:val="%1.%2.%3."/>
      <w:lvlJc w:val="left"/>
      <w:pPr>
        <w:ind w:left="1224" w:hanging="504"/>
      </w:pPr>
      <w:rPr>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3996697"/>
    <w:multiLevelType w:val="hybridMultilevel"/>
    <w:tmpl w:val="DBB2DC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8E46B04"/>
    <w:multiLevelType w:val="hybridMultilevel"/>
    <w:tmpl w:val="80EECB42"/>
    <w:lvl w:ilvl="0" w:tplc="10090013">
      <w:start w:val="1"/>
      <w:numFmt w:val="upp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3B323296"/>
    <w:multiLevelType w:val="hybridMultilevel"/>
    <w:tmpl w:val="BA22301C"/>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8" w15:restartNumberingAfterBreak="0">
    <w:nsid w:val="3C861F46"/>
    <w:multiLevelType w:val="hybridMultilevel"/>
    <w:tmpl w:val="CD803F5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DE409B0"/>
    <w:multiLevelType w:val="multilevel"/>
    <w:tmpl w:val="645EDFEE"/>
    <w:lvl w:ilvl="0">
      <w:start w:val="1"/>
      <w:numFmt w:val="decimal"/>
      <w:lvlText w:val="%1."/>
      <w:lvlJc w:val="left"/>
      <w:pPr>
        <w:ind w:left="1080" w:hanging="360"/>
      </w:pPr>
      <w:rPr>
        <w:rFonts w:hint="default"/>
      </w:rPr>
    </w:lvl>
    <w:lvl w:ilvl="1">
      <w:start w:val="1"/>
      <w:numFmt w:val="decimal"/>
      <w:lvlText w:val="%1.%2."/>
      <w:lvlJc w:val="left"/>
      <w:pPr>
        <w:ind w:left="1512" w:hanging="432"/>
      </w:pPr>
      <w:rPr>
        <w:rFonts w:ascii="Garamond" w:hAnsi="Garamond" w:hint="default"/>
        <w:b/>
        <w:bCs/>
        <w:sz w:val="24"/>
        <w:szCs w:val="24"/>
      </w:rPr>
    </w:lvl>
    <w:lvl w:ilvl="2">
      <w:start w:val="1"/>
      <w:numFmt w:val="decimal"/>
      <w:lvlText w:val="%1.%2.%3."/>
      <w:lvlJc w:val="left"/>
      <w:pPr>
        <w:ind w:left="1944" w:hanging="504"/>
      </w:pPr>
      <w:rPr>
        <w:sz w:val="24"/>
        <w:szCs w:val="24"/>
      </w:r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0" w15:restartNumberingAfterBreak="0">
    <w:nsid w:val="537D399E"/>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5DF038C"/>
    <w:multiLevelType w:val="multilevel"/>
    <w:tmpl w:val="4468A16E"/>
    <w:lvl w:ilvl="0">
      <w:start w:val="1"/>
      <w:numFmt w:val="lowerLetter"/>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2" w15:restartNumberingAfterBreak="0">
    <w:nsid w:val="68EF793D"/>
    <w:multiLevelType w:val="hybridMultilevel"/>
    <w:tmpl w:val="A9E07D7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71F21BD7"/>
    <w:multiLevelType w:val="multilevel"/>
    <w:tmpl w:val="C06ECBCE"/>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Garamond" w:hAnsi="Garamond" w:hint="default"/>
        <w:b/>
        <w:bCs/>
        <w:sz w:val="24"/>
        <w:szCs w:val="24"/>
      </w:rPr>
    </w:lvl>
    <w:lvl w:ilvl="2">
      <w:start w:val="1"/>
      <w:numFmt w:val="decimal"/>
      <w:lvlText w:val="%1.%2.%3."/>
      <w:lvlJc w:val="left"/>
      <w:pPr>
        <w:ind w:left="1224" w:hanging="504"/>
      </w:pPr>
      <w:rPr>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82C009C"/>
    <w:multiLevelType w:val="multilevel"/>
    <w:tmpl w:val="C06ECBCE"/>
    <w:lvl w:ilvl="0">
      <w:start w:val="1"/>
      <w:numFmt w:val="decimal"/>
      <w:lvlText w:val="%1."/>
      <w:lvlJc w:val="left"/>
      <w:pPr>
        <w:ind w:left="1584" w:hanging="360"/>
      </w:pPr>
      <w:rPr>
        <w:rFonts w:hint="default"/>
      </w:rPr>
    </w:lvl>
    <w:lvl w:ilvl="1">
      <w:start w:val="1"/>
      <w:numFmt w:val="decimal"/>
      <w:lvlText w:val="%1.%2."/>
      <w:lvlJc w:val="left"/>
      <w:pPr>
        <w:ind w:left="2016" w:hanging="432"/>
      </w:pPr>
      <w:rPr>
        <w:rFonts w:ascii="Garamond" w:hAnsi="Garamond" w:hint="default"/>
        <w:b/>
        <w:bCs/>
        <w:sz w:val="24"/>
        <w:szCs w:val="24"/>
      </w:rPr>
    </w:lvl>
    <w:lvl w:ilvl="2">
      <w:start w:val="1"/>
      <w:numFmt w:val="decimal"/>
      <w:lvlText w:val="%1.%2.%3."/>
      <w:lvlJc w:val="left"/>
      <w:pPr>
        <w:ind w:left="2448" w:hanging="504"/>
      </w:pPr>
      <w:rPr>
        <w:sz w:val="24"/>
        <w:szCs w:val="24"/>
      </w:rPr>
    </w:lvl>
    <w:lvl w:ilvl="3">
      <w:start w:val="1"/>
      <w:numFmt w:val="decimal"/>
      <w:lvlText w:val="%1.%2.%3.%4."/>
      <w:lvlJc w:val="left"/>
      <w:pPr>
        <w:ind w:left="2952" w:hanging="648"/>
      </w:pPr>
    </w:lvl>
    <w:lvl w:ilvl="4">
      <w:start w:val="1"/>
      <w:numFmt w:val="decimal"/>
      <w:lvlText w:val="%1.%2.%3.%4.%5."/>
      <w:lvlJc w:val="left"/>
      <w:pPr>
        <w:ind w:left="3456" w:hanging="792"/>
      </w:pPr>
    </w:lvl>
    <w:lvl w:ilvl="5">
      <w:start w:val="1"/>
      <w:numFmt w:val="decimal"/>
      <w:lvlText w:val="%1.%2.%3.%4.%5.%6."/>
      <w:lvlJc w:val="left"/>
      <w:pPr>
        <w:ind w:left="3960" w:hanging="936"/>
      </w:pPr>
    </w:lvl>
    <w:lvl w:ilvl="6">
      <w:start w:val="1"/>
      <w:numFmt w:val="decimal"/>
      <w:lvlText w:val="%1.%2.%3.%4.%5.%6.%7."/>
      <w:lvlJc w:val="left"/>
      <w:pPr>
        <w:ind w:left="4464" w:hanging="1080"/>
      </w:pPr>
    </w:lvl>
    <w:lvl w:ilvl="7">
      <w:start w:val="1"/>
      <w:numFmt w:val="decimal"/>
      <w:lvlText w:val="%1.%2.%3.%4.%5.%6.%7.%8."/>
      <w:lvlJc w:val="left"/>
      <w:pPr>
        <w:ind w:left="4968" w:hanging="1224"/>
      </w:pPr>
    </w:lvl>
    <w:lvl w:ilvl="8">
      <w:start w:val="1"/>
      <w:numFmt w:val="decimal"/>
      <w:lvlText w:val="%1.%2.%3.%4.%5.%6.%7.%8.%9."/>
      <w:lvlJc w:val="left"/>
      <w:pPr>
        <w:ind w:left="5544" w:hanging="1440"/>
      </w:pPr>
    </w:lvl>
  </w:abstractNum>
  <w:abstractNum w:abstractNumId="15" w15:restartNumberingAfterBreak="0">
    <w:nsid w:val="7CFE7128"/>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40102780">
    <w:abstractNumId w:val="6"/>
  </w:num>
  <w:num w:numId="2" w16cid:durableId="1502500192">
    <w:abstractNumId w:val="15"/>
  </w:num>
  <w:num w:numId="3" w16cid:durableId="2122645849">
    <w:abstractNumId w:val="12"/>
  </w:num>
  <w:num w:numId="4" w16cid:durableId="25914486">
    <w:abstractNumId w:val="13"/>
  </w:num>
  <w:num w:numId="5" w16cid:durableId="1078593784">
    <w:abstractNumId w:val="10"/>
  </w:num>
  <w:num w:numId="6" w16cid:durableId="1340422738">
    <w:abstractNumId w:val="11"/>
  </w:num>
  <w:num w:numId="7" w16cid:durableId="1102458573">
    <w:abstractNumId w:val="8"/>
  </w:num>
  <w:num w:numId="8" w16cid:durableId="468203527">
    <w:abstractNumId w:val="2"/>
  </w:num>
  <w:num w:numId="9" w16cid:durableId="215897258">
    <w:abstractNumId w:val="7"/>
  </w:num>
  <w:num w:numId="10" w16cid:durableId="2079008524">
    <w:abstractNumId w:val="3"/>
  </w:num>
  <w:num w:numId="11" w16cid:durableId="272905859">
    <w:abstractNumId w:val="4"/>
  </w:num>
  <w:num w:numId="12" w16cid:durableId="437607170">
    <w:abstractNumId w:val="1"/>
  </w:num>
  <w:num w:numId="13" w16cid:durableId="980421833">
    <w:abstractNumId w:val="9"/>
  </w:num>
  <w:num w:numId="14" w16cid:durableId="302391024">
    <w:abstractNumId w:val="5"/>
  </w:num>
  <w:num w:numId="15" w16cid:durableId="2087603548">
    <w:abstractNumId w:val="14"/>
  </w:num>
  <w:num w:numId="16" w16cid:durableId="147148060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briela Judith Lopez Gutierrez">
    <w15:presenceInfo w15:providerId="Windows Live" w15:userId="d08bca2a700a15b8"/>
  </w15:person>
  <w15:person w15:author="Gabriela López Gutiérrez">
    <w15:presenceInfo w15:providerId="AD" w15:userId="S::s0252691@ad.ua.ac.be::03e7cb93-6666-4e09-8402-26b4ec1fb4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7A1"/>
    <w:rsid w:val="0000456A"/>
    <w:rsid w:val="00037B03"/>
    <w:rsid w:val="00044101"/>
    <w:rsid w:val="00044A88"/>
    <w:rsid w:val="00051B31"/>
    <w:rsid w:val="00060642"/>
    <w:rsid w:val="00060B70"/>
    <w:rsid w:val="00075A04"/>
    <w:rsid w:val="0009300A"/>
    <w:rsid w:val="000968AD"/>
    <w:rsid w:val="000A326D"/>
    <w:rsid w:val="000A6ABA"/>
    <w:rsid w:val="000C0648"/>
    <w:rsid w:val="000D092E"/>
    <w:rsid w:val="000D6730"/>
    <w:rsid w:val="000F2584"/>
    <w:rsid w:val="000F4C60"/>
    <w:rsid w:val="000F7F38"/>
    <w:rsid w:val="00106099"/>
    <w:rsid w:val="001071C5"/>
    <w:rsid w:val="001102E6"/>
    <w:rsid w:val="001118E1"/>
    <w:rsid w:val="00114719"/>
    <w:rsid w:val="00115A86"/>
    <w:rsid w:val="00134BEC"/>
    <w:rsid w:val="00147A83"/>
    <w:rsid w:val="00150D67"/>
    <w:rsid w:val="00161A18"/>
    <w:rsid w:val="00163C1E"/>
    <w:rsid w:val="00163ED7"/>
    <w:rsid w:val="001641F5"/>
    <w:rsid w:val="00164697"/>
    <w:rsid w:val="00171BEC"/>
    <w:rsid w:val="0018554D"/>
    <w:rsid w:val="00192D2E"/>
    <w:rsid w:val="001A721F"/>
    <w:rsid w:val="001D2A88"/>
    <w:rsid w:val="001E16DD"/>
    <w:rsid w:val="001E5B7B"/>
    <w:rsid w:val="001E669A"/>
    <w:rsid w:val="001F1692"/>
    <w:rsid w:val="001F5880"/>
    <w:rsid w:val="002035FE"/>
    <w:rsid w:val="002167BA"/>
    <w:rsid w:val="00224804"/>
    <w:rsid w:val="00225A98"/>
    <w:rsid w:val="002260B9"/>
    <w:rsid w:val="002303FF"/>
    <w:rsid w:val="00237873"/>
    <w:rsid w:val="00241992"/>
    <w:rsid w:val="002621A2"/>
    <w:rsid w:val="002654C2"/>
    <w:rsid w:val="00277188"/>
    <w:rsid w:val="0028264F"/>
    <w:rsid w:val="00285002"/>
    <w:rsid w:val="00293645"/>
    <w:rsid w:val="002945E1"/>
    <w:rsid w:val="002969B6"/>
    <w:rsid w:val="002D1204"/>
    <w:rsid w:val="002D71BE"/>
    <w:rsid w:val="002E61B5"/>
    <w:rsid w:val="002E70F6"/>
    <w:rsid w:val="003072BB"/>
    <w:rsid w:val="003107DA"/>
    <w:rsid w:val="00310DBD"/>
    <w:rsid w:val="00312767"/>
    <w:rsid w:val="00315CD4"/>
    <w:rsid w:val="00317A9C"/>
    <w:rsid w:val="00320A6A"/>
    <w:rsid w:val="00324E02"/>
    <w:rsid w:val="00326537"/>
    <w:rsid w:val="003501D3"/>
    <w:rsid w:val="00351255"/>
    <w:rsid w:val="00377579"/>
    <w:rsid w:val="00394E5C"/>
    <w:rsid w:val="003953B1"/>
    <w:rsid w:val="00395B33"/>
    <w:rsid w:val="00395D22"/>
    <w:rsid w:val="00397A91"/>
    <w:rsid w:val="00397CE2"/>
    <w:rsid w:val="003C1C92"/>
    <w:rsid w:val="003C64D8"/>
    <w:rsid w:val="003D07A1"/>
    <w:rsid w:val="003D2442"/>
    <w:rsid w:val="003E2DDD"/>
    <w:rsid w:val="003E501D"/>
    <w:rsid w:val="003F4F73"/>
    <w:rsid w:val="003F757F"/>
    <w:rsid w:val="00401EFB"/>
    <w:rsid w:val="0040406A"/>
    <w:rsid w:val="00405607"/>
    <w:rsid w:val="00413042"/>
    <w:rsid w:val="00432876"/>
    <w:rsid w:val="004361CD"/>
    <w:rsid w:val="00466402"/>
    <w:rsid w:val="0048229C"/>
    <w:rsid w:val="004836C6"/>
    <w:rsid w:val="00486F7A"/>
    <w:rsid w:val="00491E04"/>
    <w:rsid w:val="0049797C"/>
    <w:rsid w:val="004A1E67"/>
    <w:rsid w:val="004A4E82"/>
    <w:rsid w:val="004B028D"/>
    <w:rsid w:val="004C1B7F"/>
    <w:rsid w:val="004C2FF3"/>
    <w:rsid w:val="004C459C"/>
    <w:rsid w:val="004D0395"/>
    <w:rsid w:val="004D3D12"/>
    <w:rsid w:val="004E209D"/>
    <w:rsid w:val="004E2E3F"/>
    <w:rsid w:val="004E4F6E"/>
    <w:rsid w:val="004E7763"/>
    <w:rsid w:val="004F4E65"/>
    <w:rsid w:val="00503192"/>
    <w:rsid w:val="00506319"/>
    <w:rsid w:val="005075BF"/>
    <w:rsid w:val="00507A8F"/>
    <w:rsid w:val="00523C27"/>
    <w:rsid w:val="00525DBB"/>
    <w:rsid w:val="00526680"/>
    <w:rsid w:val="005267E0"/>
    <w:rsid w:val="005278C3"/>
    <w:rsid w:val="00532B53"/>
    <w:rsid w:val="005368EA"/>
    <w:rsid w:val="005423E4"/>
    <w:rsid w:val="00542777"/>
    <w:rsid w:val="00542851"/>
    <w:rsid w:val="005477C4"/>
    <w:rsid w:val="00553764"/>
    <w:rsid w:val="00565AED"/>
    <w:rsid w:val="005820ED"/>
    <w:rsid w:val="00587380"/>
    <w:rsid w:val="005B63A8"/>
    <w:rsid w:val="005D2C8B"/>
    <w:rsid w:val="005E469E"/>
    <w:rsid w:val="005F5102"/>
    <w:rsid w:val="0060152B"/>
    <w:rsid w:val="0060351C"/>
    <w:rsid w:val="0062073F"/>
    <w:rsid w:val="006265E3"/>
    <w:rsid w:val="006310B7"/>
    <w:rsid w:val="0063273D"/>
    <w:rsid w:val="00634A85"/>
    <w:rsid w:val="00641776"/>
    <w:rsid w:val="006418DB"/>
    <w:rsid w:val="006421DE"/>
    <w:rsid w:val="006611E3"/>
    <w:rsid w:val="00661B83"/>
    <w:rsid w:val="0067023C"/>
    <w:rsid w:val="006710D5"/>
    <w:rsid w:val="006768BA"/>
    <w:rsid w:val="00681C7B"/>
    <w:rsid w:val="006959E5"/>
    <w:rsid w:val="006964D6"/>
    <w:rsid w:val="00696864"/>
    <w:rsid w:val="00697F52"/>
    <w:rsid w:val="006B0688"/>
    <w:rsid w:val="006B0B46"/>
    <w:rsid w:val="006B30EB"/>
    <w:rsid w:val="006B32FD"/>
    <w:rsid w:val="006B5B08"/>
    <w:rsid w:val="006B5D77"/>
    <w:rsid w:val="006B66D9"/>
    <w:rsid w:val="006D0FB3"/>
    <w:rsid w:val="006D160E"/>
    <w:rsid w:val="006D3E9F"/>
    <w:rsid w:val="006D68C8"/>
    <w:rsid w:val="006E3B16"/>
    <w:rsid w:val="00710A0A"/>
    <w:rsid w:val="00741F0C"/>
    <w:rsid w:val="007421B1"/>
    <w:rsid w:val="007666A7"/>
    <w:rsid w:val="007732BD"/>
    <w:rsid w:val="007743FD"/>
    <w:rsid w:val="0077447B"/>
    <w:rsid w:val="00780466"/>
    <w:rsid w:val="0078503B"/>
    <w:rsid w:val="007856CE"/>
    <w:rsid w:val="00791210"/>
    <w:rsid w:val="00796419"/>
    <w:rsid w:val="007A2B94"/>
    <w:rsid w:val="007A47EB"/>
    <w:rsid w:val="007B1E7C"/>
    <w:rsid w:val="007B536A"/>
    <w:rsid w:val="007B5A4D"/>
    <w:rsid w:val="007B6E27"/>
    <w:rsid w:val="007B7948"/>
    <w:rsid w:val="007C4BDF"/>
    <w:rsid w:val="007C56CE"/>
    <w:rsid w:val="007C5C79"/>
    <w:rsid w:val="007D5753"/>
    <w:rsid w:val="007D57C3"/>
    <w:rsid w:val="00801017"/>
    <w:rsid w:val="008014C4"/>
    <w:rsid w:val="00815CFD"/>
    <w:rsid w:val="008242CC"/>
    <w:rsid w:val="0083194D"/>
    <w:rsid w:val="008320B8"/>
    <w:rsid w:val="00843EB7"/>
    <w:rsid w:val="0085653E"/>
    <w:rsid w:val="0086114D"/>
    <w:rsid w:val="00863BED"/>
    <w:rsid w:val="0086617C"/>
    <w:rsid w:val="00867DAE"/>
    <w:rsid w:val="008815FD"/>
    <w:rsid w:val="00885BD5"/>
    <w:rsid w:val="00885F40"/>
    <w:rsid w:val="008975A3"/>
    <w:rsid w:val="008A3A1E"/>
    <w:rsid w:val="008A4573"/>
    <w:rsid w:val="008A5927"/>
    <w:rsid w:val="008B3403"/>
    <w:rsid w:val="008B4E93"/>
    <w:rsid w:val="008B5D98"/>
    <w:rsid w:val="008C28AF"/>
    <w:rsid w:val="008C2F66"/>
    <w:rsid w:val="008C3A80"/>
    <w:rsid w:val="008C57C7"/>
    <w:rsid w:val="0092778B"/>
    <w:rsid w:val="00951493"/>
    <w:rsid w:val="00957809"/>
    <w:rsid w:val="009624D9"/>
    <w:rsid w:val="009662E6"/>
    <w:rsid w:val="00973FD7"/>
    <w:rsid w:val="009805FB"/>
    <w:rsid w:val="00983CF5"/>
    <w:rsid w:val="00984311"/>
    <w:rsid w:val="00984320"/>
    <w:rsid w:val="0099423A"/>
    <w:rsid w:val="0099749F"/>
    <w:rsid w:val="009A0BA3"/>
    <w:rsid w:val="009A439A"/>
    <w:rsid w:val="009A6848"/>
    <w:rsid w:val="009B7800"/>
    <w:rsid w:val="009C2C72"/>
    <w:rsid w:val="009D2B6F"/>
    <w:rsid w:val="009D7116"/>
    <w:rsid w:val="009E6E6C"/>
    <w:rsid w:val="009F3519"/>
    <w:rsid w:val="009F51DA"/>
    <w:rsid w:val="009F613F"/>
    <w:rsid w:val="00A048EC"/>
    <w:rsid w:val="00A10632"/>
    <w:rsid w:val="00A1310B"/>
    <w:rsid w:val="00A168D3"/>
    <w:rsid w:val="00A53973"/>
    <w:rsid w:val="00A70E83"/>
    <w:rsid w:val="00A725B3"/>
    <w:rsid w:val="00A8098E"/>
    <w:rsid w:val="00A86A91"/>
    <w:rsid w:val="00A92517"/>
    <w:rsid w:val="00AA17A5"/>
    <w:rsid w:val="00AA48B8"/>
    <w:rsid w:val="00AA7482"/>
    <w:rsid w:val="00AB3CA6"/>
    <w:rsid w:val="00AB55BE"/>
    <w:rsid w:val="00AC07A2"/>
    <w:rsid w:val="00AD4E9C"/>
    <w:rsid w:val="00AD6F72"/>
    <w:rsid w:val="00AE3F0E"/>
    <w:rsid w:val="00B026B3"/>
    <w:rsid w:val="00B103FB"/>
    <w:rsid w:val="00B162B0"/>
    <w:rsid w:val="00B261EF"/>
    <w:rsid w:val="00B2762C"/>
    <w:rsid w:val="00B5337D"/>
    <w:rsid w:val="00B55960"/>
    <w:rsid w:val="00B66A13"/>
    <w:rsid w:val="00B673C5"/>
    <w:rsid w:val="00B67AE3"/>
    <w:rsid w:val="00B751A8"/>
    <w:rsid w:val="00B776FE"/>
    <w:rsid w:val="00B85136"/>
    <w:rsid w:val="00B921EE"/>
    <w:rsid w:val="00BA2365"/>
    <w:rsid w:val="00BB146B"/>
    <w:rsid w:val="00BB47FB"/>
    <w:rsid w:val="00BC05DD"/>
    <w:rsid w:val="00BD4A59"/>
    <w:rsid w:val="00BE2DC6"/>
    <w:rsid w:val="00BE424F"/>
    <w:rsid w:val="00BE4D2A"/>
    <w:rsid w:val="00BF01C5"/>
    <w:rsid w:val="00BF5152"/>
    <w:rsid w:val="00C037A4"/>
    <w:rsid w:val="00C03980"/>
    <w:rsid w:val="00C128EF"/>
    <w:rsid w:val="00C1533D"/>
    <w:rsid w:val="00C32BA4"/>
    <w:rsid w:val="00C42E32"/>
    <w:rsid w:val="00C63437"/>
    <w:rsid w:val="00C63DF5"/>
    <w:rsid w:val="00C65141"/>
    <w:rsid w:val="00C66795"/>
    <w:rsid w:val="00C77631"/>
    <w:rsid w:val="00C85A2B"/>
    <w:rsid w:val="00C87A11"/>
    <w:rsid w:val="00C9187E"/>
    <w:rsid w:val="00C93F34"/>
    <w:rsid w:val="00C94406"/>
    <w:rsid w:val="00CA24C1"/>
    <w:rsid w:val="00CA2CCF"/>
    <w:rsid w:val="00CA5DD0"/>
    <w:rsid w:val="00CA6192"/>
    <w:rsid w:val="00CB0010"/>
    <w:rsid w:val="00CB6275"/>
    <w:rsid w:val="00CB7F93"/>
    <w:rsid w:val="00CC4A36"/>
    <w:rsid w:val="00CC4AB4"/>
    <w:rsid w:val="00CC6971"/>
    <w:rsid w:val="00CD15F1"/>
    <w:rsid w:val="00CE0212"/>
    <w:rsid w:val="00CE24EA"/>
    <w:rsid w:val="00CE76B7"/>
    <w:rsid w:val="00CF3DEF"/>
    <w:rsid w:val="00CF78B6"/>
    <w:rsid w:val="00D017B2"/>
    <w:rsid w:val="00D13FE0"/>
    <w:rsid w:val="00D24D48"/>
    <w:rsid w:val="00D276FF"/>
    <w:rsid w:val="00D31F06"/>
    <w:rsid w:val="00D34F7E"/>
    <w:rsid w:val="00D4040B"/>
    <w:rsid w:val="00D45681"/>
    <w:rsid w:val="00D4732C"/>
    <w:rsid w:val="00D518D6"/>
    <w:rsid w:val="00D539EF"/>
    <w:rsid w:val="00D559E4"/>
    <w:rsid w:val="00D60823"/>
    <w:rsid w:val="00D61192"/>
    <w:rsid w:val="00D64831"/>
    <w:rsid w:val="00D660E4"/>
    <w:rsid w:val="00D87622"/>
    <w:rsid w:val="00D901E0"/>
    <w:rsid w:val="00D908EE"/>
    <w:rsid w:val="00D97B62"/>
    <w:rsid w:val="00DA6BC7"/>
    <w:rsid w:val="00DA75BD"/>
    <w:rsid w:val="00DB086E"/>
    <w:rsid w:val="00DB567D"/>
    <w:rsid w:val="00DC2F95"/>
    <w:rsid w:val="00DD1B21"/>
    <w:rsid w:val="00DD428F"/>
    <w:rsid w:val="00DF05E7"/>
    <w:rsid w:val="00E045C4"/>
    <w:rsid w:val="00E12926"/>
    <w:rsid w:val="00E15D2F"/>
    <w:rsid w:val="00E23890"/>
    <w:rsid w:val="00E322E3"/>
    <w:rsid w:val="00E41F5B"/>
    <w:rsid w:val="00E46549"/>
    <w:rsid w:val="00E72040"/>
    <w:rsid w:val="00E83E25"/>
    <w:rsid w:val="00E961E5"/>
    <w:rsid w:val="00EA3EEA"/>
    <w:rsid w:val="00EA533A"/>
    <w:rsid w:val="00EA645F"/>
    <w:rsid w:val="00EB2E54"/>
    <w:rsid w:val="00ED1777"/>
    <w:rsid w:val="00EE1E86"/>
    <w:rsid w:val="00EE36F8"/>
    <w:rsid w:val="00EF5901"/>
    <w:rsid w:val="00EF59FE"/>
    <w:rsid w:val="00EF5AA5"/>
    <w:rsid w:val="00F0331C"/>
    <w:rsid w:val="00F034CD"/>
    <w:rsid w:val="00F156B6"/>
    <w:rsid w:val="00F17F5C"/>
    <w:rsid w:val="00F20FBC"/>
    <w:rsid w:val="00F212FF"/>
    <w:rsid w:val="00F31054"/>
    <w:rsid w:val="00F3686C"/>
    <w:rsid w:val="00F37CA4"/>
    <w:rsid w:val="00F43549"/>
    <w:rsid w:val="00F51F73"/>
    <w:rsid w:val="00F614C5"/>
    <w:rsid w:val="00F6360F"/>
    <w:rsid w:val="00F64020"/>
    <w:rsid w:val="00F70545"/>
    <w:rsid w:val="00F8786C"/>
    <w:rsid w:val="00FA0E2A"/>
    <w:rsid w:val="00FA305C"/>
    <w:rsid w:val="00FA7C1A"/>
    <w:rsid w:val="00FB539F"/>
    <w:rsid w:val="00FB673C"/>
    <w:rsid w:val="00FB6F04"/>
    <w:rsid w:val="00FC44BF"/>
    <w:rsid w:val="00FE692A"/>
    <w:rsid w:val="00FE6E50"/>
    <w:rsid w:val="00FE7867"/>
    <w:rsid w:val="00FF0283"/>
    <w:rsid w:val="00FF313D"/>
    <w:rsid w:val="00FF552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95CF9A"/>
  <w15:chartTrackingRefBased/>
  <w15:docId w15:val="{82CC2EAD-13E8-4776-8FAE-736068124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7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07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07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D07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7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7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7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7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7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7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07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07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D07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7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7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7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7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7A1"/>
    <w:rPr>
      <w:rFonts w:eastAsiaTheme="majorEastAsia" w:cstheme="majorBidi"/>
      <w:color w:val="272727" w:themeColor="text1" w:themeTint="D8"/>
    </w:rPr>
  </w:style>
  <w:style w:type="paragraph" w:styleId="Title">
    <w:name w:val="Title"/>
    <w:basedOn w:val="Normal"/>
    <w:next w:val="Normal"/>
    <w:link w:val="TitleChar"/>
    <w:uiPriority w:val="10"/>
    <w:qFormat/>
    <w:rsid w:val="003D07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7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7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7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7A1"/>
    <w:pPr>
      <w:spacing w:before="160"/>
      <w:jc w:val="center"/>
    </w:pPr>
    <w:rPr>
      <w:i/>
      <w:iCs/>
      <w:color w:val="404040" w:themeColor="text1" w:themeTint="BF"/>
    </w:rPr>
  </w:style>
  <w:style w:type="character" w:customStyle="1" w:styleId="QuoteChar">
    <w:name w:val="Quote Char"/>
    <w:basedOn w:val="DefaultParagraphFont"/>
    <w:link w:val="Quote"/>
    <w:uiPriority w:val="29"/>
    <w:rsid w:val="003D07A1"/>
    <w:rPr>
      <w:i/>
      <w:iCs/>
      <w:color w:val="404040" w:themeColor="text1" w:themeTint="BF"/>
    </w:rPr>
  </w:style>
  <w:style w:type="paragraph" w:styleId="ListParagraph">
    <w:name w:val="List Paragraph"/>
    <w:basedOn w:val="Normal"/>
    <w:uiPriority w:val="34"/>
    <w:qFormat/>
    <w:rsid w:val="003D07A1"/>
    <w:pPr>
      <w:ind w:left="720"/>
      <w:contextualSpacing/>
    </w:pPr>
  </w:style>
  <w:style w:type="character" w:styleId="IntenseEmphasis">
    <w:name w:val="Intense Emphasis"/>
    <w:basedOn w:val="DefaultParagraphFont"/>
    <w:uiPriority w:val="21"/>
    <w:qFormat/>
    <w:rsid w:val="003D07A1"/>
    <w:rPr>
      <w:i/>
      <w:iCs/>
      <w:color w:val="0F4761" w:themeColor="accent1" w:themeShade="BF"/>
    </w:rPr>
  </w:style>
  <w:style w:type="paragraph" w:styleId="IntenseQuote">
    <w:name w:val="Intense Quote"/>
    <w:basedOn w:val="Normal"/>
    <w:next w:val="Normal"/>
    <w:link w:val="IntenseQuoteChar"/>
    <w:uiPriority w:val="30"/>
    <w:qFormat/>
    <w:rsid w:val="003D07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7A1"/>
    <w:rPr>
      <w:i/>
      <w:iCs/>
      <w:color w:val="0F4761" w:themeColor="accent1" w:themeShade="BF"/>
    </w:rPr>
  </w:style>
  <w:style w:type="character" w:styleId="IntenseReference">
    <w:name w:val="Intense Reference"/>
    <w:basedOn w:val="DefaultParagraphFont"/>
    <w:uiPriority w:val="32"/>
    <w:qFormat/>
    <w:rsid w:val="003D07A1"/>
    <w:rPr>
      <w:b/>
      <w:bCs/>
      <w:smallCaps/>
      <w:color w:val="0F4761" w:themeColor="accent1" w:themeShade="BF"/>
      <w:spacing w:val="5"/>
    </w:rPr>
  </w:style>
  <w:style w:type="paragraph" w:styleId="TOCHeading">
    <w:name w:val="TOC Heading"/>
    <w:basedOn w:val="Heading1"/>
    <w:next w:val="Normal"/>
    <w:uiPriority w:val="39"/>
    <w:unhideWhenUsed/>
    <w:qFormat/>
    <w:rsid w:val="003D07A1"/>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D07A1"/>
    <w:pPr>
      <w:spacing w:after="100"/>
    </w:pPr>
  </w:style>
  <w:style w:type="character" w:styleId="Hyperlink">
    <w:name w:val="Hyperlink"/>
    <w:basedOn w:val="DefaultParagraphFont"/>
    <w:uiPriority w:val="99"/>
    <w:unhideWhenUsed/>
    <w:rsid w:val="003D07A1"/>
    <w:rPr>
      <w:color w:val="467886" w:themeColor="hyperlink"/>
      <w:u w:val="single"/>
    </w:rPr>
  </w:style>
  <w:style w:type="paragraph" w:styleId="Bibliography">
    <w:name w:val="Bibliography"/>
    <w:basedOn w:val="Normal"/>
    <w:next w:val="Normal"/>
    <w:uiPriority w:val="37"/>
    <w:unhideWhenUsed/>
    <w:rsid w:val="00164697"/>
    <w:pPr>
      <w:spacing w:after="0" w:line="480" w:lineRule="auto"/>
      <w:ind w:left="720" w:hanging="720"/>
    </w:pPr>
  </w:style>
  <w:style w:type="paragraph" w:styleId="HTMLPreformatted">
    <w:name w:val="HTML Preformatted"/>
    <w:basedOn w:val="Normal"/>
    <w:link w:val="HTMLPreformattedChar"/>
    <w:uiPriority w:val="99"/>
    <w:semiHidden/>
    <w:unhideWhenUsed/>
    <w:rsid w:val="00FB539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B539F"/>
    <w:rPr>
      <w:rFonts w:ascii="Consolas" w:hAnsi="Consolas"/>
      <w:sz w:val="20"/>
      <w:szCs w:val="20"/>
    </w:rPr>
  </w:style>
  <w:style w:type="paragraph" w:styleId="NormalWeb">
    <w:name w:val="Normal (Web)"/>
    <w:basedOn w:val="Normal"/>
    <w:uiPriority w:val="99"/>
    <w:semiHidden/>
    <w:unhideWhenUsed/>
    <w:rsid w:val="005B63A8"/>
    <w:rPr>
      <w:rFonts w:ascii="Times New Roman" w:hAnsi="Times New Roman" w:cs="Times New Roman"/>
    </w:rPr>
  </w:style>
  <w:style w:type="paragraph" w:styleId="FootnoteText">
    <w:name w:val="footnote text"/>
    <w:basedOn w:val="Normal"/>
    <w:link w:val="FootnoteTextChar"/>
    <w:uiPriority w:val="99"/>
    <w:semiHidden/>
    <w:unhideWhenUsed/>
    <w:rsid w:val="00C9187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9187E"/>
    <w:rPr>
      <w:sz w:val="20"/>
      <w:szCs w:val="20"/>
    </w:rPr>
  </w:style>
  <w:style w:type="character" w:styleId="FootnoteReference">
    <w:name w:val="footnote reference"/>
    <w:basedOn w:val="DefaultParagraphFont"/>
    <w:uiPriority w:val="99"/>
    <w:semiHidden/>
    <w:unhideWhenUsed/>
    <w:rsid w:val="00C9187E"/>
    <w:rPr>
      <w:vertAlign w:val="superscript"/>
    </w:rPr>
  </w:style>
  <w:style w:type="character" w:styleId="EndnoteReference">
    <w:name w:val="endnote reference"/>
    <w:basedOn w:val="DefaultParagraphFont"/>
    <w:uiPriority w:val="99"/>
    <w:semiHidden/>
    <w:unhideWhenUsed/>
    <w:rsid w:val="00134BEC"/>
    <w:rPr>
      <w:vertAlign w:val="superscript"/>
    </w:rPr>
  </w:style>
  <w:style w:type="paragraph" w:styleId="Caption">
    <w:name w:val="caption"/>
    <w:basedOn w:val="Normal"/>
    <w:next w:val="Normal"/>
    <w:uiPriority w:val="35"/>
    <w:unhideWhenUsed/>
    <w:qFormat/>
    <w:rsid w:val="00CE0212"/>
    <w:pPr>
      <w:spacing w:after="200" w:line="240" w:lineRule="auto"/>
    </w:pPr>
    <w:rPr>
      <w:i/>
      <w:iCs/>
      <w:color w:val="0E2841" w:themeColor="text2"/>
      <w:sz w:val="18"/>
      <w:szCs w:val="18"/>
    </w:rPr>
  </w:style>
  <w:style w:type="table" w:styleId="TableGrid">
    <w:name w:val="Table Grid"/>
    <w:basedOn w:val="TableNormal"/>
    <w:uiPriority w:val="39"/>
    <w:rsid w:val="00CE0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CE021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E021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2">
    <w:name w:val="toc 2"/>
    <w:basedOn w:val="Normal"/>
    <w:next w:val="Normal"/>
    <w:autoRedefine/>
    <w:uiPriority w:val="39"/>
    <w:unhideWhenUsed/>
    <w:rsid w:val="00432876"/>
    <w:pPr>
      <w:spacing w:after="100"/>
      <w:ind w:left="240"/>
    </w:pPr>
  </w:style>
  <w:style w:type="character" w:styleId="CommentReference">
    <w:name w:val="annotation reference"/>
    <w:basedOn w:val="DefaultParagraphFont"/>
    <w:uiPriority w:val="99"/>
    <w:semiHidden/>
    <w:unhideWhenUsed/>
    <w:rsid w:val="00395B33"/>
    <w:rPr>
      <w:sz w:val="16"/>
      <w:szCs w:val="16"/>
    </w:rPr>
  </w:style>
  <w:style w:type="paragraph" w:styleId="CommentText">
    <w:name w:val="annotation text"/>
    <w:basedOn w:val="Normal"/>
    <w:link w:val="CommentTextChar"/>
    <w:uiPriority w:val="99"/>
    <w:unhideWhenUsed/>
    <w:rsid w:val="00395B33"/>
    <w:pPr>
      <w:spacing w:line="240" w:lineRule="auto"/>
    </w:pPr>
    <w:rPr>
      <w:sz w:val="20"/>
      <w:szCs w:val="20"/>
    </w:rPr>
  </w:style>
  <w:style w:type="character" w:customStyle="1" w:styleId="CommentTextChar">
    <w:name w:val="Comment Text Char"/>
    <w:basedOn w:val="DefaultParagraphFont"/>
    <w:link w:val="CommentText"/>
    <w:uiPriority w:val="99"/>
    <w:rsid w:val="00395B33"/>
    <w:rPr>
      <w:sz w:val="20"/>
      <w:szCs w:val="20"/>
    </w:rPr>
  </w:style>
  <w:style w:type="paragraph" w:styleId="CommentSubject">
    <w:name w:val="annotation subject"/>
    <w:basedOn w:val="CommentText"/>
    <w:next w:val="CommentText"/>
    <w:link w:val="CommentSubjectChar"/>
    <w:uiPriority w:val="99"/>
    <w:semiHidden/>
    <w:unhideWhenUsed/>
    <w:rsid w:val="00395B33"/>
    <w:rPr>
      <w:b/>
      <w:bCs/>
    </w:rPr>
  </w:style>
  <w:style w:type="character" w:customStyle="1" w:styleId="CommentSubjectChar">
    <w:name w:val="Comment Subject Char"/>
    <w:basedOn w:val="CommentTextChar"/>
    <w:link w:val="CommentSubject"/>
    <w:uiPriority w:val="99"/>
    <w:semiHidden/>
    <w:rsid w:val="00395B33"/>
    <w:rPr>
      <w:b/>
      <w:bCs/>
      <w:sz w:val="20"/>
      <w:szCs w:val="20"/>
    </w:rPr>
  </w:style>
  <w:style w:type="paragraph" w:styleId="TOC3">
    <w:name w:val="toc 3"/>
    <w:basedOn w:val="Normal"/>
    <w:next w:val="Normal"/>
    <w:autoRedefine/>
    <w:uiPriority w:val="39"/>
    <w:unhideWhenUsed/>
    <w:rsid w:val="00AD6F72"/>
    <w:pPr>
      <w:spacing w:after="100"/>
      <w:ind w:left="480"/>
    </w:pPr>
  </w:style>
  <w:style w:type="paragraph" w:styleId="NoSpacing">
    <w:name w:val="No Spacing"/>
    <w:uiPriority w:val="1"/>
    <w:qFormat/>
    <w:rsid w:val="00983CF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4C256D7341E4EAF9F5C30E483DB88B4"/>
        <w:category>
          <w:name w:val="General"/>
          <w:gallery w:val="placeholder"/>
        </w:category>
        <w:types>
          <w:type w:val="bbPlcHdr"/>
        </w:types>
        <w:behaviors>
          <w:behavior w:val="content"/>
        </w:behaviors>
        <w:guid w:val="{B2892EDE-0A6E-4C9A-B975-1AEA7C2EA0BB}"/>
      </w:docPartPr>
      <w:docPartBody>
        <w:p w:rsidR="003C44C8" w:rsidRDefault="006A7925" w:rsidP="006A7925">
          <w:pPr>
            <w:pStyle w:val="94C256D7341E4EAF9F5C30E483DB88B4"/>
          </w:pPr>
          <w:r>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925"/>
    <w:rsid w:val="00145899"/>
    <w:rsid w:val="00317A9C"/>
    <w:rsid w:val="0034616A"/>
    <w:rsid w:val="0037514E"/>
    <w:rsid w:val="003C44C8"/>
    <w:rsid w:val="004919BF"/>
    <w:rsid w:val="006A7925"/>
    <w:rsid w:val="006D0FB3"/>
    <w:rsid w:val="00863BED"/>
    <w:rsid w:val="00C87A11"/>
    <w:rsid w:val="00E22924"/>
    <w:rsid w:val="00EA3EE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7925"/>
  </w:style>
  <w:style w:type="paragraph" w:customStyle="1" w:styleId="94C256D7341E4EAF9F5C30E483DB88B4">
    <w:name w:val="94C256D7341E4EAF9F5C30E483DB88B4"/>
    <w:rsid w:val="006A792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1">
      <a:majorFont>
        <a:latin typeface="Garamond"/>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353EA9-2124-4A16-884A-B308844ACA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26</Pages>
  <Words>30621</Words>
  <Characters>174544</Characters>
  <Application>Microsoft Office Word</Application>
  <DocSecurity>0</DocSecurity>
  <Lines>1454</Lines>
  <Paragraphs>409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 Judith Lopez Gutierrez</dc:creator>
  <cp:keywords/>
  <dc:description/>
  <cp:lastModifiedBy>Gabriela Judith Lopez Gutierrez</cp:lastModifiedBy>
  <cp:revision>16</cp:revision>
  <cp:lastPrinted>2026-05-19T06:24:00Z</cp:lastPrinted>
  <dcterms:created xsi:type="dcterms:W3CDTF">2026-05-24T08:38:00Z</dcterms:created>
  <dcterms:modified xsi:type="dcterms:W3CDTF">2026-05-26T09:28:00Z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id="unGltCJR"/&gt;&lt;style id="http://www.zotero.org/styles/apa" locale="es-ES"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