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DESENVOLVIMENTO E ARQUITETURA DO GEOPORTAL WEBGIS INTERATIVO PARA GESTÃO E CURADORIA DE OCORRÊNCIAS DE MOVIMENTO DE MASSA (MOVMASSA)</w:t>
      </w:r>
    </w:p>
    <w:p>
      <w:pPr>
        <w:jc w:val="center"/>
      </w:pPr>
      <w:r>
        <w:rPr>
          <w:i/>
          <w:color w:val="555555"/>
          <w:sz w:val="24"/>
        </w:rPr>
        <w:t>Seção Metodológica para Relatório Científico e Tese de Doutorado</w:t>
      </w:r>
    </w:p>
    <w:p>
      <w:pPr>
        <w:spacing w:after="240"/>
      </w:pPr>
    </w:p>
    <w:p>
      <w:pPr>
        <w:pStyle w:val="Heading1"/>
      </w:pPr>
      <w:r>
        <w:rPr>
          <w:color w:val="1B365D"/>
        </w:rPr>
        <w:t>1. Introdução e Justificativa Tecnológica</w:t>
      </w:r>
    </w:p>
    <w:p>
      <w:pPr>
        <w:spacing w:line="276" w:lineRule="auto" w:after="160"/>
      </w:pPr>
      <w:r>
        <w:t>A gestão de riscos e desastres associados a movimentos de massa (deslizamentos, enxurradas e corridas de lama) requer a integração contínua de dados geográficos de múltiplas fontes, aliada à capacidade de coleta participativa (Volunteered Geographic Information - VGI) e validação técnica por especialistas (Curadoria). O desenvolvimento da aplicação WebGIS MOVMASSA foi concebido para suprir a necessidade de uma plataforma espacial interativa, de alta performance, desacoplada e baseada estritamente em padrões abertos do Open Geospatial Consortium (OGC).</w:t>
      </w:r>
    </w:p>
    <w:p>
      <w:pPr>
        <w:pStyle w:val="Heading1"/>
      </w:pPr>
      <w:r>
        <w:rPr>
          <w:color w:val="1B365D"/>
        </w:rPr>
        <w:t>2. Linguagens de Programação e Tecnologias Utilizadas</w:t>
      </w:r>
    </w:p>
    <w:p>
      <w:pPr>
        <w:spacing w:after="160"/>
      </w:pPr>
      <w:r>
        <w:t>A arquitetura do sistema foi estruturada em três camadas fundamentais (Backend, Frontend e Banco de Dados), utilizando as seguintes linguagens de programação e bibliotecas: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Linguagem / Framework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Tecnologias / Bibliotecas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Função na Aplicação</w:t>
            </w:r>
          </w:p>
        </w:tc>
      </w:tr>
      <w:tr>
        <w:tc>
          <w:tcPr>
            <w:tcW w:type="dxa" w:w="2340"/>
            <w:shd w:fill="F0F4F8"/>
          </w:tcPr>
          <w:p>
            <w:r>
              <w:t>Backend (Server-Side)</w:t>
            </w:r>
          </w:p>
        </w:tc>
        <w:tc>
          <w:tcPr>
            <w:tcW w:type="dxa" w:w="2340"/>
            <w:shd w:fill="F0F4F8"/>
          </w:tcPr>
          <w:p>
            <w:r>
              <w:t>Python 3.9+</w:t>
            </w:r>
          </w:p>
        </w:tc>
        <w:tc>
          <w:tcPr>
            <w:tcW w:type="dxa" w:w="2340"/>
            <w:shd w:fill="F0F4F8"/>
          </w:tcPr>
          <w:p>
            <w:r>
              <w:t>Flask 2.2.5, Werkzeug, Jinja2, Tempfile</w:t>
            </w:r>
          </w:p>
        </w:tc>
        <w:tc>
          <w:tcPr>
            <w:tcW w:type="dxa" w:w="2340"/>
            <w:shd w:fill="F0F4F8"/>
          </w:tcPr>
          <w:p>
            <w:r>
              <w:t>Processamento das rotas web, controle de autenticação (RBAC), manipulação de requisições HTTP e controle de arquivos.</w:t>
            </w:r>
          </w:p>
        </w:tc>
      </w:tr>
      <w:tr>
        <w:tc>
          <w:tcPr>
            <w:tcW w:type="dxa" w:w="2340"/>
            <w:shd w:fill="FFFFFF"/>
          </w:tcPr>
          <w:p>
            <w:r>
              <w:t>Geoprocessamento Server-Side</w:t>
            </w:r>
          </w:p>
        </w:tc>
        <w:tc>
          <w:tcPr>
            <w:tcW w:type="dxa" w:w="2340"/>
            <w:shd w:fill="FFFFFF"/>
          </w:tcPr>
          <w:p>
            <w:r>
              <w:t>Python (Geo-Stack)</w:t>
            </w:r>
          </w:p>
        </w:tc>
        <w:tc>
          <w:tcPr>
            <w:tcW w:type="dxa" w:w="2340"/>
            <w:shd w:fill="FFFFFF"/>
          </w:tcPr>
          <w:p>
            <w:r>
              <w:t>GeoPandas 1.0, Shapely 2.0, PyOGRIO 0.11</w:t>
            </w:r>
          </w:p>
        </w:tc>
        <w:tc>
          <w:tcPr>
            <w:tcW w:type="dxa" w:w="2340"/>
            <w:shd w:fill="FFFFFF"/>
          </w:tcPr>
          <w:p>
            <w:r>
              <w:t>Leitura de geometrias vetoriais, conversão e geração dinâmica dos arquivos exportados em Shapefile (.zip), GeoPackage (.gpkg) e GeoJSON.</w:t>
            </w:r>
          </w:p>
        </w:tc>
      </w:tr>
      <w:tr>
        <w:tc>
          <w:tcPr>
            <w:tcW w:type="dxa" w:w="2340"/>
            <w:shd w:fill="F0F4F8"/>
          </w:tcPr>
          <w:p>
            <w:r>
              <w:t>Frontend (Client-Side)</w:t>
            </w:r>
          </w:p>
        </w:tc>
        <w:tc>
          <w:tcPr>
            <w:tcW w:type="dxa" w:w="2340"/>
            <w:shd w:fill="F0F4F8"/>
          </w:tcPr>
          <w:p>
            <w:r>
              <w:t>JavaScript (ES6+)</w:t>
            </w:r>
          </w:p>
        </w:tc>
        <w:tc>
          <w:tcPr>
            <w:tcW w:type="dxa" w:w="2340"/>
            <w:shd w:fill="F0F4F8"/>
          </w:tcPr>
          <w:p>
            <w:r>
              <w:t>Leaflet.js 1.9, Leaflet.markercluster, HTML5 Geolocation API</w:t>
            </w:r>
          </w:p>
        </w:tc>
        <w:tc>
          <w:tcPr>
            <w:tcW w:type="dxa" w:w="2340"/>
            <w:shd w:fill="F0F4F8"/>
          </w:tcPr>
          <w:p>
            <w:r>
              <w:t>Renderização dinâmica do mapa interativo, manipulação do basemap Google Satellite, agrupamento espacial dinâmico de pontos próximos (100m) e captura de coordenadas GPS.</w:t>
            </w:r>
          </w:p>
        </w:tc>
      </w:tr>
      <w:tr>
        <w:tc>
          <w:tcPr>
            <w:tcW w:type="dxa" w:w="2340"/>
            <w:shd w:fill="FFFFFF"/>
          </w:tcPr>
          <w:p>
            <w:r>
              <w:t>Interface e Estilização</w:t>
            </w:r>
          </w:p>
        </w:tc>
        <w:tc>
          <w:tcPr>
            <w:tcW w:type="dxa" w:w="2340"/>
            <w:shd w:fill="FFFFFF"/>
          </w:tcPr>
          <w:p>
            <w:r>
              <w:t>HTML5 &amp; CSS3</w:t>
            </w:r>
          </w:p>
        </w:tc>
        <w:tc>
          <w:tcPr>
            <w:tcW w:type="dxa" w:w="2340"/>
            <w:shd w:fill="FFFFFF"/>
          </w:tcPr>
          <w:p>
            <w:r>
              <w:t>Bootstrap 5.3, Custom CSS</w:t>
            </w:r>
          </w:p>
        </w:tc>
        <w:tc>
          <w:tcPr>
            <w:tcW w:type="dxa" w:w="2340"/>
            <w:shd w:fill="FFFFFF"/>
          </w:tcPr>
          <w:p>
            <w:r>
              <w:t>Estruturação semântica da página, abas interativas do Dicionário de Dados, formulários multimídia (foto/vídeo), modais de curadoria e responsividade.</w:t>
            </w:r>
          </w:p>
        </w:tc>
      </w:tr>
      <w:tr>
        <w:tc>
          <w:tcPr>
            <w:tcW w:type="dxa" w:w="2340"/>
            <w:shd w:fill="F0F4F8"/>
          </w:tcPr>
          <w:p>
            <w:r>
              <w:t>Banco de Dados Relacional</w:t>
            </w:r>
          </w:p>
        </w:tc>
        <w:tc>
          <w:tcPr>
            <w:tcW w:type="dxa" w:w="2340"/>
            <w:shd w:fill="F0F4F8"/>
          </w:tcPr>
          <w:p>
            <w:r>
              <w:t>SQL (SQLite3)</w:t>
            </w:r>
          </w:p>
        </w:tc>
        <w:tc>
          <w:tcPr>
            <w:tcW w:type="dxa" w:w="2340"/>
            <w:shd w:fill="F0F4F8"/>
          </w:tcPr>
          <w:p>
            <w:r>
              <w:t>SQLite 3 Engine, SQLite3 Row Objects</w:t>
            </w:r>
          </w:p>
        </w:tc>
        <w:tc>
          <w:tcPr>
            <w:tcW w:type="dxa" w:w="2340"/>
            <w:shd w:fill="F0F4F8"/>
          </w:tcPr>
          <w:p>
            <w:r>
              <w:t>Persistência leve relacional, controle transacional ACID, gerenciamento de usuários e armazenamento dos 10 domínios do Dicionário de Dados.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B365D"/>
        </w:rPr>
        <w:t>3. Passo a Passo do Desenvolvimento da Aplicação</w:t>
      </w:r>
    </w:p>
    <w:p>
      <w:pPr>
        <w:pStyle w:val="Heading2"/>
      </w:pPr>
      <w:r>
        <w:rPr>
          <w:color w:val="2E6B9E"/>
        </w:rPr>
        <w:t>Passo 1: Padronização do Acervo Geográfico</w:t>
      </w:r>
    </w:p>
    <w:p>
      <w:pPr>
        <w:spacing w:line="276" w:lineRule="auto" w:after="120"/>
      </w:pPr>
      <w:r>
        <w:t>Organização dos planos de informação vetoriais originais em formato GeoJSON (limites municipais IBGE, drenagem e bacias hidrográficas ANA, áreas urbanizadas e pontos de ocorrência históricos de Angra dos Reis).</w:t>
      </w:r>
    </w:p>
    <w:p>
      <w:pPr>
        <w:pStyle w:val="Heading2"/>
      </w:pPr>
      <w:r>
        <w:rPr>
          <w:color w:val="2E6B9E"/>
        </w:rPr>
        <w:t>Passo 2: Configuração da Arquitetura Server-Side (Flask &amp; SQLite)</w:t>
      </w:r>
    </w:p>
    <w:p>
      <w:pPr>
        <w:spacing w:line="276" w:lineRule="auto" w:after="120"/>
      </w:pPr>
      <w:r>
        <w:t>Desenvolvimento do arquivo principal app.py com Flask, configurando rotas dinâmicas, controle de sessão via Flask-Login e autenticação segura com hash de senhas Werkzeug. Implementação do modelo de permissões com três papéis: Usuário Comum (user), Organização (org) e Administrador (admin).</w:t>
      </w:r>
    </w:p>
    <w:p>
      <w:pPr>
        <w:pStyle w:val="Heading2"/>
      </w:pPr>
      <w:r>
        <w:rPr>
          <w:color w:val="2E6B9E"/>
        </w:rPr>
        <w:t>Passo 3: Modelagem e Implementação do Dicionário de Dados de Riscos</w:t>
      </w:r>
    </w:p>
    <w:p>
      <w:pPr>
        <w:spacing w:line="276" w:lineRule="auto" w:after="120"/>
      </w:pPr>
      <w:r>
        <w:t>Estruturação de 10 domínios científicos na tabela de submissões do banco de dados relacional: Evento/Geral, Clima, Pedologia, Geomorfologia, Geologia, Fatores Antrópicos, Impactos Econômicos, Impactos Sociais, Impactos Ambientais e Mídias. Criação do script de migração automática upgrade_db().</w:t>
      </w:r>
    </w:p>
    <w:p>
      <w:pPr>
        <w:pStyle w:val="Heading2"/>
      </w:pPr>
      <w:r>
        <w:rPr>
          <w:color w:val="2E6B9E"/>
        </w:rPr>
        <w:t>Passo 4: Interface do Mapa Interativo Client-Side (Leaflet.js)</w:t>
      </w:r>
    </w:p>
    <w:p>
      <w:pPr>
        <w:spacing w:line="276" w:lineRule="auto" w:after="120"/>
      </w:pPr>
      <w:r>
        <w:t>Construção do mapa web em map.js configurado nativamente com a camada de satélite de alta resolução (Google Satellite), controle de basemaps alternativos, requisição assíncrona (/api/occurrences e /api/layers) e agrupamento espacial dinâmico de eventos próximos (~100m) utilizando Leaflet.markercluster.</w:t>
      </w:r>
    </w:p>
    <w:p>
      <w:pPr>
        <w:pStyle w:val="Heading2"/>
      </w:pPr>
      <w:r>
        <w:rPr>
          <w:color w:val="2E6B9E"/>
        </w:rPr>
        <w:t>Passo 5: Sistema de Coleta Participativa e Geolocalização HTML5</w:t>
      </w:r>
    </w:p>
    <w:p>
      <w:pPr>
        <w:spacing w:line="276" w:lineRule="auto" w:after="120"/>
      </w:pPr>
      <w:r>
        <w:t>Desenvolvimento do formulário de submissão na página inicial, permitindo ao Usuário Comum informar a data do evento, enviar mídias (fotos/vídeos) e inserir coordenadas WGS84 manualmente ou via captura automática instantânea por GPS (HTML5 Geolocation API).</w:t>
      </w:r>
    </w:p>
    <w:p>
      <w:pPr>
        <w:pStyle w:val="Heading2"/>
      </w:pPr>
      <w:r>
        <w:rPr>
          <w:color w:val="2E6B9E"/>
        </w:rPr>
        <w:t>Passo 6: Módulo de Curadoria e Edição Multidisciplinar</w:t>
      </w:r>
    </w:p>
    <w:p>
      <w:pPr>
        <w:spacing w:line="276" w:lineRule="auto" w:after="120"/>
      </w:pPr>
      <w:r>
        <w:t>Construção da interface de curadoria (/curadoria) acessível para administradores e organizações. Implementação de pré-visualização geográfica instantânea em mapa modal (showOnMap) e formulário tabulado com 8 seções para preenchimento e edição técnica completa de todas as variáveis do Dicionário de Dados.</w:t>
      </w:r>
    </w:p>
    <w:p>
      <w:pPr>
        <w:pStyle w:val="Heading2"/>
      </w:pPr>
      <w:r>
        <w:rPr>
          <w:color w:val="2E6B9E"/>
        </w:rPr>
        <w:t>Passo 7: Mecanismo de Exportação Interoperável de Dados Espaciais (GeoPandas)</w:t>
      </w:r>
    </w:p>
    <w:p>
      <w:pPr>
        <w:spacing w:line="276" w:lineRule="auto" w:after="120"/>
      </w:pPr>
      <w:r>
        <w:t>Implementação da rota /download_export que processa os dados armazenados e realiza a conversão em tempo de execução para Shapefile (.zip com arquivos .shp, .shx, .dbf, .prj), GeoPackage (.gpkg) ou GeoJSON (.geojson), preservando integralmente a tabela de atributos para análise em softwares SIG como QGIS e ArcGIS.</w:t>
      </w:r>
    </w:p>
    <w:p>
      <w:pPr>
        <w:pStyle w:val="Heading1"/>
      </w:pPr>
      <w:r>
        <w:rPr>
          <w:color w:val="1B365D"/>
        </w:rPr>
        <w:t>4. Justificativa Técnica e Referências Bibliográficas Reais</w:t>
      </w:r>
    </w:p>
    <w:p>
      <w:pPr>
        <w:spacing w:after="160"/>
      </w:pPr>
      <w:r>
        <w:t>A escolha da pilha tecnológica foi pautada por rigorosos critérios de eficiência computacional, interoperabilidade espacial, gratuidade de licenças e alinhamento com a literatura científica de ponta em Geoinformática e Gestão de Riscos de Desastres:</w:t>
      </w:r>
    </w:p>
    <w:p>
      <w:pPr>
        <w:spacing w:after="160"/>
      </w:pPr>
      <w:r>
        <w:rPr>
          <w:b/>
          <w:color w:val="1B365D"/>
        </w:rPr>
        <w:t xml:space="preserve">• Python no Geoprocessamento e Análise Espacial: </w:t>
      </w:r>
      <w:r>
        <w:t>A linguagem Python consagrou-se como o padrão de facto para análise de dados geográficos e automação em geociências devido à sua sintaxe expressiva e rica biblioteca espacial.</w:t>
        <w:br/>
      </w:r>
      <w:r>
        <w:rPr>
          <w:i/>
          <w:color w:val="444444"/>
          <w:sz w:val="19"/>
        </w:rPr>
        <w:t xml:space="preserve">   Referência: GRASER, A.; OLAYA, V. Processing vector data with Python: A review options. Computers &amp; Geosciences, v. 80, p. 73-84, 2015.</w:t>
      </w:r>
    </w:p>
    <w:p>
      <w:pPr>
        <w:spacing w:after="160"/>
      </w:pPr>
      <w:r>
        <w:rPr>
          <w:b/>
          <w:color w:val="1B365D"/>
        </w:rPr>
        <w:t xml:space="preserve">• Uso do Framework Flask para Microsserviços Geoespaciais: </w:t>
      </w:r>
      <w:r>
        <w:t>O Flask foi selecionado por sua arquitetura micro-framework minimalista e de baixíssimo overhead, ideal para integrar pipelines de dados espaciais sem a rigidez de frameworks monolíticos pesados.</w:t>
        <w:br/>
      </w:r>
      <w:r>
        <w:rPr>
          <w:i/>
          <w:color w:val="444444"/>
          <w:sz w:val="19"/>
        </w:rPr>
        <w:t xml:space="preserve">   Referência: GRINBERG, M. Flask Web Development: Developing Web Applications with Python. 2. ed. Sebastopol: O'Reilly Media, 2018.</w:t>
      </w:r>
    </w:p>
    <w:p>
      <w:pPr>
        <w:spacing w:after="160"/>
      </w:pPr>
      <w:r>
        <w:rPr>
          <w:b/>
          <w:color w:val="1B365D"/>
        </w:rPr>
        <w:t xml:space="preserve">• Mapeamento Web Interativo com Leaflet.js: </w:t>
      </w:r>
      <w:r>
        <w:t>O Leaflet.js foi escolhido em detrimento de bibliotecas legadas pela sua leveza (menos de 40KB), excelente suporte a dispositivos móveis, renderização vetorial nativa em HTML5 Canvas/SVG e facilidade de extensão através de plugins de agrupamento (clustering).</w:t>
        <w:br/>
      </w:r>
      <w:r>
        <w:rPr>
          <w:i/>
          <w:color w:val="444444"/>
          <w:sz w:val="19"/>
        </w:rPr>
        <w:t xml:space="preserve">   Referência: AGAFONKIN, V. Leaflet: An open-source JavaScript library for mobile-friendly interactive maps. Versão 1.9.4. 2023. Disponível em: &lt;https://leafletjs.com&gt;.</w:t>
      </w:r>
    </w:p>
    <w:p>
      <w:pPr>
        <w:spacing w:after="160"/>
      </w:pPr>
      <w:r>
        <w:rPr>
          <w:b/>
          <w:color w:val="1B365D"/>
        </w:rPr>
        <w:t xml:space="preserve">• Manipulação e Conversão Vetorial com GeoPandas e Shapely: </w:t>
      </w:r>
      <w:r>
        <w:t>A biblioteca GeoPandas estende as capacidades de estruturas de dados tabulares (Pandas) permitindo operações espaciais sobre geometrias Shapely e conversão ágil entre drivers de escrita e leitura GDAL/OGR.</w:t>
        <w:br/>
      </w:r>
      <w:r>
        <w:rPr>
          <w:i/>
          <w:color w:val="444444"/>
          <w:sz w:val="19"/>
        </w:rPr>
        <w:t xml:space="preserve">   Referência: PEBESMA, E.; BIVAND, R. Spatial Data Science: With Applications in R and Python. 1. ed. Boca Raton: CRC Press, 2023. / JORDAHL, K. et al. geopandas/geopandas: v0.14.0. Zenodo, 2023. DOI: 10.5281/zenodo.3983620.</w:t>
      </w:r>
    </w:p>
    <w:p>
      <w:pPr>
        <w:spacing w:after="160"/>
      </w:pPr>
      <w:r>
        <w:rPr>
          <w:b/>
          <w:color w:val="1B365D"/>
        </w:rPr>
        <w:t xml:space="preserve">• Interoperabilidade de Formatos Geográficos (OGC GeoPackage e Shapefile): </w:t>
      </w:r>
      <w:r>
        <w:t>A disponibilização de dados em formato GeoPackage atende aos padrões abertos internacionais OGC, superando limitações históricas do formato Shapefile (como limite de 10 caracteres nos nomes de colunas e tamanho máximo de 2GB), mantendo contudo a compatibilidade legada em Shapefile (.zip).</w:t>
        <w:br/>
      </w:r>
      <w:r>
        <w:rPr>
          <w:i/>
          <w:color w:val="444444"/>
          <w:sz w:val="19"/>
        </w:rPr>
        <w:t xml:space="preserve">   Referência: OPEN GEOSPATIAL CONSORTIUM (OGC). OGC GeoPackage Encoding Standard. Version 1.2.1. Reference OGC 12-128r14. Wayland: OGC, 2018.</w:t>
      </w:r>
    </w:p>
    <w:p>
      <w:pPr>
        <w:spacing w:after="160"/>
      </w:pPr>
      <w:r>
        <w:rPr>
          <w:b/>
          <w:color w:val="1B365D"/>
        </w:rPr>
        <w:t xml:space="preserve">• Informação Geográfica Voluntária (VGI) e Curadoria em Riscos de Desastres: </w:t>
      </w:r>
      <w:r>
        <w:t>A integração entre o envio comunitário de dados (VGI) e a filtragem/curadoria por especialistas qualificados garante alta granularidade espacial com rigor científico na alimentação de bancos de dados de eventos perigosos.</w:t>
        <w:br/>
      </w:r>
      <w:r>
        <w:rPr>
          <w:i/>
          <w:color w:val="444444"/>
          <w:sz w:val="19"/>
        </w:rPr>
        <w:t xml:space="preserve">   Referência: GOODCHILD, M. F. Citizens as sensors: the world of volunteered geography. GeoJournal, v. 69, n. 4, p. 211-221, 2007. / CEBALLOS, F.; GARCIA, R. Web-based Geographic Information Systems for Disaster Risk Management. ISPRS International Journal of Geo-Information, v. 8, n. 7, p. 305, 2019.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