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Illustrative Connections</w:t>
      </w:r>
    </w:p>
    <w:p>
      <w:pPr>
        <w:pBdr>
          <w:bottom w:val="single" w:color="1F3864" w:sz="8" w:space="4"/>
        </w:pBdr>
        <w:spacing w:after="24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Linking CIPE partners and U.S. business to advance market reforms and U.S. trade and investment in Latin America · Draft, October 2026</w:t>
      </w:r>
    </w:p>
    <w:p>
      <w:pPr>
        <w:pStyle w:val="Heading2"/>
        <w:spacing w:after="80"/>
      </w:pPr>
      <w:r>
        <w:rPr>
          <w:rFonts w:ascii="Calibri" w:cs="Calibri" w:eastAsia="Calibri" w:hAnsi="Calibri"/>
        </w:rPr>
        <w:t xml:space="preserve">Purpose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Each connection pairs a CIPE partner with U.S. companies around a market reform that serves both sides. Together they support an America First approach by tying reform to concrete U.S. gains: lower costs and risks for U.S. firms, supply chains less dependent on China, U.S. exports of equipment and services, and better rules for U.S. investors.</w:t>
      </w:r>
    </w:p>
    <w:p>
      <w:pPr>
        <w:pStyle w:val="Heading2"/>
        <w:spacing w:after="80"/>
      </w:pPr>
      <w:r>
        <w:rPr>
          <w:rFonts w:ascii="Calibri" w:cs="Calibri" w:eastAsia="Calibri" w:hAnsi="Calibri"/>
        </w:rPr>
        <w:t xml:space="preserve">Connections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A. Critical minerals: transparent, predictable rules</w:t>
      </w:r>
      <w:r>
        <w:rPr>
          <w:rFonts w:ascii="Calibri" w:cs="Calibri" w:eastAsia="Calibri" w:hAnsi="Calibri"/>
          <w:sz w:val="21"/>
          <w:szCs w:val="21"/>
        </w:rPr>
        <w:t xml:space="preserve"> — Chile, Argentina, Bolivia: predictable lithium rules for U.S. supply chains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 Medical devices: nearshoring and free-zone efficiency</w:t>
      </w:r>
      <w:r>
        <w:rPr>
          <w:rFonts w:ascii="Calibri" w:cs="Calibri" w:eastAsia="Calibri" w:hAnsi="Calibri"/>
          <w:sz w:val="21"/>
          <w:szCs w:val="21"/>
        </w:rPr>
        <w:t xml:space="preserve"> — Costa Rica → Guatemala, Dominican Republic: moving medical device production closer to the U.S. under CAFTA-DR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C. Coffee: steady supply, quality and productivity</w:t>
      </w:r>
      <w:r>
        <w:rPr>
          <w:rFonts w:ascii="Calibri" w:cs="Calibri" w:eastAsia="Calibri" w:hAnsi="Calibri"/>
          <w:sz w:val="21"/>
          <w:szCs w:val="21"/>
        </w:rPr>
        <w:t xml:space="preserve"> — Guatemala, Honduras, El Salvador: traceable, resilient coffee for U.S. buyers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D. Logistics and cold chain: trusted trade and faster borders</w:t>
      </w:r>
      <w:r>
        <w:rPr>
          <w:rFonts w:ascii="Calibri" w:cs="Calibri" w:eastAsia="Calibri" w:hAnsi="Calibri"/>
          <w:sz w:val="21"/>
          <w:szCs w:val="21"/>
        </w:rPr>
        <w:t xml:space="preserve"> — Guatemala, Honduras: cold chain and trusted-trader status for fresh produce exports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E. Energy: transparent power markets</w:t>
      </w:r>
      <w:r>
        <w:rPr>
          <w:rFonts w:ascii="Calibri" w:cs="Calibri" w:eastAsia="Calibri" w:hAnsi="Calibri"/>
          <w:sz w:val="21"/>
          <w:szCs w:val="21"/>
        </w:rPr>
        <w:t xml:space="preserve"> — Central America and Guyana: open tenders and stable contracts for power investment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F. Finance and fintech: digital payments and financial inclusion</w:t>
      </w:r>
      <w:r>
        <w:rPr>
          <w:rFonts w:ascii="Calibri" w:cs="Calibri" w:eastAsia="Calibri" w:hAnsi="Calibri"/>
          <w:sz w:val="21"/>
          <w:szCs w:val="21"/>
        </w:rPr>
        <w:t xml:space="preserve"> — Guatemala, Honduras, El Salvador and Colombia: modern rules for digital finance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 Venture capital: removing barriers to startup growth</w:t>
      </w:r>
      <w:r>
        <w:rPr>
          <w:rFonts w:ascii="Calibri" w:cs="Calibri" w:eastAsia="Calibri" w:hAnsi="Calibri"/>
          <w:sz w:val="21"/>
          <w:szCs w:val="21"/>
        </w:rPr>
        <w:t xml:space="preserve"> — Argentina, Bolivia, Guatemala, El Salvador: "LATAM Sin Barreras" meets U.S. investors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H. Cross-cutting: constructive capital vs. opaque investment</w:t>
      </w:r>
      <w:r>
        <w:rPr>
          <w:rFonts w:ascii="Calibri" w:cs="Calibri" w:eastAsia="Calibri" w:hAnsi="Calibri"/>
          <w:sz w:val="21"/>
          <w:szCs w:val="21"/>
        </w:rPr>
        <w:t xml:space="preserve"> — Ecuador, Colombia, Peru: transparent investment as a U.S. advantage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I. Diaspora and reconstruction: rules for a market recovery</w:t>
      </w:r>
      <w:r>
        <w:rPr>
          <w:rFonts w:ascii="Calibri" w:cs="Calibri" w:eastAsia="Calibri" w:hAnsi="Calibri"/>
          <w:sz w:val="21"/>
          <w:szCs w:val="21"/>
        </w:rPr>
        <w:t xml:space="preserve"> — Venezuela and Miami: diaspora capital and U.S. investment for a democratic, market-based recovery</w:t>
      </w:r>
    </w:p>
    <w:p>
      <w:pPr>
        <w:pStyle w:val="Heading2"/>
        <w:spacing w:after="80" w:before="160"/>
      </w:pPr>
      <w:r>
        <w:rPr>
          <w:rFonts w:ascii="Calibri" w:cs="Calibri" w:eastAsia="Calibri" w:hAnsi="Calibri"/>
        </w:rPr>
        <w:t xml:space="preserve">How to read the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[confirm with CIPE]</w:t>
      </w:r>
      <w:r>
        <w:rPr>
          <w:rFonts w:ascii="Calibri" w:cs="Calibri" w:eastAsia="Calibri" w:hAnsi="Calibri"/>
          <w:sz w:val="21"/>
          <w:szCs w:val="21"/>
        </w:rPr>
        <w:t xml:space="preserve"> marks partner names drawn from CIPE's public materials; CIPE should confirm their role before 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[confirm]</w:t>
      </w:r>
      <w:r>
        <w:rPr>
          <w:rFonts w:ascii="Calibri" w:cs="Calibri" w:eastAsia="Calibri" w:hAnsi="Calibri"/>
          <w:sz w:val="21"/>
          <w:szCs w:val="21"/>
        </w:rPr>
        <w:t xml:space="preserve"> marks U.S. counterparts or facts not verified in the research.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All other facts come from the sources listed at the end. Check U.S. counterparts' interest before naming them externally, and update 2026 figures before use.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A  •  CRITICAL MINERALS: TRANSPARENT, PREDICTABLE RULES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Chile, Argentina, Bolivia: predictable lithium rules for U.S. supply chains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Chile Transparente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(CIPE project on lithium regulation, 2024–25);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CIPPEC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(Argentina);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Fundación Milenio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(Bolivia)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Albemarle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which has a $3.1B lithium project in Chile's Atacama under environmental review;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U.S.-Argentina Business Council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(U.S. Chamber); the DFC and EXIM (U.S. government development and export lenders) as observers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Clear, stable lithium rules, open environmental review and responsible water use in the "lithium triangle." Argentina's RIGI investment regime and Chile's National Lithium Strategy are reshaping the rules now.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Regional roundtable comparing permitting and investment regimes across the three countries; a transparency benchmark for environmental and water reviews; briefing for U.S. investors on the results.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More predictable permits and lower political risk; secure lithium supply that does not depend on Chinese-controlled processing.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Industry evidence for reform proposals; direct dialogue with investors and regulators.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Roundtable held; transparency benchmark published; recommendations submitted to at least one regulator; an investor follow-up meeting agreed.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B  •  MEDICAL DEVICES: NEARSHORING AND FREE-ZONE EFFICIENCY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Costa Rica → Guatemala, Dominican Republic: moving medical device production closer to the U.S. under CAFTA-DR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(Guatemala) and CIPE's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Corali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business center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Costa Rica's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CINDE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(investment agency)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AmCham Costa Rica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as peer examples, not CIPE partners.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Boston Scientific, J&amp;J MedTech, Medtronic, Abbott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AdvaMed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the U.S. medical device industry association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Moving production out of China to the region. J&amp;J expected about $400M in 2025 tariff costs, largely from China. Costa Rica's model shows what works: free zones, fast customs and quality standards that match the U.S. FDA's.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Peer exchange between Costa Rica and Guatemala on free-zone and customs practices; U.S. company input on what makes a site investable; a policy brief for Guatemala.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More locations under CAFTA-DR rules; shorter, safer supply chains; lower tariff exposure.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clear list of reforms that attract high-value manufacturing jobs.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Exchange held; reform priorities agreed; a site visit or investor mission planned.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C  •  COFFEE: STEADY SUPPLY, QUALITY AND PRODUCTIVITY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Guatemala, Honduras, El Salvador: traceable, resilient coffee for U.S. buyers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(Guatemala),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FUSADES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Salvador)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National coffee bodies as technical partners: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ANACAFE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IHCAFE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Instituto Salvadoreño del Café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Starbucks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which owns farms in Guatemala's Antigua Valley and Costa Rica and has given seedlings across the region;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Keurig Dr Pepper / JDE Peet's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National Coffee Association USA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Reliable supply and quality as U.S. buyers shift away from Brazil after the 2025 tariffs; better farm productivity and climate-resilient varieties; traceability that U.S. and European buyers require.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Buyer–producer exchange on traceability and productivity; policy dialogue on credit and formal registration of farms; regional exchange through PROMECAFE (the regional coffee research network).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Steady supply of quality coffee; better sourcing data; lower supply risk.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Direct access to buyers; knowledge of buyer standards; reforms that help small farmers obtain credit.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Exchange held; buyer feedback documented; a traceability or supplier pilot agreed.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D  •  LOGISTICS AND COLD CHAIN: TRUSTED TRADE AND FASTER BORDERS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Guatemala, Honduras: cold chain and trusted-trader status for fresh produce exports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(Guatemala)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AGEXPORT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(Guatemalan exporters' association)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FECAEXCA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(Central American export chambers) as industry partners.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Crowley Maritime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(new weekly refrigerated service from Houston to Santo Tomás and Puerto Cortés);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FedEx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(Miami hub with cold storage);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Global Cold Chain Alliance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(runs the USDA-funded ATraCSI cold-chain project); CBP's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CTPAT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trusted-trader program.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Faster, safer shipping for perishables: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Guatemala's trusted-trader program has been formally recognized as equivalent to CTPAT since April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Guatemala's refrigerated storage capacity lags its neighbors'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Puerto Quetzal port upgrade is underway with U.S. Army Corps of Engineers support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Briefing for exporters on how CTPAT recognition speeds U.S. border clearance; dialogue with customs on clearing goods before arrival; presentation of the ATraCSI cold-storage investment study to U.S. logistics firms.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Lower costs and delays at the border; business for U.S. refrigeration and logistics companies; safer supply chains.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More exporters with trusted-trader status; investment in cold chain; less produce lost after harvest.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Briefing held; number of firms starting trusted-trader certification; a cold-storage investment lead or pilot agreed.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E  •  ENERGY: TRANSPARENT POWER MARKETS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Central America and Guyana: open tenders and stable contracts for power investment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FUSADES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(El Salvador),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(Guatemala)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In Guyana,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Private Sector Commission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World Trade Centre Georgetown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which are not CIPE partners.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(assets in Panama, Dominican Republic, Colombia and Chile);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U.S. LNG exporters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(U.S. LNG exports to Latin America hit a 37-month high in May 2026);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AmCham Guyana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Transparent electricity tenders, stable power purchase contracts and connected regional grids; LNG imports replacing more expensive fuels; in Guyana, clear local-content rules (requirements to hire and buy locally).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Dialogue on best practices for power tenders; investor briefing on contract stability; Guyana business mission linked to the World Trade Centre network.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Markets for U.S. LNG and power investment; lower contract risk.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Cheaper, more reliable electricity, which matters for farming and cold chains; more investment.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Dialogue held; tender recommendations shared with the regulator; an investor meeting or mission agreed.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F  •  FINANCE AND FINTECH: DIGITAL PAYMENTS AND FINANCIAL INCLUSION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Guatemala, Honduras, El Salvador and Colombia: modern rules for digital finance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CCIT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(Colombia; co-authored CIPE's AI governance roadmap);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FUSADES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Visa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(pledged $270M+ for northern Central America in 2022);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Mastercard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(Partnership for Central America; goal of 5 million people and 1 million small businesses using digital finance);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PayPal/Xoom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(remittances).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rules that work across borders; cheaper remittances; anti–money laundering rules that do not shut people out; responsible AI rules for financial services.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Share CIPE's AI governance roadmap with fintech regulators and companies; dialogue on testing new products under regulator supervision (a "regulatory sandbox"); briefing on remittance costs.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Larger markets for U.S. payment companies; predictable rules.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More people and small businesses using formal finance; guidance on modern rules.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Roadmap presented; a regulator–industry dialogue held; a reform proposal or pilot agreed.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G  •  VENTURE CAPITAL: REMOVING BARRIERS TO STARTUP GROWTH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Argentina, Bolivia, Guatemala, El Salvador: "LATAM Sin Barreras" meets U.S. investors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LATAM Sin Barreras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network (CIPE's regional forum on barriers to economic freedom):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CIPPEC, Fundación Milenio, CIEN, FUSADES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Endeavor / Endeavor Catalyst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whose largest region is Latin America;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Index Ventures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TQ Ventures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both investors in the Argentine payments startup Pomelo.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Less red tape, faster company registration, rules that let startups grow across borders, and clear ways for investors to exit.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Investors add their view to CIPE's barriers research; roundtable with founders and regulators; a short "what investors look for" brief.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Better deals and easier exits for U.S. funds.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Investor evidence for reform proposals; ties to U.S. capital.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Investor input included in the research; roundtable held; at least one reform proposal adopted for advocacy.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H  •  CROSS-CUTTING: CONSTRUCTIVE CAPITAL VS. OPAQUE INVESTMENT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Ecuador, Colombia, Peru: transparent investment as a U.S. advantage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FCD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(Ecuador), which launched Ecuador's Observatory for Development and Investment during CIPE's Constructive Capital Week; CIPE's teams in Colombia and Peru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DFC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U.S. Chamber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(Americas); U.S. firms bidding on infrastructure, mining and energy projects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public tenders and disclosure of who really owns investors, so U.S. bids can compete fairly with opaque or state-backed capital.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Briefing for U.S. firms on the Observatory's findings; dialogue on procurement transparency; DFC presentation on its financing tools.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fairer contest against opaque capital; better information on upcoming deals.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Credible investors; tools to hold governments accountable.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Briefing held; procurement recommendations published; a U.S. firm or DFC follow-up on a specific project.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2"/>
                <w:szCs w:val="22"/>
              </w:rPr>
              <w:t xml:space="preserve">ILLUSTRATIVE CONNECTION I  •  DIASPORA AND RECONSTRUCTION: RULES FOR A MARKET RECOVERY</w:t>
            </w:r>
          </w:p>
        </w:tc>
      </w:tr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Venezuela and Miami: diaspora capital and U.S. investment for a democratic, market-based recovery</w:t>
            </w:r>
          </w:p>
        </w:tc>
      </w:tr>
    </w:tbl>
    <w:p>
      <w:pPr>
        <w:spacing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CIPE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CEDICE Libertad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(Caracas think tank on free markets and rule of law)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with CIPE]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Industry partners: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Fedecámaras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which plans an alliance with Venezuelan entrepreneurs abroad,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Conindustria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(manufacturers). Diaspora bridge: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Venezuelan-American Chamber of Commerce of the United States (VACC)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Miami.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U.S. counterpart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VACC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member companies in Florida;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U.S. Chamber of Commerce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(Americas); U.S. energy and logistics firms, such as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Chevron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reported to plan about $7B over five years in Venezuela,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PortMiami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 VACC partner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 interest]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Venezuelan-American Chamber of Commerce and Industry (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VenAmCham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Caracas) </w:t>
            </w:r>
            <w:r>
              <w:rPr>
                <w:rFonts w:ascii="Calibri" w:cs="Calibri" w:eastAsia="Calibri" w:hAnsi="Calibri"/>
                <w:sz w:val="19"/>
                <w:szCs w:val="19"/>
                <w:highlight w:val="yellow"/>
                <w:highlightCs w:val="yellow"/>
              </w:rPr>
              <w:t xml:space="preserve">[confirm]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 interest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recovery built on clear rules rather than discretion: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Fedecámaras' "Carta de Valencia" calls for legal changes to protect private business and attract investment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interim government has set up a commission to classify state assets for partnerships or sale; how open that process is will shape investor trust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Partial sanctions relief and SWIFT reconnection are reopening trade and payments, but U.S. licenses still govern many transactions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VACC aims to make the diaspora a "strategic bridge for the country's reconstruction" with a "democratic, transparent" vision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Proposed engagement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Miami–Caracas dialogue linking VACC, Fedecámaras and CEDICE with U.S. companies on legal guarantees and investor protection; recommendations on transparent asset classification and privatization; briefing on U.S. licensing and compliance (OFAC) for diaspora and U.S. firms; a map of diaspora skills and capital by sector (energy, logistics, agriculture, manufacturing).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U.S. side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Earlier, lower-risk entry into a reopening market; transparent processes that let U.S. firms compete fairly; compliance clarity; demand for U.S. equipment and services in energy, logistics and agriculture.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Value to partner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direct channel to U.S. investors and the diaspora's capital and skills; evidence-based reform proposals; credibility with regulators and the interim government.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Evidence of success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Dialogue held in Miami or Caracas; joint recommendations on legal guarantees and asset-classification transparency submitted; licensing briefing delivered; at least one investment or partnership follow-up agreed.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Note:</w:t>
      </w:r>
      <w:r>
        <w:rPr>
          <w:rFonts w:ascii="Calibri" w:cs="Calibri" w:eastAsia="Calibri" w:hAnsi="Calibri"/>
          <w:sz w:val="18"/>
          <w:szCs w:val="18"/>
        </w:rPr>
        <w:t xml:space="preserve"> Risks to manage: the transition is described as fragile; rights groups cited more than 400 political prisoners as of February 2026; U.S. licenses and sanctions rules still apply. Engagement should be conditioned on transparency and checked against current OFAC rules.</w:t>
      </w:r>
    </w:p>
    <w:p>
      <w:r>
        <w:br w:type="page"/>
      </w:r>
    </w:p>
    <w:p>
      <w:pPr>
        <w:pStyle w:val="Heading2"/>
        <w:spacing w:after="80"/>
      </w:pPr>
      <w:r>
        <w:rPr>
          <w:rFonts w:ascii="Calibri" w:cs="Calibri" w:eastAsia="Calibri" w:hAnsi="Calibri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rdwahimsn7dr_tnyan0pe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CIPE – home (countries, Corali)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ozdjvqrkxwwuwshrwo9p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CIPE – Chile project (lithium regulation)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sk5wsp4mle6fmwjik2la5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CIPE – Barriers to economic freedom / LATAM Sin Barreras (Sep 2026)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0iu5yhjz2iivvahb4leap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CIPE – AI governance roadmap (Jun 2026)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3iqderohchhkjtglsmczi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CIPE – Constructive Capital Week (Jul 2026)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lgph3smuilk1rv7bkeee3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Rio Times – Chile Lithium 2026 (Albemarle)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clf3ctbyzfajnp2lmbqc4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The Logistics World (EFE) – J&amp;J MedTech plant in Costa Rica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p10dlqro3wkpvw5yjw4ep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Packaging Digest – Why medtech chooses Costa Rica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jzojb5rwpjkgigle4vr1g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Investment Monitor – Costa Rica medtech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8b626zmcg-ckfeeddjusl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Business Wire – Starbucks new coffee farms (2024)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1cnr_x3oxhil97dwk3x3w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Starbucks – Hacienda Alsacia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dz5h9czpfakztpzyeg52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Cleary Gottlieb – KDP completes JDE Peet's acquisition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bwe2k1im23t3bh9togt_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FreshCup – 50% tariffs on Brazil coffee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sjg4m3cc3njwxzegmhcx4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IICA – Coffee institutes and PROMECAFE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bk8tvpjx3_o08qurrrxr_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Container News – Crowley Gulf-Central America Express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vbovqegq7shc-qskbkf1q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Trucking News – FedEx Miami hub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1jfkuzmjj77ibww4tckll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GCCA – ATraCSI project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caxhy3rku76sregciyn8l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ESMAP / World Bank – Food cold chain in Guatemala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6m7zef0hbgtp7cahibje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Expeditors – US signs customs MRA with Guatemala and Colombia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gkzwc-81cavlhdsp5tn67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Atlantic Council – Puerto Quetzal project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qh9r9zhowepg3fltzhpk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AES – Q2 2026 Fact Sheet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syjdtqnhlonofog7jo2en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S&amp;P Global – US LNG exports to Latin America surge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jy8g1rhekqsgfac9nkxz9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DPI Guyana – World Trade Centre Georgetown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jvifgb3h9xiwbye5b9b6h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Trade.gov – Guyana Country Commercial Guide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nqa68uqavsjweawxflb9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Visa – Investing in northern Central America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xtgkoai8nes_eykjiu01v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FinDev Gateway – Paymentology and Mastercard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epkrb9fc0u1tmrev3sfj4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Payments Dive – PayPal acquires Xoom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snrtp-klxptragb9urnlp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Wamda – Endeavor Catalyst raises $320M (Oct 2026)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7vm_iqgggw51_onlgvxa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FinTech Global – Q1 2026 deals (Pomelo)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xwa63znpytr65dvmxtnt-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DFC – Critical minerals investments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ciyy9__i-l1dx7jbpd5_e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Venezuelan American Chamber of Commerce – new board and goals (2026)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bnivzghcwftjxihgql00l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NTN24 – Fedecámaras seeks alliance with diaspora entrepreneurs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zehkv0rfbnu3ed7dkq47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Fedecámaras – Carta de Valencia (Dec 2025)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6d6anocpklhzeqibsfqok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El Diario – Conindustria Q1 2026 manufacturing growth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x_7h19wnhfl4kcefg1jt-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Winston &amp; Strawn – Venezuela in transition: the evolving investment landscape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4v0tsjmhvgp6ewwyrxcmo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S-RM – Venezuela in a post-Maduro world (Apr 2026)</w:t>
        </w:r>
      </w:hyperlink>
    </w:p>
    <w:p>
      <w:pPr>
        <w:pStyle w:val="ListParagraph"/>
        <w:numPr>
          <w:ilvl w:val="0"/>
          <w:numId w:val="2"/>
        </w:numPr>
        <w:spacing w:after="30"/>
      </w:pPr>
      <w:hyperlink w:history="1" r:id="rIdzngimmd2b71noz3hfsz1f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World Oil – Venezuela output outlook (Chevron investment plans)</w:t>
        </w:r>
      </w:hyperlink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Draft ·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dwahimsn7dr_tnyan0pe" Type="http://schemas.openxmlformats.org/officeDocument/2006/relationships/hyperlink" Target="https://www.cipe.org/" TargetMode="External"/><Relationship Id="rIdozdjvqrkxwwuwshrwo9pd" Type="http://schemas.openxmlformats.org/officeDocument/2006/relationships/hyperlink" Target="https://www.cipe.org/projects/chile/" TargetMode="External"/><Relationship Id="rIdsk5wsp4mle6fmwjik2la5" Type="http://schemas.openxmlformats.org/officeDocument/2006/relationships/hyperlink" Target="https://www.cipe.org/blog/2026/09/24/excessive-regulation-and-bureaucracy-key-barriers-to-economic-freedom-in-latin-america/" TargetMode="External"/><Relationship Id="rId0iu5yhjz2iivvahb4leap" Type="http://schemas.openxmlformats.org/officeDocument/2006/relationships/hyperlink" Target="https://www.cipe.org/blog/2026/06/11/cipe-launches-latin-americas-first-private-sector-led-roadmap-for-ai-governance/" TargetMode="External"/><Relationship Id="rId3iqderohchhkjtglsmczi" Type="http://schemas.openxmlformats.org/officeDocument/2006/relationships/hyperlink" Target="https://www.cipe.org/blog/2026/07/21/constructive-capital-week-promoting-transparent-investment-in-latin-america/" TargetMode="External"/><Relationship Id="rIdlgph3smuilk1rv7bkeee3" Type="http://schemas.openxmlformats.org/officeDocument/2006/relationships/hyperlink" Target="https://www.riotimesonline.com/chile-lithium-2026-guide/" TargetMode="External"/><Relationship Id="rIdclf3ctbyzfajnp2lmbqc4" Type="http://schemas.openxmlformats.org/officeDocument/2006/relationships/hyperlink" Target="https://thelogisticsworld.com/actualidad-logistica/johnson-johnson-instalara-una-planta-de-manufactura-en-costa-rica" TargetMode="External"/><Relationship Id="rIdp10dlqro3wkpvw5yjw4ep" Type="http://schemas.openxmlformats.org/officeDocument/2006/relationships/hyperlink" Target="https://www.packagingdigest.com/medical-packaging/why-medtech-is-still-choosing-costa-rica" TargetMode="External"/><Relationship Id="rIdjzojb5rwpjkgigle4vr1g" Type="http://schemas.openxmlformats.org/officeDocument/2006/relationships/hyperlink" Target="https://investmentmonitor.ai/costa-rica/instruments-for-investment-how-costa-rica-is-expanding-its-offerings-in-a-booming-medtech-sector" TargetMode="External"/><Relationship Id="rId8b626zmcg-ckfeeddjusl" Type="http://schemas.openxmlformats.org/officeDocument/2006/relationships/hyperlink" Target="https://www.businesswire.com/news/home/20241003231789/en/Starbucks-Expands-Global-Effort-to-Protect-Future-of-Coffee-with-Two-New-Coffee-Farms" TargetMode="External"/><Relationship Id="rId1cnr_x3oxhil97dwk3x3w" Type="http://schemas.openxmlformats.org/officeDocument/2006/relationships/hyperlink" Target="https://about.starbucks.com/stories/2024/ten-years-of-impact-at-hacienda-alsacia/" TargetMode="External"/><Relationship Id="rIddz5h9czpfakztpzyeg52s" Type="http://schemas.openxmlformats.org/officeDocument/2006/relationships/hyperlink" Target="https://www.clearygottlieb.com/news-and-insights/news-listing/keurig-dr-pepper-completes-18-billion-acquisition-of-jde-peets" TargetMode="External"/><Relationship Id="rIdbwe2k1im23t3bh9togt_s" Type="http://schemas.openxmlformats.org/officeDocument/2006/relationships/hyperlink" Target="https://freshcup.com/50-tariffs-slam-the-brakes-on-brazil-u-s-coffee-trade" TargetMode="External"/><Relationship Id="rIdsjg4m3cc3njwxzegmhcx4" Type="http://schemas.openxmlformats.org/officeDocument/2006/relationships/hyperlink" Target="https://iica.int/en/press/news/institutos-del-cafe-de-centroamerica-y-el-caribe-buscan-respuestas-conjuntas-ante-la-2" TargetMode="External"/><Relationship Id="rIdbk8tvpjx3_o08qurrrxr_" Type="http://schemas.openxmlformats.org/officeDocument/2006/relationships/hyperlink" Target="https://container-news.com/crowley-and-port-houston-launch-weekly-gulf-central-america-express-service/" TargetMode="External"/><Relationship Id="rIdvbovqegq7shc-qskbkf1q" Type="http://schemas.openxmlformats.org/officeDocument/2006/relationships/hyperlink" Target="https://www.ttnews.com/articles/fedex-invests-72-million-miami-airport-cargo-hub" TargetMode="External"/><Relationship Id="rId1jfkuzmjj77ibww4tckll" Type="http://schemas.openxmlformats.org/officeDocument/2006/relationships/hyperlink" Target="https://www.gcca.org/project/agricultural-trade-and-climate-smart-innovations-atracsi-project/" TargetMode="External"/><Relationship Id="rIdcaxhy3rku76sregciyn8l" Type="http://schemas.openxmlformats.org/officeDocument/2006/relationships/hyperlink" Target="https://www.esmap.org/publications/food-cold-chain-enhancements-guatemala" TargetMode="External"/><Relationship Id="rId6m7zef0hbgtp7cahibjes" Type="http://schemas.openxmlformats.org/officeDocument/2006/relationships/hyperlink" Target="https://info.expeditors.com/newsflash/us-signs-customs-mra-with-guatemala-and-colombia" TargetMode="External"/><Relationship Id="rIdgkzwc-81cavlhdsp5tn67" Type="http://schemas.openxmlformats.org/officeDocument/2006/relationships/hyperlink" Target="https://www.atlanticcouncil.org/blogs/new-atlanticist/guatemalas-puerto-quetzal-project-can-become-a-model-of-us-engagement-in-the-americas/" TargetMode="External"/><Relationship Id="rIdqh9r9zhowepg3fltzhpkr" Type="http://schemas.openxmlformats.org/officeDocument/2006/relationships/hyperlink" Target="https://www.aes.com/sites/vault/files/2026-08/08-07-26%20Q2%202026%20Fact%20Sheet_FINAL.pdf" TargetMode="External"/><Relationship Id="rIdsyjdtqnhlonofog7jo2en" Type="http://schemas.openxmlformats.org/officeDocument/2006/relationships/hyperlink" Target="https://www.spglobal.com/energy/en/news-research/latest-news/lng/070326-us-lng-exports-to-latin-america-surge-to-three-year-high" TargetMode="External"/><Relationship Id="rIdjy8g1rhekqsgfac9nkxz9" Type="http://schemas.openxmlformats.org/officeDocument/2006/relationships/hyperlink" Target="https://dpi.gov.gy/world-trade-centre-georgetown-marks-new-era-in-guyanas-economic-expansion" TargetMode="External"/><Relationship Id="rIdjvifgb3h9xiwbye5b9b6h" Type="http://schemas.openxmlformats.org/officeDocument/2006/relationships/hyperlink" Target="https://trade.gov/country-commercial-guides/guyana-selling-factors-and-techniques" TargetMode="External"/><Relationship Id="rIdnqa68uqavsjweawxflb9s" Type="http://schemas.openxmlformats.org/officeDocument/2006/relationships/hyperlink" Target="https://corporate.visa.com/en/sites/visa-perspectives/company-news/investing-in-norther-central-americas-future.html" TargetMode="External"/><Relationship Id="rIdxtgkoai8nes_eykjiu01v" Type="http://schemas.openxmlformats.org/officeDocument/2006/relationships/hyperlink" Target="https://findevgateway.org/news/paymentology-and-mastercard-join-forces-to-foster-financial-inclusions-in-northern-central" TargetMode="External"/><Relationship Id="rIdepkrb9fc0u1tmrev3sfj4" Type="http://schemas.openxmlformats.org/officeDocument/2006/relationships/hyperlink" Target="https://www.paymentsdive.com/ex/mpt/news/paypal-acquires-xoom-in-890-million-deal/" TargetMode="External"/><Relationship Id="rIdsnrtp-klxptragb9urnlp" Type="http://schemas.openxmlformats.org/officeDocument/2006/relationships/hyperlink" Target="https://www.wamda.com/2026/10/endeavor-catalyst-raises-320-million-startups-silicon-valley" TargetMode="External"/><Relationship Id="rId7vm_iqgggw51_onlgvxar" Type="http://schemas.openxmlformats.org/officeDocument/2006/relationships/hyperlink" Target="https://fintech.global/2026/05/11/brazil-firms-continue-to-dominate-the-latam-fintech-market-raking-in-four-of-the-top-10-deals-in-q1-2026/" TargetMode="External"/><Relationship Id="rIdxwa63znpytr65dvmxtnt-" Type="http://schemas.openxmlformats.org/officeDocument/2006/relationships/hyperlink" Target="https://www.dfc.gov/media/press-releases/dfc-highlights-landmark-critical-minerals-investments-strengthen-us-national" TargetMode="External"/><Relationship Id="rIdciyy9__i-l1dx7jbpd5_e" Type="http://schemas.openxmlformats.org/officeDocument/2006/relationships/hyperlink" Target="https://www.venezuelanchamber.org/la-camara-de-comercio-venezolano-americana-de-los-estados-unidos-anuncia-nueva-junta-directiva-y-exitos-obtenidos-durante-el-ultimo-ano" TargetMode="External"/><Relationship Id="rIdbnivzghcwftjxihgql00l" Type="http://schemas.openxmlformats.org/officeDocument/2006/relationships/hyperlink" Target="https://www.ntn24.com/noticias-actualidad/fedecamaras-busca-impulsar-alianza-con-diaspora-de-empresarios-venezolanos-109199" TargetMode="External"/><Relationship Id="rIdzehkv0rfbnu3ed7dkq47s" Type="http://schemas.openxmlformats.org/officeDocument/2006/relationships/hyperlink" Target="https://www.fedecamaras.org.ve/wp-content/uploads/2025/12/Fedecamaras-Carta-de-Valencia-5-12-2025.pdf" TargetMode="External"/><Relationship Id="rId6d6anocpklhzeqibsfqok" Type="http://schemas.openxmlformats.org/officeDocument/2006/relationships/hyperlink" Target="https://eldiario.com/2026/05/13/conindustria-crecimiento-manufactura-2026/" TargetMode="External"/><Relationship Id="rIdx_7h19wnhfl4kcefg1jt-" Type="http://schemas.openxmlformats.org/officeDocument/2006/relationships/hyperlink" Target="https://www.winston.com/en/insights-news/venezuela-in-transition-the-evolving-investment-landscape" TargetMode="External"/><Relationship Id="rId4v0tsjmhvgp6ewwyrxcmo" Type="http://schemas.openxmlformats.org/officeDocument/2006/relationships/hyperlink" Target="https://www.s-rminform.com/latest-thinking/venezuela-in-a-post-maduro-world-an-ongoing-transition" TargetMode="External"/><Relationship Id="rIdzngimmd2b71noz3hfsz1f" Type="http://schemas.openxmlformats.org/officeDocument/2006/relationships/hyperlink" Target="https://worldoil.com/news/2026/2/4/venezuela-oil-output-to-lag-brazil-guyana-and-argentina-through-2030-analysts-say/" TargetMode="External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Illustrative Connections – CIPE Partners and U.S. Business in Latin America</dc:title>
  <dc:creator>Agtechgt2026</dc:creator>
  <cp:lastModifiedBy>Un-named</cp:lastModifiedBy>
  <cp:revision>1</cp:revision>
  <dcterms:created xsi:type="dcterms:W3CDTF">2026-10-20T21:21:13.893Z</dcterms:created>
  <dcterms:modified xsi:type="dcterms:W3CDTF">2026-10-20T21:21:13.894Z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