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4E79"/>
          <w:sz w:val="40"/>
          <w:szCs w:val="40"/>
        </w:rPr>
        <w:t xml:space="preserve">U.S. Companies in Latin America and the Caribbean</w:t>
      </w:r>
    </w:p>
    <w:p>
      <w:pPr>
        <w:pBdr>
          <w:bottom w:val="single" w:color="1F4E79" w:sz="8" w:space="4"/>
        </w:pBdr>
        <w:spacing w:after="200"/>
      </w:pPr>
      <w:r>
        <w:rPr>
          <w:rFonts w:ascii="Calibri" w:cs="Calibri" w:eastAsia="Calibri" w:hAnsi="Calibri"/>
          <w:color w:val="555555"/>
          <w:sz w:val="22"/>
          <w:szCs w:val="22"/>
        </w:rPr>
        <w:t xml:space="preserve">Sector matrices: footprint and business interest in the regional business environment · October 2026</w:t>
      </w:r>
    </w:p>
    <w:p>
      <w:pPr>
        <w:pStyle w:val="Heading2"/>
        <w:spacing w:after="60" w:before="120"/>
      </w:pPr>
      <w:r>
        <w:rPr>
          <w:rFonts w:ascii="Calibri" w:cs="Calibri" w:eastAsia="Calibri" w:hAnsi="Calibri"/>
        </w:rPr>
        <w:t xml:space="preserve">How to read these matrices</w:t>
      </w:r>
    </w:p>
    <w:p>
      <w:pPr>
        <w:pStyle w:val="ListParagraph"/>
        <w:numPr>
          <w:ilvl w:val="0"/>
          <w:numId w:val="2"/>
        </w:numPr>
        <w:spacing w:after="40"/>
      </w:pPr>
      <w:r>
        <w:rPr>
          <w:rFonts w:ascii="Calibri" w:cs="Calibri" w:eastAsia="Calibri" w:hAnsi="Calibri"/>
          <w:b/>
          <w:bCs/>
          <w:sz w:val="20"/>
          <w:szCs w:val="20"/>
        </w:rPr>
        <w:t xml:space="preserve">Policy interest</w:t>
      </w:r>
      <w:r>
        <w:rPr>
          <w:rFonts w:ascii="Calibri" w:cs="Calibri" w:eastAsia="Calibri" w:hAnsi="Calibri"/>
          <w:sz w:val="20"/>
          <w:szCs w:val="20"/>
        </w:rPr>
        <w:t xml:space="preserve"> applies the priorities set for each sector (for example, macroeconomic stability for finance).</w:t>
      </w:r>
    </w:p>
    <w:p>
      <w:pPr>
        <w:pStyle w:val="ListParagraph"/>
        <w:numPr>
          <w:ilvl w:val="0"/>
          <w:numId w:val="2"/>
        </w:numPr>
        <w:spacing w:after="40"/>
      </w:pPr>
      <w:r>
        <w:rPr>
          <w:rFonts w:ascii="Calibri" w:cs="Calibri" w:eastAsia="Calibri" w:hAnsi="Calibri"/>
          <w:b/>
          <w:bCs/>
          <w:sz w:val="20"/>
          <w:szCs w:val="20"/>
        </w:rPr>
        <w:t xml:space="preserve">Documented:</w:t>
      </w:r>
      <w:r>
        <w:rPr>
          <w:rFonts w:ascii="Calibri" w:cs="Calibri" w:eastAsia="Calibri" w:hAnsi="Calibri"/>
          <w:sz w:val="20"/>
          <w:szCs w:val="20"/>
        </w:rPr>
        <w:t xml:space="preserve"> there is evidence that the company itself acts on that priority (a pledge, program or partnership).</w:t>
      </w:r>
    </w:p>
    <w:p>
      <w:pPr>
        <w:pStyle w:val="ListParagraph"/>
        <w:numPr>
          <w:ilvl w:val="0"/>
          <w:numId w:val="2"/>
        </w:numPr>
        <w:spacing w:after="40"/>
      </w:pPr>
      <w:r>
        <w:rPr>
          <w:rFonts w:ascii="Calibri" w:cs="Calibri" w:eastAsia="Calibri" w:hAnsi="Calibri"/>
          <w:b/>
          <w:bCs/>
          <w:sz w:val="20"/>
          <w:szCs w:val="20"/>
        </w:rPr>
        <w:t xml:space="preserve">Likely:</w:t>
      </w:r>
      <w:r>
        <w:rPr>
          <w:rFonts w:ascii="Calibri" w:cs="Calibri" w:eastAsia="Calibri" w:hAnsi="Calibri"/>
          <w:sz w:val="20"/>
          <w:szCs w:val="20"/>
        </w:rPr>
        <w:t xml:space="preserve"> a reasonable expectation for that sector, but not a stated position of the company.</w:t>
      </w:r>
    </w:p>
    <w:p>
      <w:pPr>
        <w:pStyle w:val="ListParagraph"/>
        <w:numPr>
          <w:ilvl w:val="0"/>
          <w:numId w:val="2"/>
        </w:numPr>
        <w:spacing w:after="40"/>
      </w:pPr>
      <w:r>
        <w:rPr>
          <w:rFonts w:ascii="Calibri" w:cs="Calibri" w:eastAsia="Calibri" w:hAnsi="Calibri"/>
          <w:b/>
          <w:bCs/>
          <w:sz w:val="20"/>
          <w:szCs w:val="20"/>
        </w:rPr>
        <w:t xml:space="preserve">Confidence:</w:t>
      </w:r>
      <w:r>
        <w:rPr>
          <w:rFonts w:ascii="Calibri" w:cs="Calibri" w:eastAsia="Calibri" w:hAnsi="Calibri"/>
          <w:sz w:val="20"/>
          <w:szCs w:val="20"/>
        </w:rPr>
        <w:t xml:space="preserve"> ✅ confirmed by a source · ⚠️ single, partial or dated source · ❓ not verified (researcher's own knowledge).</w:t>
      </w:r>
    </w:p>
    <w:p>
      <w:pPr>
        <w:pStyle w:val="ListParagraph"/>
        <w:numPr>
          <w:ilvl w:val="0"/>
          <w:numId w:val="2"/>
        </w:numPr>
        <w:spacing w:after="40"/>
      </w:pPr>
      <w:r>
        <w:rPr>
          <w:rFonts w:ascii="Calibri" w:cs="Calibri" w:eastAsia="Calibri" w:hAnsi="Calibri"/>
          <w:b/>
          <w:bCs/>
          <w:sz w:val="20"/>
          <w:szCs w:val="20"/>
        </w:rPr>
        <w:t xml:space="preserve">Not U.S.-owned:</w:t>
      </w:r>
      <w:r>
        <w:rPr>
          <w:rFonts w:ascii="Calibri" w:cs="Calibri" w:eastAsia="Calibri" w:hAnsi="Calibri"/>
          <w:sz w:val="20"/>
          <w:szCs w:val="20"/>
        </w:rPr>
        <w:t xml:space="preserve"> Kansas City Southern has been part of CPKC (Canada) since 2023; JDE Peet's (Netherlands) is now owned by Keurig Dr Pepper; RINA is Italian, with a U.S. arm, RINA North America. They are included and flagged.</w:t>
      </w:r>
    </w:p>
    <w:p>
      <w:pPr>
        <w:pStyle w:val="ListParagraph"/>
        <w:numPr>
          <w:ilvl w:val="0"/>
          <w:numId w:val="2"/>
        </w:numPr>
        <w:spacing w:after="40"/>
      </w:pPr>
      <w:r>
        <w:rPr>
          <w:rFonts w:ascii="Calibri" w:cs="Calibri" w:eastAsia="Calibri" w:hAnsi="Calibri"/>
          <w:sz w:val="20"/>
          <w:szCs w:val="20"/>
        </w:rPr>
        <w:t xml:space="preserve">Figures come from search-result summaries of news, company and trade sources, not a full audit. Verify against company filings and primary sources before external use.</w:t>
      </w:r>
    </w:p>
    <w:p>
      <w:pPr>
        <w:pStyle w:val="Heading1"/>
        <w:keepNext/>
        <w:spacing w:after="80" w:before="240"/>
      </w:pPr>
      <w:r>
        <w:rPr>
          <w:rFonts w:ascii="Calibri" w:cs="Calibri" w:eastAsia="Calibri" w:hAnsi="Calibri"/>
        </w:rPr>
        <w:t xml:space="preserve">1. Mining and Minerals</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sustainability, predictable rules, transparency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Freeport-McMoRan</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Copper: Cerro Verde, Peru (54%); El Abra, Chile (51%)</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stable tax and royalty rules in Peru and Chile; predictable permitting; social license from local communities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(ownership stakes from 2019 data)</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Southern Copper</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U.S.-listed; majority-owned by Grupo México</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Copper in Peru and Mexico; Tía María project in Peru ($1.8B, first production targeted 2027)</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permitting certainty and conflict resolution with communities (Tía María has faced long delays)</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Albemarle</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Lithium at Salar de Atacama, Chile; $3.1B expansion under environmental review</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clear lithium rules under Chile's National Lithium Strategy; transparent environmental review; water management</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Newmont</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Gold: reportedly 40% of Pueblo Viejo (Dominican Republic); Peru, Argentina, Suriname</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stable contracts; environmental and tailings standards</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Not verified; check latest 10-K</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USA Rare Earth</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Brazil: reportedly agreed in 2026 to buy the operator of Serra Verde's Pela Ema rare-earths mine; the mine also has a $565M loan from the U.S. Development Finance Corporation (DFC)</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a U.S.–Brazil critical minerals agreement; secure supply to the U.S.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Single source</w:t>
            </w:r>
          </w:p>
        </w:tc>
      </w:tr>
    </w:tbl>
    <w:p>
      <w:pPr>
        <w:pStyle w:val="Heading1"/>
        <w:keepNext/>
        <w:spacing w:after="80" w:before="240"/>
      </w:pPr>
      <w:r>
        <w:rPr>
          <w:rFonts w:ascii="Calibri" w:cs="Calibri" w:eastAsia="Calibri" w:hAnsi="Calibri"/>
        </w:rPr>
        <w:t xml:space="preserve">2. Financial Sector</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macroeconomic stability, sound financial regulation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Citigroup</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Selling off Mexican bank Banamex: 25% to Fernando Chico Pardo, 24% to General Atlantic and Blackstone; stock-market listing of more than $3B planned for about January 2027. Keeps corporate banking across LAC</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stable capital markets in Mexico for the listing; predictable bank supervision.</w:t>
            </w:r>
          </w:p>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worked with the U.S. Treasury's Argentina program by selling pesos to the U.S. Federal Reserve (one report)</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 ⚠️ partly single source</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Visa</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Card network across LAC. In 2022 pledged more than $270M over five years for financial inclusion in Guatemala, Honduras and El Salvador</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financial inclusion and digital payments (tied to the Partnership for Central America).</w:t>
            </w:r>
          </w:p>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rules that support digital payments</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 (2022 pledge)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Mastercard</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Founding member of the Partnership for Central America; goal of bringing 5 million people and 1 million small businesses into the digital economy. Partnership with Paymentology covering Guatemala, Honduras and El Salvador. Agreement with El Salvador's central bank</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inclusion, small-business growth, remittances, modernizing payments.</w:t>
            </w:r>
          </w:p>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fintech rules that work across countries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 ⚠️ 2026 piece is sponsored content</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PayPal</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Owns remittance service Xoom (bought 2015, about $890M). Main routes include U.S.–Mexico and U.S.–Brazil; cash pickup at 17,000 OXXO stores in Mexico (2018)</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efficient, low-cost money transfers; anti–money laundering rules that don't cut off access; digital ID</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Dated; nothing on Guatemala specifically</w:t>
            </w:r>
          </w:p>
        </w:tc>
      </w:tr>
    </w:tbl>
    <w:p>
      <w:pPr>
        <w:pStyle w:val="Heading1"/>
        <w:keepNext/>
        <w:spacing w:after="80" w:before="240"/>
      </w:pPr>
      <w:r>
        <w:rPr>
          <w:rFonts w:ascii="Calibri" w:cs="Calibri" w:eastAsia="Calibri" w:hAnsi="Calibri"/>
        </w:rPr>
        <w:t xml:space="preserve">3. Venture Capital</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predictable investment rules, ability to exit investments, company and fintech regulation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Endeavor / Endeavor Catalyst</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 (New York) nonprofit network with an affiliated fund</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LAC is its largest region; about 90% of investments are outside the U.S. Backs 437 companies in 44 markets, including Rappi, Pomelo and Tapi</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 (stated mission):</w:t>
            </w:r>
            <w:r>
              <w:rPr>
                <w:rFonts w:ascii="Calibri" w:cs="Calibri" w:eastAsia="Calibri" w:hAnsi="Calibri"/>
                <w:sz w:val="17"/>
                <w:szCs w:val="17"/>
              </w:rPr>
              <w:t xml:space="preserve"> supporting high-growth entrepreneurs.</w:t>
            </w:r>
          </w:p>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a healthier startup environment; rules allowing companies to grow across borders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(October 2026 report)</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Index Ventures</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London / San Francisco</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Led the $26M funding round for Liquido, a LAC payments company (2023); invested in Pomelo (2026)</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clear payments and fintech rules; cross-border capital flows</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 / ⚠️ limited LAC portfolio found</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TQ Ventures</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 Thought to be 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Invested in Pomelo's $55M round (2026); no other LAC deals found</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same as above</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One deal only</w:t>
            </w:r>
          </w:p>
        </w:tc>
      </w:tr>
    </w:tbl>
    <w:p>
      <w:pPr>
        <w:pStyle w:val="Heading1"/>
        <w:keepNext/>
        <w:spacing w:after="80" w:before="240"/>
      </w:pPr>
      <w:r>
        <w:rPr>
          <w:rFonts w:ascii="Calibri" w:cs="Calibri" w:eastAsia="Calibri" w:hAnsi="Calibri"/>
        </w:rPr>
        <w:t xml:space="preserve">4. Medical Devices</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industry standards and compliance, transparent customs, efficient free trade zones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Boston Scientific</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Costa Rica: plants in Heredia, Alajuela and Cartago; more than 5,300 employees; moved single-use device production from California</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stable free-zone incentives; fast customs; quality standards that match U.S. FDA requirements; skilled workforce</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(2021–23 data)</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Johnson &amp; Johnson MedTech</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Costa Rica: 19,000 m² plant in a Grecia/Alajuela free zone, its largest MedTech investment outside the U.S.; about 3,000 jobs planned; in Costa Rica 40+ years</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moving production closer to the U.S., partly because of about $400M in 2025 tariff costs tied to China.</w:t>
            </w:r>
          </w:p>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free-zone efficiency; CAFTA-DR rules of origin</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Abbott</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Named among major medical device makers in Costa Rica and in Tijuana, Mexico</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same as above</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No plant details found</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Medtronic</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Ireland-registered, run from the 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Tijuana since 1970; Costa Rica; reported $46M plant in the Dominican Republic</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customs efficiency; recognition of FDA and ISO 13485 quality standards.</w:t>
            </w:r>
          </w:p>
          <w:p>
            <w:pPr>
              <w:spacing w:after="40"/>
            </w:pPr>
            <w:r>
              <w:rPr>
                <w:rFonts w:ascii="Calibri" w:cs="Calibri" w:eastAsia="Calibri" w:hAnsi="Calibri"/>
                <w:sz w:val="17"/>
                <w:szCs w:val="17"/>
              </w:rPr>
              <w:t xml:space="preserve">Note: unverified report of a 12.5% U.S. tariff on Dominican goods (July 2026)</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 / ⚠️ partly single source</w:t>
            </w:r>
          </w:p>
        </w:tc>
      </w:tr>
    </w:tbl>
    <w:p>
      <w:pPr>
        <w:pStyle w:val="Heading1"/>
        <w:keepNext/>
        <w:spacing w:after="80" w:before="240"/>
      </w:pPr>
      <w:r>
        <w:rPr>
          <w:rFonts w:ascii="Calibri" w:cs="Calibri" w:eastAsia="Calibri" w:hAnsi="Calibri"/>
        </w:rPr>
        <w:t xml:space="preserve">5. Energy</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clear power market rules, contract stability, grid integration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AES Corporation</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Chile: more than 2,000 MW under construction, $1.745B financing. Dominican Republic: Andrés plant (77%), solar projects. Colombia: Chivor hydropower (99%). Panama: 49% renewables stake, Changuinola (89%). Sponsored a U.S.–Argentina Business Council event</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active in the U.S.–Argentina Business Council.</w:t>
            </w:r>
          </w:p>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stable power purchase agreements; transparent tenders; connecting Central American grids; financing for renewables.</w:t>
            </w:r>
          </w:p>
          <w:p>
            <w:pPr>
              <w:spacing w:after="40"/>
            </w:pPr>
            <w:r>
              <w:rPr>
                <w:rFonts w:ascii="Calibri" w:cs="Calibri" w:eastAsia="Calibri" w:hAnsi="Calibri"/>
                <w:sz w:val="17"/>
                <w:szCs w:val="17"/>
              </w:rPr>
              <w:t xml:space="preserve">Note: reported $10.7B takeover by a group led by BlackRock's Global Infrastructure Partners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bl>
    <w:p>
      <w:pPr>
        <w:pStyle w:val="Heading1"/>
        <w:keepNext/>
        <w:spacing w:after="80" w:before="240"/>
      </w:pPr>
      <w:r>
        <w:rPr>
          <w:rFonts w:ascii="Calibri" w:cs="Calibri" w:eastAsia="Calibri" w:hAnsi="Calibri"/>
        </w:rPr>
        <w:t xml:space="preserve">6. Coffee</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steady supply, quality, farm productivity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Starbucks</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Owns Hacienda Alsacia farm in Costa Rica (since 2013) and new farms in Guatemala's Antigua Valley and Costa Rica (2024). Nearly 90M seedlings given in Colombia, El Salvador, Guatemala and Mexico; free seed program. Named among main buyers of Guatemalan coffee</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steady supply; climate-resilient plant varieties; farmer productivity; support for small farmers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Keurig Dr Pepper</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Bought JDE Peet's (96.22%) on April 1, 2026; plans to split off a coffee company ("Global Coffee Co.") with 130+ brands</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steady supply at scale; low exposure to tariffs; traceable sourcing</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Deal confirmed / ❓ sourcing details</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JDE Peet's</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Netherlands; now owned by KDP</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Thought to own Peet's and Intelligentsia. Intelligentsia ran a workshop for small coffee producers in Antigua, Guatemala, with USAID</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 (Intelligentsia):</w:t>
            </w:r>
            <w:r>
              <w:rPr>
                <w:rFonts w:ascii="Calibri" w:cs="Calibri" w:eastAsia="Calibri" w:hAnsi="Calibri"/>
                <w:sz w:val="17"/>
                <w:szCs w:val="17"/>
              </w:rPr>
              <w:t xml:space="preserve"> quality and premium prices for small producers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 ❓ Partly unverified</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Kraft Heinz</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Thought to own Maxwell House. Historically sourced Rainforest Alliance–certified coffee from Mexico, Colombia, Brazil and Central America</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Documented (historical):</w:t>
            </w:r>
            <w:r>
              <w:rPr>
                <w:rFonts w:ascii="Calibri" w:cs="Calibri" w:eastAsia="Calibri" w:hAnsi="Calibri"/>
                <w:sz w:val="17"/>
                <w:szCs w:val="17"/>
              </w:rPr>
              <w:t xml:space="preserve"> certified sustainable sourcing. Critics said only a small share was certified; no 2026 information found</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Dated</w:t>
            </w:r>
          </w:p>
        </w:tc>
      </w:tr>
    </w:tbl>
    <w:p>
      <w:pPr>
        <w:spacing w:after="100" w:before="100"/>
      </w:pPr>
      <w:r>
        <w:rPr>
          <w:rFonts w:ascii="Calibri" w:cs="Calibri" w:eastAsia="Calibri" w:hAnsi="Calibri"/>
          <w:sz w:val="18"/>
          <w:szCs w:val="18"/>
        </w:rPr>
        <w:t xml:space="preserve">Trade note: In August 2025 the U.S. put a 50% tariff on Brazilian coffee, shifting buying toward Colombia, Peru, Mexico and Central America. The tariff may since have been reduced or exempted; check current status.</w:t>
      </w:r>
    </w:p>
    <w:p>
      <w:pPr>
        <w:pStyle w:val="Heading1"/>
        <w:keepNext/>
        <w:spacing w:after="80" w:before="240"/>
      </w:pPr>
      <w:r>
        <w:rPr>
          <w:rFonts w:ascii="Calibri" w:cs="Calibri" w:eastAsia="Calibri" w:hAnsi="Calibri"/>
        </w:rPr>
        <w:t xml:space="preserve">7. Logistics and Transport</w:t>
      </w:r>
    </w:p>
    <w:p>
      <w:pPr>
        <w:keepNext/>
        <w:spacing w:after="100"/>
      </w:pPr>
      <w:r>
        <w:rPr>
          <w:rFonts w:ascii="Calibri" w:cs="Calibri" w:eastAsia="Calibri" w:hAnsi="Calibri"/>
          <w:i/>
          <w:iCs/>
          <w:sz w:val="20"/>
          <w:szCs w:val="20"/>
        </w:rPr>
        <w:t xml:space="preserve">Policy interest across the sector: </w:t>
      </w:r>
      <w:r>
        <w:rPr>
          <w:rFonts w:ascii="Calibri" w:cs="Calibri" w:eastAsia="Calibri" w:hAnsi="Calibri"/>
          <w:b/>
          <w:bCs/>
          <w:sz w:val="20"/>
          <w:szCs w:val="20"/>
        </w:rPr>
        <w:t xml:space="preserve">efficient supply chains, customs controls, trusted-trader programs such as CTPAT (Customs-Trade Partnership Against Terrorism)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00"/>
        <w:gridCol w:w="4280"/>
        <w:gridCol w:w="2000"/>
      </w:tblGrid>
      <w:tr>
        <w:trPr>
          <w:tblHeader/>
        </w:trPr>
        <w:tc>
          <w:tcPr>
            <w:tcW w:type="dxa" w:w="19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Company</w:t>
            </w:r>
          </w:p>
        </w:tc>
        <w:tc>
          <w:tcPr>
            <w:tcW w:type="dxa" w:w="15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Home base</w:t>
            </w:r>
          </w:p>
        </w:tc>
        <w:tc>
          <w:tcPr>
            <w:tcW w:type="dxa" w:w="4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Main LAC operations</w:t>
            </w:r>
          </w:p>
        </w:tc>
        <w:tc>
          <w:tcPr>
            <w:tcW w:type="dxa" w:w="428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Policy interest</w:t>
            </w:r>
          </w:p>
        </w:tc>
        <w:tc>
          <w:tcPr>
            <w:tcW w:type="dxa" w:w="2000"/>
            <w:shd w:fill="1F4E79" w:color="auto" w:val="clear"/>
            <w:tcMar>
              <w:top w:type="dxa" w:w="60"/>
              <w:left w:type="dxa" w:w="90"/>
              <w:bottom w:type="dxa" w:w="60"/>
              <w:right w:type="dxa" w:w="90"/>
            </w:tcMar>
          </w:tcPr>
          <w:p>
            <w:pPr>
              <w:spacing w:after="40"/>
            </w:pPr>
            <w:r>
              <w:rPr>
                <w:rFonts w:ascii="Calibri" w:cs="Calibri" w:eastAsia="Calibri" w:hAnsi="Calibri"/>
                <w:b/>
                <w:bCs/>
                <w:color w:val="FFFFFF"/>
                <w:sz w:val="18"/>
                <w:szCs w:val="18"/>
              </w:rPr>
              <w:t xml:space="preserve">Confidence</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FedEx</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Miami hub for the Americas: $72M expansion (2021) with customs clearance and the largest cold storage in FedEx's network. New routes add direct presence in Honduras and Ecuador, aimed at flowers, coffee, cacao and seeds</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fast customs; digital pre-clearance; trusted-trader programs; cold chain for farm exports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 ⚠️ year of new routes unclear</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Crowley Maritime</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New weekly Houston – Santo Tomás de Castilla (Guatemala) – Puerto Cortés (Honduras) service (about September 2026) with refrigerated containers for fresh produce; warehousing and trucking in Central America</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port efficiency; fewer transfers between ships; faster inspections; CTPAT</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Kansas City Southern → CPKC</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Canada (since 2023)</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Single railroad linking the U.S. Midwest and Mexico. With Americold, a Kansas City–Mexico refrigerated rail service (announced February 2026)</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border pre-clearance, with U.S. (USDA) and Mexican (SENASICA) agriculture inspectors working on-site to cut delays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Amazon</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Mexico: about $5.5B over nine years; 13 shipping centers, 24 delivery stations; AWS data center region in Querétaro. Brazil: more than R$75B since 2011, 300+ logistics centers. Part of about US$1.2B in State of Mexico logistics projects with Mercado Libre and Geodis</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customs rules for online shopping; small-package rules; data and cloud regulation</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Confirmed / ⚠️ some dates unclear</w:t>
            </w:r>
          </w:p>
        </w:tc>
      </w:tr>
      <w:tr>
        <w:trPr>
          <w:cantSplit/>
        </w:trPr>
        <w:tc>
          <w:tcPr>
            <w:tcW w:type="dxa" w:w="1900"/>
            <w:tcMar>
              <w:top w:type="dxa" w:w="60"/>
              <w:left w:type="dxa" w:w="90"/>
              <w:bottom w:type="dxa" w:w="60"/>
              <w:right w:type="dxa" w:w="90"/>
            </w:tcMar>
          </w:tcPr>
          <w:p>
            <w:pPr>
              <w:spacing w:after="40"/>
            </w:pPr>
            <w:r>
              <w:rPr>
                <w:rFonts w:ascii="Calibri" w:cs="Calibri" w:eastAsia="Calibri" w:hAnsi="Calibri"/>
                <w:b/>
                <w:bCs/>
                <w:sz w:val="17"/>
                <w:szCs w:val="17"/>
              </w:rPr>
              <w:t xml:space="preserve">Americold</w:t>
            </w:r>
          </w:p>
        </w:tc>
        <w:tc>
          <w:tcPr>
            <w:tcW w:type="dxa" w:w="1500"/>
            <w:tcMar>
              <w:top w:type="dxa" w:w="60"/>
              <w:left w:type="dxa" w:w="90"/>
              <w:bottom w:type="dxa" w:w="60"/>
              <w:right w:type="dxa" w:w="90"/>
            </w:tcMar>
          </w:tcPr>
          <w:p>
            <w:pPr>
              <w:spacing w:after="40"/>
            </w:pPr>
            <w:r>
              <w:rPr>
                <w:rFonts w:ascii="Calibri" w:cs="Calibri" w:eastAsia="Calibri" w:hAnsi="Calibri"/>
                <w:sz w:val="17"/>
                <w:szCs w:val="17"/>
              </w:rPr>
              <w:t xml:space="preserve">U.S.</w:t>
            </w:r>
          </w:p>
        </w:tc>
        <w:tc>
          <w:tcPr>
            <w:tcW w:type="dxa" w:w="4000"/>
            <w:tcMar>
              <w:top w:type="dxa" w:w="60"/>
              <w:left w:type="dxa" w:w="90"/>
              <w:bottom w:type="dxa" w:w="60"/>
              <w:right w:type="dxa" w:w="90"/>
            </w:tcMar>
          </w:tcPr>
          <w:p>
            <w:pPr>
              <w:spacing w:after="40"/>
            </w:pPr>
            <w:r>
              <w:rPr>
                <w:rFonts w:ascii="Calibri" w:cs="Calibri" w:eastAsia="Calibri" w:hAnsi="Calibri"/>
                <w:sz w:val="17"/>
                <w:szCs w:val="17"/>
              </w:rPr>
              <w:t xml:space="preserve">Refrigerated rail partnership with CPKC (Kansas City–Monterrey). Thought to operate in Argentina; no Central American sites confirmed</w:t>
            </w:r>
          </w:p>
        </w:tc>
        <w:tc>
          <w:tcPr>
            <w:tcW w:type="dxa" w:w="4280"/>
            <w:tcMar>
              <w:top w:type="dxa" w:w="60"/>
              <w:left w:type="dxa" w:w="90"/>
              <w:bottom w:type="dxa" w:w="60"/>
              <w:right w:type="dxa" w:w="90"/>
            </w:tcMar>
          </w:tcPr>
          <w:p>
            <w:pPr>
              <w:spacing w:after="40"/>
            </w:pPr>
            <w:r>
              <w:rPr>
                <w:rFonts w:ascii="Calibri" w:cs="Calibri" w:eastAsia="Calibri" w:hAnsi="Calibri"/>
                <w:b/>
                <w:bCs/>
                <w:sz w:val="17"/>
                <w:szCs w:val="17"/>
              </w:rPr>
              <w:t xml:space="preserve">Documented:</w:t>
            </w:r>
            <w:r>
              <w:rPr>
                <w:rFonts w:ascii="Calibri" w:cs="Calibri" w:eastAsia="Calibri" w:hAnsi="Calibri"/>
                <w:sz w:val="17"/>
                <w:szCs w:val="17"/>
              </w:rPr>
              <w:t xml:space="preserve"> pre-clearing food shipments at the border with U.S. and Mexican agriculture inspectors</w:t>
            </w:r>
          </w:p>
        </w:tc>
        <w:tc>
          <w:tcPr>
            <w:tcW w:type="dxa" w:w="2000"/>
            <w:tcMar>
              <w:top w:type="dxa" w:w="60"/>
              <w:left w:type="dxa" w:w="90"/>
              <w:bottom w:type="dxa" w:w="60"/>
              <w:right w:type="dxa" w:w="90"/>
            </w:tcMar>
          </w:tcPr>
          <w:p>
            <w:pPr>
              <w:spacing w:after="40"/>
            </w:pPr>
            <w:r>
              <w:rPr>
                <w:rFonts w:ascii="Calibri" w:cs="Calibri" w:eastAsia="Calibri" w:hAnsi="Calibri"/>
                <w:sz w:val="17"/>
                <w:szCs w:val="17"/>
              </w:rPr>
              <w:t xml:space="preserve">✅ Confirmed / ❓ LAC sites</w:t>
            </w:r>
          </w:p>
        </w:tc>
      </w:tr>
      <w:tr>
        <w:trPr>
          <w:cantSplit/>
        </w:trPr>
        <w:tc>
          <w:tcPr>
            <w:tcW w:type="dxa" w:w="190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RINA North America</w:t>
            </w:r>
          </w:p>
        </w:tc>
        <w:tc>
          <w:tcPr>
            <w:tcW w:type="dxa" w:w="15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 arm of Italy's RINA</w:t>
            </w:r>
          </w:p>
        </w:tc>
        <w:tc>
          <w:tcPr>
            <w:tcW w:type="dxa" w:w="4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U.S. engineering and design firm (formerly Patrick Engineering). Italian parent offers testing, inspection, certification and engineering for ports, energy and infrastructure. No LAC projects confirmed</w:t>
            </w:r>
          </w:p>
        </w:tc>
        <w:tc>
          <w:tcPr>
            <w:tcW w:type="dxa" w:w="4280"/>
            <w:shd w:fill="EAF1F8" w:color="auto" w:val="clear"/>
            <w:tcMar>
              <w:top w:type="dxa" w:w="60"/>
              <w:left w:type="dxa" w:w="90"/>
              <w:bottom w:type="dxa" w:w="60"/>
              <w:right w:type="dxa" w:w="90"/>
            </w:tcMar>
          </w:tcPr>
          <w:p>
            <w:pPr>
              <w:spacing w:after="40"/>
            </w:pPr>
            <w:r>
              <w:rPr>
                <w:rFonts w:ascii="Calibri" w:cs="Calibri" w:eastAsia="Calibri" w:hAnsi="Calibri"/>
                <w:b/>
                <w:bCs/>
                <w:sz w:val="17"/>
                <w:szCs w:val="17"/>
              </w:rPr>
              <w:t xml:space="preserve">Likely:</w:t>
            </w:r>
            <w:r>
              <w:rPr>
                <w:rFonts w:ascii="Calibri" w:cs="Calibri" w:eastAsia="Calibri" w:hAnsi="Calibri"/>
                <w:sz w:val="17"/>
                <w:szCs w:val="17"/>
              </w:rPr>
              <w:t xml:space="preserve"> port and infrastructure standards; third-party certification</w:t>
            </w:r>
          </w:p>
        </w:tc>
        <w:tc>
          <w:tcPr>
            <w:tcW w:type="dxa" w:w="2000"/>
            <w:shd w:fill="EAF1F8" w:color="auto" w:val="clear"/>
            <w:tcMar>
              <w:top w:type="dxa" w:w="60"/>
              <w:left w:type="dxa" w:w="90"/>
              <w:bottom w:type="dxa" w:w="60"/>
              <w:right w:type="dxa" w:w="90"/>
            </w:tcMar>
          </w:tcPr>
          <w:p>
            <w:pPr>
              <w:spacing w:after="40"/>
            </w:pPr>
            <w:r>
              <w:rPr>
                <w:rFonts w:ascii="Calibri" w:cs="Calibri" w:eastAsia="Calibri" w:hAnsi="Calibri"/>
                <w:sz w:val="17"/>
                <w:szCs w:val="17"/>
              </w:rPr>
              <w:t xml:space="preserve">⚠️ Limited information</w:t>
            </w:r>
          </w:p>
        </w:tc>
      </w:tr>
    </w:tbl>
    <w:p>
      <w:pPr>
        <w:spacing w:after="100" w:before="100"/>
      </w:pPr>
      <w:r>
        <w:rPr>
          <w:rFonts w:ascii="Calibri" w:cs="Calibri" w:eastAsia="Calibri" w:hAnsi="Calibri"/>
          <w:sz w:val="18"/>
          <w:szCs w:val="18"/>
        </w:rPr>
        <w:t xml:space="preserve">Trusted-trader context: U.S. Customs and Border Protection has mutual recognition arrangements linking CTPAT with the trusted-trader programs of Guatemala (April 2023, alongside Colombia), Mexico (2014) and the Dominican Republic (2015); none found for Costa Rica. Each country recognizes the other's certified traders, which is directly relevant to Guatemalan exporters. CTPAT certification of the companies above was not confirmed.</w:t>
      </w:r>
    </w:p>
    <w:p>
      <w:pPr>
        <w:pStyle w:val="Heading1"/>
        <w:keepNext/>
        <w:spacing w:after="80" w:before="240"/>
      </w:pPr>
      <w:r>
        <w:rPr>
          <w:rFonts w:ascii="Calibri" w:cs="Calibri" w:eastAsia="Calibri" w:hAnsi="Calibri"/>
        </w:rPr>
        <w:t xml:space="preserve">Gaps to close before sharing</w:t>
      </w:r>
    </w:p>
    <w:p>
      <w:pPr>
        <w:pStyle w:val="ListParagraph"/>
        <w:numPr>
          <w:ilvl w:val="0"/>
          <w:numId w:val="2"/>
        </w:numPr>
        <w:spacing w:after="40"/>
      </w:pPr>
      <w:r>
        <w:rPr>
          <w:rFonts w:ascii="Calibri" w:cs="Calibri" w:eastAsia="Calibri" w:hAnsi="Calibri"/>
          <w:sz w:val="20"/>
          <w:szCs w:val="20"/>
        </w:rPr>
        <w:t xml:space="preserve">PayPal's current service in Guatemala</w:t>
      </w:r>
    </w:p>
    <w:p>
      <w:pPr>
        <w:pStyle w:val="ListParagraph"/>
        <w:numPr>
          <w:ilvl w:val="0"/>
          <w:numId w:val="2"/>
        </w:numPr>
        <w:spacing w:after="40"/>
      </w:pPr>
      <w:r>
        <w:rPr>
          <w:rFonts w:ascii="Calibri" w:cs="Calibri" w:eastAsia="Calibri" w:hAnsi="Calibri"/>
          <w:sz w:val="20"/>
          <w:szCs w:val="20"/>
        </w:rPr>
        <w:t xml:space="preserve">Kraft Heinz's current coffee sourcing and any company split</w:t>
      </w:r>
    </w:p>
    <w:p>
      <w:pPr>
        <w:pStyle w:val="ListParagraph"/>
        <w:numPr>
          <w:ilvl w:val="0"/>
          <w:numId w:val="2"/>
        </w:numPr>
        <w:spacing w:after="40"/>
      </w:pPr>
      <w:r>
        <w:rPr>
          <w:rFonts w:ascii="Calibri" w:cs="Calibri" w:eastAsia="Calibri" w:hAnsi="Calibri"/>
          <w:sz w:val="20"/>
          <w:szCs w:val="20"/>
        </w:rPr>
        <w:t xml:space="preserve">Newmont's current Latin American portfolio</w:t>
      </w:r>
    </w:p>
    <w:p>
      <w:pPr>
        <w:pStyle w:val="ListParagraph"/>
        <w:numPr>
          <w:ilvl w:val="0"/>
          <w:numId w:val="2"/>
        </w:numPr>
        <w:spacing w:after="40"/>
      </w:pPr>
      <w:r>
        <w:rPr>
          <w:rFonts w:ascii="Calibri" w:cs="Calibri" w:eastAsia="Calibri" w:hAnsi="Calibri"/>
          <w:sz w:val="20"/>
          <w:szCs w:val="20"/>
        </w:rPr>
        <w:t xml:space="preserve">TQ Ventures' home base</w:t>
      </w:r>
    </w:p>
    <w:p>
      <w:pPr>
        <w:pStyle w:val="ListParagraph"/>
        <w:numPr>
          <w:ilvl w:val="0"/>
          <w:numId w:val="2"/>
        </w:numPr>
        <w:spacing w:after="40"/>
      </w:pPr>
      <w:r>
        <w:rPr>
          <w:rFonts w:ascii="Calibri" w:cs="Calibri" w:eastAsia="Calibri" w:hAnsi="Calibri"/>
          <w:sz w:val="20"/>
          <w:szCs w:val="20"/>
        </w:rPr>
        <w:t xml:space="preserve">Americold's Latin American sites</w:t>
      </w:r>
    </w:p>
    <w:p>
      <w:pPr>
        <w:pStyle w:val="ListParagraph"/>
        <w:numPr>
          <w:ilvl w:val="0"/>
          <w:numId w:val="2"/>
        </w:numPr>
        <w:spacing w:after="40"/>
      </w:pPr>
      <w:r>
        <w:rPr>
          <w:rFonts w:ascii="Calibri" w:cs="Calibri" w:eastAsia="Calibri" w:hAnsi="Calibri"/>
          <w:sz w:val="20"/>
          <w:szCs w:val="20"/>
        </w:rPr>
        <w:t xml:space="preserve">RINA's projects in Latin America</w:t>
      </w:r>
    </w:p>
    <w:p>
      <w:pPr>
        <w:pStyle w:val="ListParagraph"/>
        <w:numPr>
          <w:ilvl w:val="0"/>
          <w:numId w:val="2"/>
        </w:numPr>
        <w:spacing w:after="40"/>
      </w:pPr>
      <w:r>
        <w:rPr>
          <w:rFonts w:ascii="Calibri" w:cs="Calibri" w:eastAsia="Calibri" w:hAnsi="Calibri"/>
          <w:sz w:val="20"/>
          <w:szCs w:val="20"/>
        </w:rPr>
        <w:t xml:space="preserve">CTPAT certification status of each logistics company</w:t>
      </w:r>
    </w:p>
    <w:p>
      <w:pPr>
        <w:pStyle w:val="Heading1"/>
        <w:keepNext/>
        <w:spacing w:after="80" w:before="240"/>
      </w:pPr>
      <w:r>
        <w:rPr>
          <w:rFonts w:ascii="Calibri" w:cs="Calibri" w:eastAsia="Calibri" w:hAnsi="Calibri"/>
        </w:rPr>
        <w:t xml:space="preserve">Sources</w:t>
      </w:r>
    </w:p>
    <w:p>
      <w:pPr>
        <w:pStyle w:val="Heading2"/>
        <w:spacing w:after="60" w:before="120"/>
      </w:pPr>
      <w:r>
        <w:rPr>
          <w:rFonts w:ascii="Calibri" w:cs="Calibri" w:eastAsia="Calibri" w:hAnsi="Calibri"/>
        </w:rPr>
        <w:t xml:space="preserve">Mining and Minerals</w:t>
      </w:r>
    </w:p>
    <w:p>
      <w:pPr>
        <w:pStyle w:val="ListParagraph"/>
        <w:numPr>
          <w:ilvl w:val="0"/>
          <w:numId w:val="2"/>
        </w:numPr>
        <w:spacing w:after="30"/>
      </w:pPr>
      <w:hyperlink w:history="1" r:id="rIdpjzbqgsesv4slgdjlau6g">
        <w:r>
          <w:rPr>
            <w:rStyle w:val="Hyperlink"/>
            <w:rFonts w:ascii="Calibri" w:cs="Calibri" w:eastAsia="Calibri" w:hAnsi="Calibri"/>
            <w:sz w:val="18"/>
            <w:szCs w:val="18"/>
          </w:rPr>
          <w:t xml:space="preserve">White &amp; Case – US critical minerals in Latin America</w:t>
        </w:r>
      </w:hyperlink>
    </w:p>
    <w:p>
      <w:pPr>
        <w:pStyle w:val="ListParagraph"/>
        <w:numPr>
          <w:ilvl w:val="0"/>
          <w:numId w:val="2"/>
        </w:numPr>
        <w:spacing w:after="30"/>
      </w:pPr>
      <w:hyperlink w:history="1" r:id="rIde67mekxbhvevt969lx8if">
        <w:r>
          <w:rPr>
            <w:rStyle w:val="Hyperlink"/>
            <w:rFonts w:ascii="Calibri" w:cs="Calibri" w:eastAsia="Calibri" w:hAnsi="Calibri"/>
            <w:sz w:val="18"/>
            <w:szCs w:val="18"/>
          </w:rPr>
          <w:t xml:space="preserve">Rio Times – Chile Lithium 2026</w:t>
        </w:r>
      </w:hyperlink>
    </w:p>
    <w:p>
      <w:pPr>
        <w:pStyle w:val="ListParagraph"/>
        <w:numPr>
          <w:ilvl w:val="0"/>
          <w:numId w:val="2"/>
        </w:numPr>
        <w:spacing w:after="30"/>
      </w:pPr>
      <w:hyperlink w:history="1" r:id="rIdgtdv-yqs8qoab0lrswfrb">
        <w:r>
          <w:rPr>
            <w:rStyle w:val="Hyperlink"/>
            <w:rFonts w:ascii="Calibri" w:cs="Calibri" w:eastAsia="Calibri" w:hAnsi="Calibri"/>
            <w:sz w:val="18"/>
            <w:szCs w:val="18"/>
          </w:rPr>
          <w:t xml:space="preserve">Northern Miner – Top 10 US miners</w:t>
        </w:r>
      </w:hyperlink>
    </w:p>
    <w:p>
      <w:pPr>
        <w:pStyle w:val="ListParagraph"/>
        <w:numPr>
          <w:ilvl w:val="0"/>
          <w:numId w:val="2"/>
        </w:numPr>
        <w:spacing w:after="30"/>
      </w:pPr>
      <w:hyperlink w:history="1" r:id="rIdmalpk3fwscuxksesk_e-l">
        <w:r>
          <w:rPr>
            <w:rStyle w:val="Hyperlink"/>
            <w:rFonts w:ascii="Calibri" w:cs="Calibri" w:eastAsia="Calibri" w:hAnsi="Calibri"/>
            <w:sz w:val="18"/>
            <w:szCs w:val="18"/>
          </w:rPr>
          <w:t xml:space="preserve">MINING.COM – Top 10 US-based miners</w:t>
        </w:r>
      </w:hyperlink>
    </w:p>
    <w:p>
      <w:pPr>
        <w:pStyle w:val="ListParagraph"/>
        <w:numPr>
          <w:ilvl w:val="0"/>
          <w:numId w:val="2"/>
        </w:numPr>
        <w:spacing w:after="30"/>
      </w:pPr>
      <w:hyperlink w:history="1" r:id="rIdmg6qx9g032voc-di6s5m-">
        <w:r>
          <w:rPr>
            <w:rStyle w:val="Hyperlink"/>
            <w:rFonts w:ascii="Calibri" w:cs="Calibri" w:eastAsia="Calibri" w:hAnsi="Calibri"/>
            <w:sz w:val="18"/>
            <w:szCs w:val="18"/>
          </w:rPr>
          <w:t xml:space="preserve">Mining Reporters – Serra Verde DFC loan</w:t>
        </w:r>
      </w:hyperlink>
    </w:p>
    <w:p>
      <w:pPr>
        <w:pStyle w:val="ListParagraph"/>
        <w:numPr>
          <w:ilvl w:val="0"/>
          <w:numId w:val="2"/>
        </w:numPr>
        <w:spacing w:after="30"/>
      </w:pPr>
      <w:hyperlink w:history="1" r:id="rId2-bwbuzdtqughx-vrvnpn">
        <w:r>
          <w:rPr>
            <w:rStyle w:val="Hyperlink"/>
            <w:rFonts w:ascii="Calibri" w:cs="Calibri" w:eastAsia="Calibri" w:hAnsi="Calibri"/>
            <w:sz w:val="18"/>
            <w:szCs w:val="18"/>
          </w:rPr>
          <w:t xml:space="preserve">DFC – Critical minerals investments</w:t>
        </w:r>
      </w:hyperlink>
    </w:p>
    <w:p>
      <w:pPr>
        <w:pStyle w:val="Heading2"/>
        <w:spacing w:after="60" w:before="120"/>
      </w:pPr>
      <w:r>
        <w:rPr>
          <w:rFonts w:ascii="Calibri" w:cs="Calibri" w:eastAsia="Calibri" w:hAnsi="Calibri"/>
        </w:rPr>
        <w:t xml:space="preserve">Financial Sector</w:t>
      </w:r>
    </w:p>
    <w:p>
      <w:pPr>
        <w:pStyle w:val="ListParagraph"/>
        <w:numPr>
          <w:ilvl w:val="0"/>
          <w:numId w:val="2"/>
        </w:numPr>
        <w:spacing w:after="30"/>
      </w:pPr>
      <w:hyperlink w:history="1" r:id="rIden8svpcsvpoih1s8gx0tu">
        <w:r>
          <w:rPr>
            <w:rStyle w:val="Hyperlink"/>
            <w:rFonts w:ascii="Calibri" w:cs="Calibri" w:eastAsia="Calibri" w:hAnsi="Calibri"/>
            <w:sz w:val="18"/>
            <w:szCs w:val="18"/>
          </w:rPr>
          <w:t xml:space="preserve">Bloomberg – Citigroup targets $3B+ Banamex IPO</w:t>
        </w:r>
      </w:hyperlink>
    </w:p>
    <w:p>
      <w:pPr>
        <w:pStyle w:val="ListParagraph"/>
        <w:numPr>
          <w:ilvl w:val="0"/>
          <w:numId w:val="2"/>
        </w:numPr>
        <w:spacing w:after="30"/>
      </w:pPr>
      <w:hyperlink w:history="1" r:id="rIdbkeqxr7k0cny0gk4dgxmi">
        <w:r>
          <w:rPr>
            <w:rStyle w:val="Hyperlink"/>
            <w:rFonts w:ascii="Calibri" w:cs="Calibri" w:eastAsia="Calibri" w:hAnsi="Calibri"/>
            <w:sz w:val="18"/>
            <w:szCs w:val="18"/>
          </w:rPr>
          <w:t xml:space="preserve">Yahoo Finance – Banamex IPO for January</w:t>
        </w:r>
      </w:hyperlink>
    </w:p>
    <w:p>
      <w:pPr>
        <w:pStyle w:val="ListParagraph"/>
        <w:numPr>
          <w:ilvl w:val="0"/>
          <w:numId w:val="2"/>
        </w:numPr>
        <w:spacing w:after="30"/>
      </w:pPr>
      <w:hyperlink w:history="1" r:id="rIdi8twsaeqghuvge8sb9hf4">
        <w:r>
          <w:rPr>
            <w:rStyle w:val="Hyperlink"/>
            <w:rFonts w:ascii="Calibri" w:cs="Calibri" w:eastAsia="Calibri" w:hAnsi="Calibri"/>
            <w:sz w:val="18"/>
            <w:szCs w:val="18"/>
          </w:rPr>
          <w:t xml:space="preserve">AOL/Reuters – Banks in talks to lend $20B to Argentina</w:t>
        </w:r>
      </w:hyperlink>
    </w:p>
    <w:p>
      <w:pPr>
        <w:pStyle w:val="ListParagraph"/>
        <w:numPr>
          <w:ilvl w:val="0"/>
          <w:numId w:val="2"/>
        </w:numPr>
        <w:spacing w:after="30"/>
      </w:pPr>
      <w:hyperlink w:history="1" r:id="rIdn2vfsmykk6nhchspgrprd">
        <w:r>
          <w:rPr>
            <w:rStyle w:val="Hyperlink"/>
            <w:rFonts w:ascii="Calibri" w:cs="Calibri" w:eastAsia="Calibri" w:hAnsi="Calibri"/>
            <w:sz w:val="18"/>
            <w:szCs w:val="18"/>
          </w:rPr>
          <w:t xml:space="preserve">Visa – Investing in northern Central America</w:t>
        </w:r>
      </w:hyperlink>
    </w:p>
    <w:p>
      <w:pPr>
        <w:pStyle w:val="ListParagraph"/>
        <w:numPr>
          <w:ilvl w:val="0"/>
          <w:numId w:val="2"/>
        </w:numPr>
        <w:spacing w:after="30"/>
      </w:pPr>
      <w:hyperlink w:history="1" r:id="rId2ikjm4cqjqgct1cfwfim9">
        <w:r>
          <w:rPr>
            <w:rStyle w:val="Hyperlink"/>
            <w:rFonts w:ascii="Calibri" w:cs="Calibri" w:eastAsia="Calibri" w:hAnsi="Calibri"/>
            <w:sz w:val="18"/>
            <w:szCs w:val="18"/>
          </w:rPr>
          <w:t xml:space="preserve">FinDev Gateway – Paymentology and Mastercard</w:t>
        </w:r>
      </w:hyperlink>
    </w:p>
    <w:p>
      <w:pPr>
        <w:pStyle w:val="ListParagraph"/>
        <w:numPr>
          <w:ilvl w:val="0"/>
          <w:numId w:val="2"/>
        </w:numPr>
        <w:spacing w:after="30"/>
      </w:pPr>
      <w:hyperlink w:history="1" r:id="rId8xbspzpcfva1r06k0pfp8">
        <w:r>
          <w:rPr>
            <w:rStyle w:val="Hyperlink"/>
            <w:rFonts w:ascii="Calibri" w:cs="Calibri" w:eastAsia="Calibri" w:hAnsi="Calibri"/>
            <w:sz w:val="18"/>
            <w:szCs w:val="18"/>
          </w:rPr>
          <w:t xml:space="preserve">Revista EyN – Mastercard in Central America</w:t>
        </w:r>
      </w:hyperlink>
    </w:p>
    <w:p>
      <w:pPr>
        <w:pStyle w:val="ListParagraph"/>
        <w:numPr>
          <w:ilvl w:val="0"/>
          <w:numId w:val="2"/>
        </w:numPr>
        <w:spacing w:after="30"/>
      </w:pPr>
      <w:hyperlink w:history="1" r:id="rIdyne2lq4adr0apmtolw4rw">
        <w:r>
          <w:rPr>
            <w:rStyle w:val="Hyperlink"/>
            <w:rFonts w:ascii="Calibri" w:cs="Calibri" w:eastAsia="Calibri" w:hAnsi="Calibri"/>
            <w:sz w:val="18"/>
            <w:szCs w:val="18"/>
          </w:rPr>
          <w:t xml:space="preserve">Payments Dive – PayPal acquires Xoom</w:t>
        </w:r>
      </w:hyperlink>
    </w:p>
    <w:p>
      <w:pPr>
        <w:pStyle w:val="ListParagraph"/>
        <w:numPr>
          <w:ilvl w:val="0"/>
          <w:numId w:val="2"/>
        </w:numPr>
        <w:spacing w:after="30"/>
      </w:pPr>
      <w:hyperlink w:history="1" r:id="rIdeeqjbe5b-8rqlog1ovpi3">
        <w:r>
          <w:rPr>
            <w:rStyle w:val="Hyperlink"/>
            <w:rFonts w:ascii="Calibri" w:cs="Calibri" w:eastAsia="Calibri" w:hAnsi="Calibri"/>
            <w:sz w:val="18"/>
            <w:szCs w:val="18"/>
          </w:rPr>
          <w:t xml:space="preserve">ATM Marketplace – Xoom adds OXXO cash pickup</w:t>
        </w:r>
      </w:hyperlink>
    </w:p>
    <w:p>
      <w:pPr>
        <w:pStyle w:val="Heading2"/>
        <w:spacing w:after="60" w:before="120"/>
      </w:pPr>
      <w:r>
        <w:rPr>
          <w:rFonts w:ascii="Calibri" w:cs="Calibri" w:eastAsia="Calibri" w:hAnsi="Calibri"/>
        </w:rPr>
        <w:t xml:space="preserve">Venture Capital</w:t>
      </w:r>
    </w:p>
    <w:p>
      <w:pPr>
        <w:pStyle w:val="ListParagraph"/>
        <w:numPr>
          <w:ilvl w:val="0"/>
          <w:numId w:val="2"/>
        </w:numPr>
        <w:spacing w:after="30"/>
      </w:pPr>
      <w:hyperlink w:history="1" r:id="rId2unw9suubp5jq7jvhwoti">
        <w:r>
          <w:rPr>
            <w:rStyle w:val="Hyperlink"/>
            <w:rFonts w:ascii="Calibri" w:cs="Calibri" w:eastAsia="Calibri" w:hAnsi="Calibri"/>
            <w:sz w:val="18"/>
            <w:szCs w:val="18"/>
          </w:rPr>
          <w:t xml:space="preserve">Wamda – Endeavor Catalyst raises $320M (Oct 2026)</w:t>
        </w:r>
      </w:hyperlink>
    </w:p>
    <w:p>
      <w:pPr>
        <w:pStyle w:val="ListParagraph"/>
        <w:numPr>
          <w:ilvl w:val="0"/>
          <w:numId w:val="2"/>
        </w:numPr>
        <w:spacing w:after="30"/>
      </w:pPr>
      <w:hyperlink w:history="1" r:id="rIdarmsyrlk2xythynidsxa8">
        <w:r>
          <w:rPr>
            <w:rStyle w:val="Hyperlink"/>
            <w:rFonts w:ascii="Calibri" w:cs="Calibri" w:eastAsia="Calibri" w:hAnsi="Calibri"/>
            <w:sz w:val="18"/>
            <w:szCs w:val="18"/>
          </w:rPr>
          <w:t xml:space="preserve">Endeavor – Catalyst fund</w:t>
        </w:r>
      </w:hyperlink>
    </w:p>
    <w:p>
      <w:pPr>
        <w:pStyle w:val="ListParagraph"/>
        <w:numPr>
          <w:ilvl w:val="0"/>
          <w:numId w:val="2"/>
        </w:numPr>
        <w:spacing w:after="30"/>
      </w:pPr>
      <w:hyperlink w:history="1" r:id="rIdzwdyzty98cbze3xeionmq">
        <w:r>
          <w:rPr>
            <w:rStyle w:val="Hyperlink"/>
            <w:rFonts w:ascii="Calibri" w:cs="Calibri" w:eastAsia="Calibri" w:hAnsi="Calibri"/>
            <w:sz w:val="18"/>
            <w:szCs w:val="18"/>
          </w:rPr>
          <w:t xml:space="preserve">Everything Startups – Endeavor Catalyst profile</w:t>
        </w:r>
      </w:hyperlink>
    </w:p>
    <w:p>
      <w:pPr>
        <w:pStyle w:val="ListParagraph"/>
        <w:numPr>
          <w:ilvl w:val="0"/>
          <w:numId w:val="2"/>
        </w:numPr>
        <w:spacing w:after="30"/>
      </w:pPr>
      <w:hyperlink w:history="1" r:id="rIdgsrmmfpfqqnusglyl2eqj">
        <w:r>
          <w:rPr>
            <w:rStyle w:val="Hyperlink"/>
            <w:rFonts w:ascii="Calibri" w:cs="Calibri" w:eastAsia="Calibri" w:hAnsi="Calibri"/>
            <w:sz w:val="18"/>
            <w:szCs w:val="18"/>
          </w:rPr>
          <w:t xml:space="preserve">LAVCA – Index Ventures leads Liquido round</w:t>
        </w:r>
      </w:hyperlink>
    </w:p>
    <w:p>
      <w:pPr>
        <w:pStyle w:val="ListParagraph"/>
        <w:numPr>
          <w:ilvl w:val="0"/>
          <w:numId w:val="2"/>
        </w:numPr>
        <w:spacing w:after="30"/>
      </w:pPr>
      <w:hyperlink w:history="1" r:id="rIdqmmzhm1avplikapyp3cma">
        <w:r>
          <w:rPr>
            <w:rStyle w:val="Hyperlink"/>
            <w:rFonts w:ascii="Calibri" w:cs="Calibri" w:eastAsia="Calibri" w:hAnsi="Calibri"/>
            <w:sz w:val="18"/>
            <w:szCs w:val="18"/>
          </w:rPr>
          <w:t xml:space="preserve">FinTech Global – LatAm fintech Q1 2026 (Pomelo)</w:t>
        </w:r>
      </w:hyperlink>
    </w:p>
    <w:p>
      <w:pPr>
        <w:pStyle w:val="Heading2"/>
        <w:spacing w:after="60" w:before="120"/>
      </w:pPr>
      <w:r>
        <w:rPr>
          <w:rFonts w:ascii="Calibri" w:cs="Calibri" w:eastAsia="Calibri" w:hAnsi="Calibri"/>
        </w:rPr>
        <w:t xml:space="preserve">Medical Devices</w:t>
      </w:r>
    </w:p>
    <w:p>
      <w:pPr>
        <w:pStyle w:val="ListParagraph"/>
        <w:numPr>
          <w:ilvl w:val="0"/>
          <w:numId w:val="2"/>
        </w:numPr>
        <w:spacing w:after="30"/>
      </w:pPr>
      <w:hyperlink w:history="1" r:id="rIdm_2rizstjzcwff7dpwnvk">
        <w:r>
          <w:rPr>
            <w:rStyle w:val="Hyperlink"/>
            <w:rFonts w:ascii="Calibri" w:cs="Calibri" w:eastAsia="Calibri" w:hAnsi="Calibri"/>
            <w:sz w:val="18"/>
            <w:szCs w:val="18"/>
          </w:rPr>
          <w:t xml:space="preserve">The Logistics World (EFE) – J&amp;J plant in Costa Rica</w:t>
        </w:r>
      </w:hyperlink>
    </w:p>
    <w:p>
      <w:pPr>
        <w:pStyle w:val="ListParagraph"/>
        <w:numPr>
          <w:ilvl w:val="0"/>
          <w:numId w:val="2"/>
        </w:numPr>
        <w:spacing w:after="30"/>
      </w:pPr>
      <w:hyperlink w:history="1" r:id="rIdy7eqwlwbfnf0jxqxithdu">
        <w:r>
          <w:rPr>
            <w:rStyle w:val="Hyperlink"/>
            <w:rFonts w:ascii="Calibri" w:cs="Calibri" w:eastAsia="Calibri" w:hAnsi="Calibri"/>
            <w:sz w:val="18"/>
            <w:szCs w:val="18"/>
          </w:rPr>
          <w:t xml:space="preserve">Packaging Digest – Why medtech chooses Costa Rica</w:t>
        </w:r>
      </w:hyperlink>
    </w:p>
    <w:p>
      <w:pPr>
        <w:pStyle w:val="ListParagraph"/>
        <w:numPr>
          <w:ilvl w:val="0"/>
          <w:numId w:val="2"/>
        </w:numPr>
        <w:spacing w:after="30"/>
      </w:pPr>
      <w:hyperlink w:history="1" r:id="rId9yataxkipfspuhai7nfun">
        <w:r>
          <w:rPr>
            <w:rStyle w:val="Hyperlink"/>
            <w:rFonts w:ascii="Calibri" w:cs="Calibri" w:eastAsia="Calibri" w:hAnsi="Calibri"/>
            <w:sz w:val="18"/>
            <w:szCs w:val="18"/>
          </w:rPr>
          <w:t xml:space="preserve">Mexico Business News – Medtech nearshoring</w:t>
        </w:r>
      </w:hyperlink>
    </w:p>
    <w:p>
      <w:pPr>
        <w:pStyle w:val="ListParagraph"/>
        <w:numPr>
          <w:ilvl w:val="0"/>
          <w:numId w:val="2"/>
        </w:numPr>
        <w:spacing w:after="30"/>
      </w:pPr>
      <w:hyperlink w:history="1" r:id="rIdh9vlo8h99encuav1hwh0p">
        <w:r>
          <w:rPr>
            <w:rStyle w:val="Hyperlink"/>
            <w:rFonts w:ascii="Calibri" w:cs="Calibri" w:eastAsia="Calibri" w:hAnsi="Calibri"/>
            <w:sz w:val="18"/>
            <w:szCs w:val="18"/>
          </w:rPr>
          <w:t xml:space="preserve">Investment Monitor – Costa Rica medtech</w:t>
        </w:r>
      </w:hyperlink>
    </w:p>
    <w:p>
      <w:pPr>
        <w:pStyle w:val="ListParagraph"/>
        <w:numPr>
          <w:ilvl w:val="0"/>
          <w:numId w:val="2"/>
        </w:numPr>
        <w:spacing w:after="30"/>
      </w:pPr>
      <w:hyperlink w:history="1" r:id="rIdjt6pi_sk4jljoh9yxgqy6">
        <w:r>
          <w:rPr>
            <w:rStyle w:val="Hyperlink"/>
            <w:rFonts w:ascii="Calibri" w:cs="Calibri" w:eastAsia="Calibri" w:hAnsi="Calibri"/>
            <w:sz w:val="18"/>
            <w:szCs w:val="18"/>
          </w:rPr>
          <w:t xml:space="preserve">Fierce Biotech – Boston Scientific California closures</w:t>
        </w:r>
      </w:hyperlink>
    </w:p>
    <w:p>
      <w:pPr>
        <w:pStyle w:val="ListParagraph"/>
        <w:numPr>
          <w:ilvl w:val="0"/>
          <w:numId w:val="2"/>
        </w:numPr>
        <w:spacing w:after="30"/>
      </w:pPr>
      <w:hyperlink w:history="1" r:id="rIdxmtrifpncrz9-7-to5qru">
        <w:r>
          <w:rPr>
            <w:rStyle w:val="Hyperlink"/>
            <w:rFonts w:ascii="Calibri" w:cs="Calibri" w:eastAsia="Calibri" w:hAnsi="Calibri"/>
            <w:sz w:val="18"/>
            <w:szCs w:val="18"/>
          </w:rPr>
          <w:t xml:space="preserve">Tijuana EDC – Medical equipment production</w:t>
        </w:r>
      </w:hyperlink>
    </w:p>
    <w:p>
      <w:pPr>
        <w:pStyle w:val="ListParagraph"/>
        <w:numPr>
          <w:ilvl w:val="0"/>
          <w:numId w:val="2"/>
        </w:numPr>
        <w:spacing w:after="30"/>
      </w:pPr>
      <w:hyperlink w:history="1" r:id="rIddyduoi9b6vt2frollgb_d">
        <w:r>
          <w:rPr>
            <w:rStyle w:val="Hyperlink"/>
            <w:rFonts w:ascii="Calibri" w:cs="Calibri" w:eastAsia="Calibri" w:hAnsi="Calibri"/>
            <w:sz w:val="18"/>
            <w:szCs w:val="18"/>
          </w:rPr>
          <w:t xml:space="preserve">Medical Technology – Dominican Republic medtech hub</w:t>
        </w:r>
      </w:hyperlink>
    </w:p>
    <w:p>
      <w:pPr>
        <w:pStyle w:val="Heading2"/>
        <w:spacing w:after="60" w:before="120"/>
      </w:pPr>
      <w:r>
        <w:rPr>
          <w:rFonts w:ascii="Calibri" w:cs="Calibri" w:eastAsia="Calibri" w:hAnsi="Calibri"/>
        </w:rPr>
        <w:t xml:space="preserve">Energy</w:t>
      </w:r>
    </w:p>
    <w:p>
      <w:pPr>
        <w:pStyle w:val="ListParagraph"/>
        <w:numPr>
          <w:ilvl w:val="0"/>
          <w:numId w:val="2"/>
        </w:numPr>
        <w:spacing w:after="30"/>
      </w:pPr>
      <w:hyperlink w:history="1" r:id="rIdykjpop9l9af0b1ctztifd">
        <w:r>
          <w:rPr>
            <w:rStyle w:val="Hyperlink"/>
            <w:rFonts w:ascii="Calibri" w:cs="Calibri" w:eastAsia="Calibri" w:hAnsi="Calibri"/>
            <w:sz w:val="18"/>
            <w:szCs w:val="18"/>
          </w:rPr>
          <w:t xml:space="preserve">InvestChile – AES Chile solar plant</w:t>
        </w:r>
      </w:hyperlink>
    </w:p>
    <w:p>
      <w:pPr>
        <w:pStyle w:val="ListParagraph"/>
        <w:numPr>
          <w:ilvl w:val="0"/>
          <w:numId w:val="2"/>
        </w:numPr>
        <w:spacing w:after="30"/>
      </w:pPr>
      <w:hyperlink w:history="1" r:id="rId9_khytqqtsouz4mg3qts2">
        <w:r>
          <w:rPr>
            <w:rStyle w:val="Hyperlink"/>
            <w:rFonts w:ascii="Calibri" w:cs="Calibri" w:eastAsia="Calibri" w:hAnsi="Calibri"/>
            <w:sz w:val="18"/>
            <w:szCs w:val="18"/>
          </w:rPr>
          <w:t xml:space="preserve">AES Andes – Sponsor of the Year</w:t>
        </w:r>
      </w:hyperlink>
    </w:p>
    <w:p>
      <w:pPr>
        <w:pStyle w:val="ListParagraph"/>
        <w:numPr>
          <w:ilvl w:val="0"/>
          <w:numId w:val="2"/>
        </w:numPr>
        <w:spacing w:after="30"/>
      </w:pPr>
      <w:hyperlink w:history="1" r:id="rIddw64fwpykd37tixdaay0q">
        <w:r>
          <w:rPr>
            <w:rStyle w:val="Hyperlink"/>
            <w:rFonts w:ascii="Calibri" w:cs="Calibri" w:eastAsia="Calibri" w:hAnsi="Calibri"/>
            <w:sz w:val="18"/>
            <w:szCs w:val="18"/>
          </w:rPr>
          <w:t xml:space="preserve">AES – Q2 2026 Fact Sheet</w:t>
        </w:r>
      </w:hyperlink>
    </w:p>
    <w:p>
      <w:pPr>
        <w:pStyle w:val="ListParagraph"/>
        <w:numPr>
          <w:ilvl w:val="0"/>
          <w:numId w:val="2"/>
        </w:numPr>
        <w:spacing w:after="30"/>
      </w:pPr>
      <w:hyperlink w:history="1" r:id="rIdqma_ibukc53cl38ayouqa">
        <w:r>
          <w:rPr>
            <w:rStyle w:val="Hyperlink"/>
            <w:rFonts w:ascii="Calibri" w:cs="Calibri" w:eastAsia="Calibri" w:hAnsi="Calibri"/>
            <w:sz w:val="18"/>
            <w:szCs w:val="18"/>
          </w:rPr>
          <w:t xml:space="preserve">PV Tech – AES Dominicana solar</w:t>
        </w:r>
      </w:hyperlink>
    </w:p>
    <w:p>
      <w:pPr>
        <w:pStyle w:val="Heading2"/>
        <w:spacing w:after="60" w:before="120"/>
      </w:pPr>
      <w:r>
        <w:rPr>
          <w:rFonts w:ascii="Calibri" w:cs="Calibri" w:eastAsia="Calibri" w:hAnsi="Calibri"/>
        </w:rPr>
        <w:t xml:space="preserve">Coffee</w:t>
      </w:r>
    </w:p>
    <w:p>
      <w:pPr>
        <w:pStyle w:val="ListParagraph"/>
        <w:numPr>
          <w:ilvl w:val="0"/>
          <w:numId w:val="2"/>
        </w:numPr>
        <w:spacing w:after="30"/>
      </w:pPr>
      <w:hyperlink w:history="1" r:id="rIdok0bf_fldtzv54qzn7ukh">
        <w:r>
          <w:rPr>
            <w:rStyle w:val="Hyperlink"/>
            <w:rFonts w:ascii="Calibri" w:cs="Calibri" w:eastAsia="Calibri" w:hAnsi="Calibri"/>
            <w:sz w:val="18"/>
            <w:szCs w:val="18"/>
          </w:rPr>
          <w:t xml:space="preserve">Starbucks – Ten years at Hacienda Alsacia</w:t>
        </w:r>
      </w:hyperlink>
    </w:p>
    <w:p>
      <w:pPr>
        <w:pStyle w:val="ListParagraph"/>
        <w:numPr>
          <w:ilvl w:val="0"/>
          <w:numId w:val="2"/>
        </w:numPr>
        <w:spacing w:after="30"/>
      </w:pPr>
      <w:hyperlink w:history="1" r:id="rIdo7siu3noq4v0a3nutbvlf">
        <w:r>
          <w:rPr>
            <w:rStyle w:val="Hyperlink"/>
            <w:rFonts w:ascii="Calibri" w:cs="Calibri" w:eastAsia="Calibri" w:hAnsi="Calibri"/>
            <w:sz w:val="18"/>
            <w:szCs w:val="18"/>
          </w:rPr>
          <w:t xml:space="preserve">Business Wire – Starbucks new coffee farms (2024)</w:t>
        </w:r>
      </w:hyperlink>
    </w:p>
    <w:p>
      <w:pPr>
        <w:pStyle w:val="ListParagraph"/>
        <w:numPr>
          <w:ilvl w:val="0"/>
          <w:numId w:val="2"/>
        </w:numPr>
        <w:spacing w:after="30"/>
      </w:pPr>
      <w:hyperlink w:history="1" r:id="rId0ibuubtlqjgomc0nlccgr">
        <w:r>
          <w:rPr>
            <w:rStyle w:val="Hyperlink"/>
            <w:rFonts w:ascii="Calibri" w:cs="Calibri" w:eastAsia="Calibri" w:hAnsi="Calibri"/>
            <w:sz w:val="18"/>
            <w:szCs w:val="18"/>
          </w:rPr>
          <w:t xml:space="preserve">Cleary Gottlieb – KDP completes JDE Peet's acquisition</w:t>
        </w:r>
      </w:hyperlink>
    </w:p>
    <w:p>
      <w:pPr>
        <w:pStyle w:val="ListParagraph"/>
        <w:numPr>
          <w:ilvl w:val="0"/>
          <w:numId w:val="2"/>
        </w:numPr>
        <w:spacing w:after="30"/>
      </w:pPr>
      <w:hyperlink w:history="1" r:id="rIdiermb2f0reftut2gj4p3h">
        <w:r>
          <w:rPr>
            <w:rStyle w:val="Hyperlink"/>
            <w:rFonts w:ascii="Calibri" w:cs="Calibri" w:eastAsia="Calibri" w:hAnsi="Calibri"/>
            <w:sz w:val="18"/>
            <w:szCs w:val="18"/>
          </w:rPr>
          <w:t xml:space="preserve">ConsumerGoods – KDP to split beverage and coffee</w:t>
        </w:r>
      </w:hyperlink>
    </w:p>
    <w:p>
      <w:pPr>
        <w:pStyle w:val="ListParagraph"/>
        <w:numPr>
          <w:ilvl w:val="0"/>
          <w:numId w:val="2"/>
        </w:numPr>
        <w:spacing w:after="30"/>
      </w:pPr>
      <w:hyperlink w:history="1" r:id="rIdzbrmuz_r1mdztlte8lzel">
        <w:r>
          <w:rPr>
            <w:rStyle w:val="Hyperlink"/>
            <w:rFonts w:ascii="Calibri" w:cs="Calibri" w:eastAsia="Calibri" w:hAnsi="Calibri"/>
            <w:sz w:val="18"/>
            <w:szCs w:val="18"/>
          </w:rPr>
          <w:t xml:space="preserve">Just Food – Kraft sustainable coffee initiative</w:t>
        </w:r>
      </w:hyperlink>
    </w:p>
    <w:p>
      <w:pPr>
        <w:pStyle w:val="ListParagraph"/>
        <w:numPr>
          <w:ilvl w:val="0"/>
          <w:numId w:val="2"/>
        </w:numPr>
        <w:spacing w:after="30"/>
      </w:pPr>
      <w:hyperlink w:history="1" r:id="rIdk3plrd__qkncjdmh_5kfh">
        <w:r>
          <w:rPr>
            <w:rStyle w:val="Hyperlink"/>
            <w:rFonts w:ascii="Calibri" w:cs="Calibri" w:eastAsia="Calibri" w:hAnsi="Calibri"/>
            <w:sz w:val="18"/>
            <w:szCs w:val="18"/>
          </w:rPr>
          <w:t xml:space="preserve">Coffee Habitat – Critique of corporate coffee</w:t>
        </w:r>
      </w:hyperlink>
    </w:p>
    <w:p>
      <w:pPr>
        <w:pStyle w:val="ListParagraph"/>
        <w:numPr>
          <w:ilvl w:val="0"/>
          <w:numId w:val="2"/>
        </w:numPr>
        <w:spacing w:after="30"/>
      </w:pPr>
      <w:hyperlink w:history="1" r:id="rId4s3d1nqp_qutijp3dctmm">
        <w:r>
          <w:rPr>
            <w:rStyle w:val="Hyperlink"/>
            <w:rFonts w:ascii="Calibri" w:cs="Calibri" w:eastAsia="Calibri" w:hAnsi="Calibri"/>
            <w:sz w:val="18"/>
            <w:szCs w:val="18"/>
          </w:rPr>
          <w:t xml:space="preserve">AJOT – Guatemala coffee growers and US buyers</w:t>
        </w:r>
      </w:hyperlink>
    </w:p>
    <w:p>
      <w:pPr>
        <w:pStyle w:val="ListParagraph"/>
        <w:numPr>
          <w:ilvl w:val="0"/>
          <w:numId w:val="2"/>
        </w:numPr>
        <w:spacing w:after="30"/>
      </w:pPr>
      <w:hyperlink w:history="1" r:id="rId738dxavohe9_gxpayln_t">
        <w:r>
          <w:rPr>
            <w:rStyle w:val="Hyperlink"/>
            <w:rFonts w:ascii="Calibri" w:cs="Calibri" w:eastAsia="Calibri" w:hAnsi="Calibri"/>
            <w:sz w:val="18"/>
            <w:szCs w:val="18"/>
          </w:rPr>
          <w:t xml:space="preserve">FreshCup – 50% tariffs on Brazil coffee</w:t>
        </w:r>
      </w:hyperlink>
    </w:p>
    <w:p>
      <w:pPr>
        <w:pStyle w:val="Heading2"/>
        <w:spacing w:after="60" w:before="120"/>
      </w:pPr>
      <w:r>
        <w:rPr>
          <w:rFonts w:ascii="Calibri" w:cs="Calibri" w:eastAsia="Calibri" w:hAnsi="Calibri"/>
        </w:rPr>
        <w:t xml:space="preserve">Logistics and Transport</w:t>
      </w:r>
    </w:p>
    <w:p>
      <w:pPr>
        <w:pStyle w:val="ListParagraph"/>
        <w:numPr>
          <w:ilvl w:val="0"/>
          <w:numId w:val="2"/>
        </w:numPr>
        <w:spacing w:after="30"/>
      </w:pPr>
      <w:hyperlink w:history="1" r:id="rIdctibiwkr4ajiyhqz1zvar">
        <w:r>
          <w:rPr>
            <w:rStyle w:val="Hyperlink"/>
            <w:rFonts w:ascii="Calibri" w:cs="Calibri" w:eastAsia="Calibri" w:hAnsi="Calibri"/>
            <w:sz w:val="18"/>
            <w:szCs w:val="18"/>
          </w:rPr>
          <w:t xml:space="preserve">Trucking News – FedEx Miami hub investment</w:t>
        </w:r>
      </w:hyperlink>
    </w:p>
    <w:p>
      <w:pPr>
        <w:pStyle w:val="ListParagraph"/>
        <w:numPr>
          <w:ilvl w:val="0"/>
          <w:numId w:val="2"/>
        </w:numPr>
        <w:spacing w:after="30"/>
      </w:pPr>
      <w:hyperlink w:history="1" r:id="rIdsx7nor57ext5-c-kyc_ou">
        <w:r>
          <w:rPr>
            <w:rStyle w:val="Hyperlink"/>
            <w:rFonts w:ascii="Calibri" w:cs="Calibri" w:eastAsia="Calibri" w:hAnsi="Calibri"/>
            <w:sz w:val="18"/>
            <w:szCs w:val="18"/>
          </w:rPr>
          <w:t xml:space="preserve">FedEx Newsroom – New Latin America routes</w:t>
        </w:r>
      </w:hyperlink>
    </w:p>
    <w:p>
      <w:pPr>
        <w:pStyle w:val="ListParagraph"/>
        <w:numPr>
          <w:ilvl w:val="0"/>
          <w:numId w:val="2"/>
        </w:numPr>
        <w:spacing w:after="30"/>
      </w:pPr>
      <w:hyperlink w:history="1" r:id="rIduoix9mwu9s5sjddz2iwhw">
        <w:r>
          <w:rPr>
            <w:rStyle w:val="Hyperlink"/>
            <w:rFonts w:ascii="Calibri" w:cs="Calibri" w:eastAsia="Calibri" w:hAnsi="Calibri"/>
            <w:sz w:val="18"/>
            <w:szCs w:val="18"/>
          </w:rPr>
          <w:t xml:space="preserve">Container News – Crowley Gulf-Central America Express</w:t>
        </w:r>
      </w:hyperlink>
    </w:p>
    <w:p>
      <w:pPr>
        <w:pStyle w:val="ListParagraph"/>
        <w:numPr>
          <w:ilvl w:val="0"/>
          <w:numId w:val="2"/>
        </w:numPr>
        <w:spacing w:after="30"/>
      </w:pPr>
      <w:hyperlink w:history="1" r:id="rIdh5y2k9iqfzwqlxqb8rzmd">
        <w:r>
          <w:rPr>
            <w:rStyle w:val="Hyperlink"/>
            <w:rFonts w:ascii="Calibri" w:cs="Calibri" w:eastAsia="Calibri" w:hAnsi="Calibri"/>
            <w:sz w:val="18"/>
            <w:szCs w:val="18"/>
          </w:rPr>
          <w:t xml:space="preserve">RailMarket – CPKC and Americold cold chain rail</w:t>
        </w:r>
      </w:hyperlink>
    </w:p>
    <w:p>
      <w:pPr>
        <w:pStyle w:val="ListParagraph"/>
        <w:numPr>
          <w:ilvl w:val="0"/>
          <w:numId w:val="2"/>
        </w:numPr>
        <w:spacing w:after="30"/>
      </w:pPr>
      <w:hyperlink w:history="1" r:id="rId38mqaqufulccn0fudwbpw">
        <w:r>
          <w:rPr>
            <w:rStyle w:val="Hyperlink"/>
            <w:rFonts w:ascii="Calibri" w:cs="Calibri" w:eastAsia="Calibri" w:hAnsi="Calibri"/>
            <w:sz w:val="18"/>
            <w:szCs w:val="18"/>
          </w:rPr>
          <w:t xml:space="preserve">Railway Age – CPKC/Americold</w:t>
        </w:r>
      </w:hyperlink>
    </w:p>
    <w:p>
      <w:pPr>
        <w:pStyle w:val="ListParagraph"/>
        <w:numPr>
          <w:ilvl w:val="0"/>
          <w:numId w:val="2"/>
        </w:numPr>
        <w:spacing w:after="30"/>
      </w:pPr>
      <w:hyperlink w:history="1" r:id="rIdoytxbzhdrf_wmkmjt1hnq">
        <w:r>
          <w:rPr>
            <w:rStyle w:val="Hyperlink"/>
            <w:rFonts w:ascii="Calibri" w:cs="Calibri" w:eastAsia="Calibri" w:hAnsi="Calibri"/>
            <w:sz w:val="18"/>
            <w:szCs w:val="18"/>
          </w:rPr>
          <w:t xml:space="preserve">The Logistics World – Amazon investment in Mexico</w:t>
        </w:r>
      </w:hyperlink>
    </w:p>
    <w:p>
      <w:pPr>
        <w:pStyle w:val="ListParagraph"/>
        <w:numPr>
          <w:ilvl w:val="0"/>
          <w:numId w:val="2"/>
        </w:numPr>
        <w:spacing w:after="30"/>
      </w:pPr>
      <w:hyperlink w:history="1" r:id="rIdscgkvf5uzcgfqqpsx1pvb">
        <w:r>
          <w:rPr>
            <w:rStyle w:val="Hyperlink"/>
            <w:rFonts w:ascii="Calibri" w:cs="Calibri" w:eastAsia="Calibri" w:hAnsi="Calibri"/>
            <w:sz w:val="18"/>
            <w:szCs w:val="18"/>
          </w:rPr>
          <w:t xml:space="preserve">TI Inside – Amazon investment in Brazil</w:t>
        </w:r>
      </w:hyperlink>
    </w:p>
    <w:p>
      <w:pPr>
        <w:pStyle w:val="ListParagraph"/>
        <w:numPr>
          <w:ilvl w:val="0"/>
          <w:numId w:val="2"/>
        </w:numPr>
        <w:spacing w:after="30"/>
      </w:pPr>
      <w:hyperlink w:history="1" r:id="rIdcrep2v7f4uzdzp3sooi7t">
        <w:r>
          <w:rPr>
            <w:rStyle w:val="Hyperlink"/>
            <w:rFonts w:ascii="Calibri" w:cs="Calibri" w:eastAsia="Calibri" w:hAnsi="Calibri"/>
            <w:sz w:val="18"/>
            <w:szCs w:val="18"/>
          </w:rPr>
          <w:t xml:space="preserve">Mexico Business News – Edomex logistics expansion</w:t>
        </w:r>
      </w:hyperlink>
    </w:p>
    <w:p>
      <w:pPr>
        <w:pStyle w:val="ListParagraph"/>
        <w:numPr>
          <w:ilvl w:val="0"/>
          <w:numId w:val="2"/>
        </w:numPr>
        <w:spacing w:after="30"/>
      </w:pPr>
      <w:hyperlink w:history="1" r:id="rIdr0laorpywonr-pj5vj5-v">
        <w:r>
          <w:rPr>
            <w:rStyle w:val="Hyperlink"/>
            <w:rFonts w:ascii="Calibri" w:cs="Calibri" w:eastAsia="Calibri" w:hAnsi="Calibri"/>
            <w:sz w:val="18"/>
            <w:szCs w:val="18"/>
          </w:rPr>
          <w:t xml:space="preserve">Wikipedia – RINA (company)</w:t>
        </w:r>
      </w:hyperlink>
    </w:p>
    <w:p>
      <w:pPr>
        <w:pStyle w:val="ListParagraph"/>
        <w:numPr>
          <w:ilvl w:val="0"/>
          <w:numId w:val="2"/>
        </w:numPr>
        <w:spacing w:after="30"/>
      </w:pPr>
      <w:hyperlink w:history="1" r:id="rIdlssnsnusc7cezozanhbwm">
        <w:r>
          <w:rPr>
            <w:rStyle w:val="Hyperlink"/>
            <w:rFonts w:ascii="Calibri" w:cs="Calibri" w:eastAsia="Calibri" w:hAnsi="Calibri"/>
            <w:sz w:val="18"/>
            <w:szCs w:val="18"/>
          </w:rPr>
          <w:t xml:space="preserve">Milano Finanza – RINA buys Patrick Engineering</w:t>
        </w:r>
      </w:hyperlink>
    </w:p>
    <w:p>
      <w:pPr>
        <w:pStyle w:val="Heading2"/>
        <w:spacing w:after="60" w:before="120"/>
      </w:pPr>
      <w:r>
        <w:rPr>
          <w:rFonts w:ascii="Calibri" w:cs="Calibri" w:eastAsia="Calibri" w:hAnsi="Calibri"/>
        </w:rPr>
        <w:t xml:space="preserve">CTPAT and Mutual Recognition</w:t>
      </w:r>
    </w:p>
    <w:p>
      <w:pPr>
        <w:pStyle w:val="ListParagraph"/>
        <w:numPr>
          <w:ilvl w:val="0"/>
          <w:numId w:val="2"/>
        </w:numPr>
        <w:spacing w:after="30"/>
      </w:pPr>
      <w:hyperlink w:history="1" r:id="rIdij0gdoeknpgybbdpyqf17">
        <w:r>
          <w:rPr>
            <w:rStyle w:val="Hyperlink"/>
            <w:rFonts w:ascii="Calibri" w:cs="Calibri" w:eastAsia="Calibri" w:hAnsi="Calibri"/>
            <w:sz w:val="18"/>
            <w:szCs w:val="18"/>
          </w:rPr>
          <w:t xml:space="preserve">Expeditors – US signs customs MRA with Guatemala and Colombia</w:t>
        </w:r>
      </w:hyperlink>
    </w:p>
    <w:p>
      <w:pPr>
        <w:pStyle w:val="ListParagraph"/>
        <w:numPr>
          <w:ilvl w:val="0"/>
          <w:numId w:val="2"/>
        </w:numPr>
        <w:spacing w:after="30"/>
      </w:pPr>
      <w:hyperlink w:history="1" r:id="rIdatfceaq7w6xqywrrmvdea">
        <w:r>
          <w:rPr>
            <w:rStyle w:val="Hyperlink"/>
            <w:rFonts w:ascii="Calibri" w:cs="Calibri" w:eastAsia="Calibri" w:hAnsi="Calibri"/>
            <w:sz w:val="18"/>
            <w:szCs w:val="18"/>
          </w:rPr>
          <w:t xml:space="preserve">STR – US recognizes Guatemala and Colombia programs</w:t>
        </w:r>
      </w:hyperlink>
    </w:p>
    <w:p>
      <w:pPr>
        <w:pStyle w:val="ListParagraph"/>
        <w:numPr>
          <w:ilvl w:val="0"/>
          <w:numId w:val="2"/>
        </w:numPr>
        <w:spacing w:after="30"/>
      </w:pPr>
      <w:hyperlink w:history="1" r:id="rIdehf20lphnlpaotgntq4mw">
        <w:r>
          <w:rPr>
            <w:rStyle w:val="Hyperlink"/>
            <w:rFonts w:ascii="Calibri" w:cs="Calibri" w:eastAsia="Calibri" w:hAnsi="Calibri"/>
            <w:sz w:val="18"/>
            <w:szCs w:val="18"/>
          </w:rPr>
          <w:t xml:space="preserve">CBP – US–Dominican Republic mutual recognition work plan</w:t>
        </w:r>
      </w:hyperlink>
    </w:p>
    <w:p>
      <w:pPr>
        <w:pStyle w:val="ListParagraph"/>
        <w:numPr>
          <w:ilvl w:val="0"/>
          <w:numId w:val="2"/>
        </w:numPr>
        <w:spacing w:after="30"/>
      </w:pPr>
      <w:hyperlink w:history="1" r:id="rIdvn-opqooz-maf7fdw-eyz">
        <w:r>
          <w:rPr>
            <w:rStyle w:val="Hyperlink"/>
            <w:rFonts w:ascii="Calibri" w:cs="Calibri" w:eastAsia="Calibri" w:hAnsi="Calibri"/>
            <w:sz w:val="18"/>
            <w:szCs w:val="18"/>
          </w:rPr>
          <w:t xml:space="preserve">CT Strategies – Guide to Mutual Recognition</w:t>
        </w:r>
      </w:hyperlink>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28"/>
      <w:szCs w:val="28"/>
    </w:rPr>
  </w:style>
  <w:style w:type="paragraph" w:styleId="Heading2">
    <w:name w:val="Heading 2"/>
    <w:basedOn w:val="Normal"/>
    <w:next w:val="Normal"/>
    <w:qFormat/>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jzbqgsesv4slgdjlau6g" Type="http://schemas.openxmlformats.org/officeDocument/2006/relationships/hyperlink" Target="https://www.whitecase.com/insight-our-thinking/latin-america-focus-2025/us-critical-minerals-latin-america-mining" TargetMode="External"/><Relationship Id="rIde67mekxbhvevt969lx8if" Type="http://schemas.openxmlformats.org/officeDocument/2006/relationships/hyperlink" Target="https://www.riotimesonline.com/chile-lithium-2026-guide/" TargetMode="External"/><Relationship Id="rIdgtdv-yqs8qoab0lrswfrb" Type="http://schemas.openxmlformats.org/officeDocument/2006/relationships/hyperlink" Target="https://www.northernminer.com/news/top-10-us-miners-southern-copper-newmont-lead-pack/1003893697/" TargetMode="External"/><Relationship Id="rIdmalpk3fwscuxksesk_e-l" Type="http://schemas.openxmlformats.org/officeDocument/2006/relationships/hyperlink" Target="https://www.mining.com/top-10-us-based-miners/" TargetMode="External"/><Relationship Id="rIdmg6qx9g032voc-di6s5m-" Type="http://schemas.openxmlformats.org/officeDocument/2006/relationships/hyperlink" Target="https://www.miningreporters.com/noticia/news/2026/02/serra-verde-dfc-loan-565m-us-minority-stake-option-rare-earths-brazil" TargetMode="External"/><Relationship Id="rId2-bwbuzdtqughx-vrvnpn" Type="http://schemas.openxmlformats.org/officeDocument/2006/relationships/hyperlink" Target="https://www.dfc.gov/media/press-releases/dfc-highlights-landmark-critical-minerals-investments-strengthen-us-national" TargetMode="External"/><Relationship Id="rIden8svpcsvpoih1s8gx0tu" Type="http://schemas.openxmlformats.org/officeDocument/2006/relationships/hyperlink" Target="https://www.bloomberg.com/news/articles/2026-09-25/citigroup-targets-more-than-3-billion-banamex-ipo-taps-banks" TargetMode="External"/><Relationship Id="rIdbkeqxr7k0cny0gk4dgxmi" Type="http://schemas.openxmlformats.org/officeDocument/2006/relationships/hyperlink" Target="https://finance.yahoo.com/markets/stocks/articles/citigroup-c-lines-3-billion-202731590.html" TargetMode="External"/><Relationship Id="rIdi8twsaeqghuvge8sb9hf4" Type="http://schemas.openxmlformats.org/officeDocument/2006/relationships/hyperlink" Target="https://www.aol.com/articles/banks-talks-us-treasury-lend-221205956.html" TargetMode="External"/><Relationship Id="rIdn2vfsmykk6nhchspgrprd" Type="http://schemas.openxmlformats.org/officeDocument/2006/relationships/hyperlink" Target="https://corporate.visa.com/en/sites/visa-perspectives/company-news/investing-in-norther-central-americas-future.html" TargetMode="External"/><Relationship Id="rId2ikjm4cqjqgct1cfwfim9" Type="http://schemas.openxmlformats.org/officeDocument/2006/relationships/hyperlink" Target="https://findevgateway.org/news/paymentology-and-mastercard-join-forces-to-foster-financial-inclusions-in-northern-central" TargetMode="External"/><Relationship Id="rId8xbspzpcfva1r06k0pfp8" Type="http://schemas.openxmlformats.org/officeDocument/2006/relationships/hyperlink" Target="https://www.revistaeyn.com/eyn-brandlab/mastercard-motor-de-la-modernizacion-financiera-en-centroamerica-AH28855577" TargetMode="External"/><Relationship Id="rIdyne2lq4adr0apmtolw4rw" Type="http://schemas.openxmlformats.org/officeDocument/2006/relationships/hyperlink" Target="https://www.paymentsdive.com/ex/mpt/news/paypal-acquires-xoom-in-890-million-deal/" TargetMode="External"/><Relationship Id="rIdeeqjbe5b-8rqlog1ovpi3" Type="http://schemas.openxmlformats.org/officeDocument/2006/relationships/hyperlink" Target="https://www.atmmarketplace.com/news/xoom-adds-17k-cash-pickup-locations-in-mexico/" TargetMode="External"/><Relationship Id="rId2unw9suubp5jq7jvhwoti" Type="http://schemas.openxmlformats.org/officeDocument/2006/relationships/hyperlink" Target="https://www.wamda.com/2026/10/endeavor-catalyst-raises-320-million-startups-silicon-valley" TargetMode="External"/><Relationship Id="rIdarmsyrlk2xythynidsxa8" Type="http://schemas.openxmlformats.org/officeDocument/2006/relationships/hyperlink" Target="https://endeavor.org/stories/endeavor-catalyst-raises-over-290-million-backed-by-over-100-high-impact-entrepreneurs/" TargetMode="External"/><Relationship Id="rIdzwdyzty98cbze3xeionmq" Type="http://schemas.openxmlformats.org/officeDocument/2006/relationships/hyperlink" Target="https://www.everythingstartups.com/vc-funds/endeavor-catalyst" TargetMode="External"/><Relationship Id="rIdgsrmmfpfqqnusglyl2eqj" Type="http://schemas.openxmlformats.org/officeDocument/2006/relationships/hyperlink" Target="https://www.lavca.org/index-ventures-leads-usd26m-round-for-latin-americas-liquido/" TargetMode="External"/><Relationship Id="rIdqmmzhm1avplikapyp3cma" Type="http://schemas.openxmlformats.org/officeDocument/2006/relationships/hyperlink" Target="https://fintech.global/2026/05/11/brazil-firms-continue-to-dominate-the-latam-fintech-market-raking-in-four-of-the-top-10-deals-in-q1-2026/" TargetMode="External"/><Relationship Id="rIdm_2rizstjzcwff7dpwnvk" Type="http://schemas.openxmlformats.org/officeDocument/2006/relationships/hyperlink" Target="https://thelogisticsworld.com/actualidad-logistica/johnson-johnson-instalara-una-planta-de-manufactura-en-costa-rica" TargetMode="External"/><Relationship Id="rIdy7eqwlwbfnf0jxqxithdu" Type="http://schemas.openxmlformats.org/officeDocument/2006/relationships/hyperlink" Target="https://www.packagingdigest.com/medical-packaging/why-medtech-is-still-choosing-costa-rica" TargetMode="External"/><Relationship Id="rId9yataxkipfspuhai7nfun" Type="http://schemas.openxmlformats.org/officeDocument/2006/relationships/hyperlink" Target="https://mexicobusiness.news/health/news/latin-america-nearshoring-booms-medtech-supply-chain-shift" TargetMode="External"/><Relationship Id="rIdh9vlo8h99encuav1hwh0p" Type="http://schemas.openxmlformats.org/officeDocument/2006/relationships/hyperlink" Target="https://investmentmonitor.ai/costa-rica/instruments-for-investment-how-costa-rica-is-expanding-its-offerings-in-a-booming-medtech-sector" TargetMode="External"/><Relationship Id="rIdjt6pi_sk4jljoh9yxgqy6" Type="http://schemas.openxmlformats.org/officeDocument/2006/relationships/hyperlink" Target="https://www.fiercebiotech.com/medical-devices/california-cutbacks-boston-sci-to-close-two-facilities-abbott-cuts-160-employees" TargetMode="External"/><Relationship Id="rIdxmtrifpncrz9-7-to5qru" Type="http://schemas.openxmlformats.org/officeDocument/2006/relationships/hyperlink" Target="https://tijuanaedc.org/which-country-is-the-largest-producer-of-medical-equipment/" TargetMode="External"/><Relationship Id="rIddyduoi9b6vt2frollgb_d" Type="http://schemas.openxmlformats.org/officeDocument/2006/relationships/hyperlink" Target="https://medical-technology.nridigital.com/medical_technology_sep25/precision_in_paradise_the_dominican_republic_emerges_as_latin_america_s_medtech_hub" TargetMode="External"/><Relationship Id="rIdykjpop9l9af0b1ctztifd" Type="http://schemas.openxmlformats.org/officeDocument/2006/relationships/hyperlink" Target="https://blog.investchile.gob.cl/en/2026/aes-chile-solar-plant" TargetMode="External"/><Relationship Id="rId9_khytqqtsouz4mg3qts2" Type="http://schemas.openxmlformats.org/officeDocument/2006/relationships/hyperlink" Target="https://www.aesandes.com/en/press-release/aes-chile-receives-prestigious-sponsor-year-recognition-gbm" TargetMode="External"/><Relationship Id="rIddw64fwpykd37tixdaay0q" Type="http://schemas.openxmlformats.org/officeDocument/2006/relationships/hyperlink" Target="https://www.aes.com/sites/vault/files/2026-08/08-07-26%20Q2%202026%20Fact%20Sheet_FINAL.pdf" TargetMode="External"/><Relationship Id="rIdqma_ibukc53cl38ayouqa" Type="http://schemas.openxmlformats.org/officeDocument/2006/relationships/hyperlink" Target="https://www.pv-tech.org/news/aes-dominicana-breaks-ground-on-58mw-plant-in-dominican-republic" TargetMode="External"/><Relationship Id="rIdok0bf_fldtzv54qzn7ukh" Type="http://schemas.openxmlformats.org/officeDocument/2006/relationships/hyperlink" Target="https://about.starbucks.com/stories/2024/ten-years-of-impact-at-hacienda-alsacia/" TargetMode="External"/><Relationship Id="rIdo7siu3noq4v0a3nutbvlf" Type="http://schemas.openxmlformats.org/officeDocument/2006/relationships/hyperlink" Target="https://www.businesswire.com/news/home/20241003231789/en/Starbucks-Expands-Global-Effort-to-Protect-Future-of-Coffee-with-Two-New-Coffee-Farms" TargetMode="External"/><Relationship Id="rId0ibuubtlqjgomc0nlccgr" Type="http://schemas.openxmlformats.org/officeDocument/2006/relationships/hyperlink" Target="https://www.clearygottlieb.com/news-and-insights/news-listing/keurig-dr-pepper-completes-18-billion-acquisition-of-jde-peets" TargetMode="External"/><Relationship Id="rIdiermb2f0reftut2gj4p3h" Type="http://schemas.openxmlformats.org/officeDocument/2006/relationships/hyperlink" Target="https://consumergoods.com/keurig-dr-pepper-split-beverage-coffee-businesses-following-jde-peets-acquisition" TargetMode="External"/><Relationship Id="rIdzbrmuz_r1mdztlte8lzel" Type="http://schemas.openxmlformats.org/officeDocument/2006/relationships/hyperlink" Target="https://www.just-food.com/news/usa-kraft-foods-announces-sustainable-coffee-initiative" TargetMode="External"/><Relationship Id="rIdk3plrd__qkncjdmh_5kfh" Type="http://schemas.openxmlformats.org/officeDocument/2006/relationships/hyperlink" Target="https://www.coffeehabitat.com/?p=448" TargetMode="External"/><Relationship Id="rId4s3d1nqp_qutijp3dctmm" Type="http://schemas.openxmlformats.org/officeDocument/2006/relationships/hyperlink" Target="https://www.ajot.com/news/coffee-growers-in-crisis-face-a-new-blow-from-trumpas-tariff-threat" TargetMode="External"/><Relationship Id="rId738dxavohe9_gxpayln_t" Type="http://schemas.openxmlformats.org/officeDocument/2006/relationships/hyperlink" Target="https://freshcup.com/50-tariffs-slam-the-brakes-on-brazil-u-s-coffee-trade" TargetMode="External"/><Relationship Id="rIdctibiwkr4ajiyhqz1zvar" Type="http://schemas.openxmlformats.org/officeDocument/2006/relationships/hyperlink" Target="https://www.ttnews.com/articles/fedex-invests-72-million-miami-airport-cargo-hub" TargetMode="External"/><Relationship Id="rIdsx7nor57ext5-c-kyc_ou" Type="http://schemas.openxmlformats.org/officeDocument/2006/relationships/hyperlink" Target="https://newsroom.fedex.com/newsroom/latin-america-english/fedex-strengthens-capabilities-in-latin-america-with-new-flight-routes" TargetMode="External"/><Relationship Id="rIduoix9mwu9s5sjddz2iwhw" Type="http://schemas.openxmlformats.org/officeDocument/2006/relationships/hyperlink" Target="https://container-news.com/crowley-and-port-houston-launch-weekly-gulf-central-america-express-service/" TargetMode="External"/><Relationship Id="rIdh5y2k9iqfzwqlxqb8rzmd" Type="http://schemas.openxmlformats.org/officeDocument/2006/relationships/hyperlink" Target="https://railmarket.com/news/freight-rail/51098-cpkc-and-americold-launch-kansas-city-mexico-cold-chain-rail-service" TargetMode="External"/><Relationship Id="rId38mqaqufulccn0fudwbpw" Type="http://schemas.openxmlformats.org/officeDocument/2006/relationships/hyperlink" Target="https://www.railwayage.com/freight/class-i/cpkcamericold-heating-up-the-supply-chain/" TargetMode="External"/><Relationship Id="rIdoytxbzhdrf_wmkmjt1hnq" Type="http://schemas.openxmlformats.org/officeDocument/2006/relationships/hyperlink" Target="https://thelogisticsworld.com/actualidad-logistica/amazon-presume-inversiones-por-5-516-millones-de-dolares-en-mexico-en-9-anos" TargetMode="External"/><Relationship Id="rIdscgkvf5uzcgfqqpsx1pvb" Type="http://schemas.openxmlformats.org/officeDocument/2006/relationships/hyperlink" Target="https://tiinside.com.br/en/31/07/2026/amazon-quintuplica-ritmo-de-investimentos-no-brasil-e-ja-soma-r-75-bilhoes-desde-2011/" TargetMode="External"/><Relationship Id="rIdcrep2v7f4uzdzp3sooi7t" Type="http://schemas.openxmlformats.org/officeDocument/2006/relationships/hyperlink" Target="https://mexicobusiness.news/ecommerce/news/amazon-mercado-libre-invest-us12-billion-edomex-expansion" TargetMode="External"/><Relationship Id="rIdr0laorpywonr-pj5vj5-v" Type="http://schemas.openxmlformats.org/officeDocument/2006/relationships/hyperlink" Target="https://en.wikipedia.org/wiki/RINA_(company)" TargetMode="External"/><Relationship Id="rIdlssnsnusc7cezozanhbwm" Type="http://schemas.openxmlformats.org/officeDocument/2006/relationships/hyperlink" Target="https://www.milanofinanza.it/news/rina-compra-patrick-engineering-in-usa-2590832" TargetMode="External"/><Relationship Id="rIdij0gdoeknpgybbdpyqf17" Type="http://schemas.openxmlformats.org/officeDocument/2006/relationships/hyperlink" Target="https://info.expeditors.com/newsflash/us-signs-customs-mra-with-guatemala-and-colombia" TargetMode="External"/><Relationship Id="rIdatfceaq7w6xqywrrmvdea" Type="http://schemas.openxmlformats.org/officeDocument/2006/relationships/hyperlink" Target="https://www.strtrade.com/trade-news-resources/str-trade-report/trade-report/april/u-s-recognizes-supply-chain-security-programs-of-guatemala-and-colombia" TargetMode="External"/><Relationship Id="rIdehf20lphnlpaotgntq4mw" Type="http://schemas.openxmlformats.org/officeDocument/2006/relationships/hyperlink" Target="https://www.cbp.gov/newsroom/national-media-release/us-dominican-republic-sign-work-plan-aimed-mutual-recognition" TargetMode="External"/><Relationship Id="rIdvn-opqooz-maf7fdw-eyz" Type="http://schemas.openxmlformats.org/officeDocument/2006/relationships/hyperlink" Target="https://ct-strategies.com/?p=4344"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Companies in Latin America and the Caribbean – Sector Matrices</dc:title>
  <dc:creator>Agtechgt2026</dc:creator>
  <cp:lastModifiedBy>Un-named</cp:lastModifiedBy>
  <cp:revision>1</cp:revision>
  <dcterms:created xsi:type="dcterms:W3CDTF">2026-10-20T19:04:34.728Z</dcterms:created>
  <dcterms:modified xsi:type="dcterms:W3CDTF">2026-10-20T19:04:34.728Z</dcterms:modified>
</cp:coreProperties>
</file>

<file path=docProps/custom.xml><?xml version="1.0" encoding="utf-8"?>
<Properties xmlns="http://schemas.openxmlformats.org/officeDocument/2006/custom-properties" xmlns:vt="http://schemas.openxmlformats.org/officeDocument/2006/docPropsVTypes"/>
</file>