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CF34" w14:textId="77777777" w:rsidR="003D7269" w:rsidRDefault="00000000">
      <w:pPr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PROCURAÇÃO “AD JUDICIA” “ET EXTRA”</w:t>
      </w:r>
    </w:p>
    <w:p w14:paraId="4E7BC299" w14:textId="77777777" w:rsidR="003D7269" w:rsidRDefault="003D7269">
      <w:pPr>
        <w:rPr>
          <w:rFonts w:ascii="Bookman Old Style" w:eastAsia="Bookman Old Style" w:hAnsi="Bookman Old Style" w:cs="Bookman Old Style"/>
          <w:sz w:val="22"/>
          <w:szCs w:val="22"/>
        </w:rPr>
      </w:pPr>
    </w:p>
    <w:p w14:paraId="776D704D" w14:textId="77777777" w:rsidR="00EE5746" w:rsidRDefault="00EE5746" w:rsidP="00EE5746">
      <w:pPr>
        <w:pStyle w:val="NormalWeb"/>
      </w:pPr>
      <w:r>
        <w:rPr>
          <w:b/>
          <w:bCs/>
        </w:rPr>
        <w:t>OUTORGANTE:</w:t>
      </w:r>
      <w:r>
        <w:t xml:space="preserve"> </w:t>
      </w:r>
      <w:r>
        <w:rPr>
          <w:b/>
          <w:bCs/>
        </w:rPr>
        <w:t>MURILO PINHEIRO FOGAÇA</w:t>
      </w:r>
      <w:r>
        <w:t xml:space="preserve">, menor impúbere, nascido em 22/08/2021, neste ato representado por seu genitor </w:t>
      </w:r>
      <w:r>
        <w:rPr>
          <w:b/>
          <w:bCs/>
        </w:rPr>
        <w:t>REGINALDO DONIZETI FOGAÇA</w:t>
      </w:r>
      <w:r>
        <w:t>, brasileiro, motorista de ônibus, portador do RG n.º 42.275.356-7 SSP/SP, inscrito no CPF n.º 372.632.238-80, residentes e domiciliados na Rua Modesto Cerioni, nº 121, Vila Brasilina, Alumínio-SP, CEP: 18.126-142.</w:t>
      </w:r>
    </w:p>
    <w:p w14:paraId="3C7A1EAD" w14:textId="77777777" w:rsidR="00EE5746" w:rsidRDefault="00EE5746" w:rsidP="00EE5746">
      <w:pPr>
        <w:pStyle w:val="NormalWeb"/>
      </w:pPr>
      <w:r>
        <w:rPr>
          <w:b/>
          <w:bCs/>
        </w:rPr>
        <w:t>OUTORGADO:</w:t>
      </w:r>
      <w:r>
        <w:t xml:space="preserve"> </w:t>
      </w:r>
      <w:r>
        <w:rPr>
          <w:b/>
          <w:bCs/>
        </w:rPr>
        <w:t>CAIO PEREIRA SOCIEDADE INDIVIDUAL DE ADVOCACIA</w:t>
      </w:r>
      <w:r>
        <w:t xml:space="preserve">, CNPJ n.º 40.936.514/0001-78, OAB/MS n.º 1.781, neste ato representado por seu Sócio Advogado </w:t>
      </w:r>
      <w:r>
        <w:rPr>
          <w:b/>
          <w:bCs/>
        </w:rPr>
        <w:t>CAIO VINÍCIUS PINHEIRO PEREIRA</w:t>
      </w:r>
      <w:r>
        <w:t>, inscrito na OAB/MS n.º 17.474, Contato (67) 99256-9536, com escritório profissional situado na Rua Hilda Bergo Duarte, n.º 272, Sala 03 – Centro, Dourados -MS, CEP 79.806-020.</w:t>
      </w:r>
    </w:p>
    <w:p w14:paraId="33F7B17C" w14:textId="77777777" w:rsidR="00EE5746" w:rsidRDefault="00EE5746" w:rsidP="00EE5746">
      <w:pPr>
        <w:pStyle w:val="NormalWeb"/>
      </w:pPr>
      <w:r>
        <w:rPr>
          <w:b/>
          <w:bCs/>
        </w:rPr>
        <w:t>PODERES:</w:t>
      </w:r>
      <w:r>
        <w:t xml:space="preserve"> Por este instrumento particular de mandato, o Outorgante confere ao Outorgado amplos poderes para o foro em geral, com a cláusula </w:t>
      </w:r>
      <w:r>
        <w:rPr>
          <w:b/>
          <w:bCs/>
        </w:rPr>
        <w:t>“AD JUDICIA ET EXTRA”</w:t>
      </w:r>
      <w:r>
        <w:t xml:space="preserve">, em qualquer Juízo, Instância ou Tribunal, podendo propor contra quem de direito as ações competentes e defendê-lo nas contrárias, seguindo-as até final decisão, usando dos recursos legais e acompanhando-os, conferindo-lhe, ainda, poderes especiais para confessar, desistir, transigir, firmar compromissos ou acordos, receber e dar quitação, agindo em conjunto ou separadamente, podendo ainda substabelecer esta a outrem, com ou sem reservas de iguais poderes, dando tudo por bom, firme e valioso, especialmente para a propositura de </w:t>
      </w:r>
      <w:r>
        <w:rPr>
          <w:b/>
          <w:bCs/>
        </w:rPr>
        <w:t>AÇÃO DE OBRIGAÇÃO DE FAZER COM PEDIDO DE TUTELA DE URGÊNCIA</w:t>
      </w:r>
      <w:r>
        <w:t xml:space="preserve"> em face da União Federal e do Estado de São Paulo, visando o fornecimento de </w:t>
      </w:r>
      <w:r>
        <w:rPr>
          <w:b/>
          <w:bCs/>
        </w:rPr>
        <w:t>medicamento à base de Cannabis (Marca USA HEMP)</w:t>
      </w:r>
      <w:r>
        <w:t xml:space="preserve"> e tratamento médico necessário à saúde do Outorgante.</w:t>
      </w:r>
    </w:p>
    <w:p w14:paraId="4060A555" w14:textId="77777777" w:rsidR="00EE5746" w:rsidRDefault="00EE5746" w:rsidP="00EE5746">
      <w:pPr>
        <w:pStyle w:val="NormalWeb"/>
      </w:pPr>
      <w:r>
        <w:t>Sorocaba - SP, 08 de Dezembro de 2025.</w:t>
      </w:r>
    </w:p>
    <w:p w14:paraId="5ED993BD" w14:textId="2DA6EA0B" w:rsidR="008E1938" w:rsidRDefault="008E1938" w:rsidP="008E1938">
      <w:pPr>
        <w:pStyle w:val="NormalWeb"/>
      </w:pPr>
      <w:r>
        <w:t>.</w:t>
      </w:r>
    </w:p>
    <w:p w14:paraId="1FC3CA0D" w14:textId="77777777" w:rsidR="008E1938" w:rsidRDefault="008E1938" w:rsidP="008E1938">
      <w:pPr>
        <w:pStyle w:val="NormalWeb"/>
      </w:pPr>
    </w:p>
    <w:p w14:paraId="37EF14F2" w14:textId="6C253EF0" w:rsidR="003D7269" w:rsidRDefault="00022FFB" w:rsidP="00022FFB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__________________________________________</w:t>
      </w:r>
    </w:p>
    <w:p w14:paraId="6A03529E" w14:textId="77777777" w:rsidR="003D7269" w:rsidRDefault="003D7269" w:rsidP="00022FFB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46694BFE" w14:textId="6AAF055F" w:rsidR="00022FFB" w:rsidRDefault="00000000" w:rsidP="00022FFB">
      <w:pPr>
        <w:tabs>
          <w:tab w:val="center" w:pos="4249"/>
          <w:tab w:val="left" w:pos="6637"/>
        </w:tabs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REGINALDO DONIZETI FOGAÇA</w:t>
      </w:r>
    </w:p>
    <w:p w14:paraId="1C8554E9" w14:textId="2A7893E8" w:rsidR="003D7269" w:rsidRDefault="00022FFB" w:rsidP="00022FFB">
      <w:pPr>
        <w:tabs>
          <w:tab w:val="center" w:pos="4249"/>
          <w:tab w:val="left" w:pos="6637"/>
        </w:tabs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  <w:sectPr w:rsidR="003D7269">
          <w:headerReference w:type="default" r:id="rId8"/>
          <w:footerReference w:type="default" r:id="rId9"/>
          <w:pgSz w:w="11900" w:h="16840"/>
          <w:pgMar w:top="2481" w:right="1127" w:bottom="1417" w:left="1701" w:header="708" w:footer="708" w:gutter="0"/>
          <w:pgNumType w:start="1"/>
          <w:cols w:space="720"/>
        </w:sectPr>
      </w:pPr>
      <w:r>
        <w:t xml:space="preserve">                    (Representando o menor Murilo Pinheiro Fogaça)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ab/>
      </w:r>
    </w:p>
    <w:p w14:paraId="7F21D3B9" w14:textId="2BE4E94E" w:rsidR="003D7269" w:rsidRPr="000F4933" w:rsidRDefault="00000000" w:rsidP="000F4933">
      <w:pPr>
        <w:spacing w:line="48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  <w:u w:val="single"/>
        </w:rPr>
      </w:pPr>
      <w:r w:rsidRPr="000F4933">
        <w:rPr>
          <w:rFonts w:ascii="Bookman Old Style" w:eastAsia="Bookman Old Style" w:hAnsi="Bookman Old Style" w:cs="Bookman Old Style"/>
          <w:b/>
          <w:sz w:val="22"/>
          <w:szCs w:val="22"/>
          <w:u w:val="single"/>
        </w:rPr>
        <w:lastRenderedPageBreak/>
        <w:t>DECLARAÇÃO DE HIPOSSUFICIÊNCIA</w:t>
      </w:r>
    </w:p>
    <w:p w14:paraId="4FC46594" w14:textId="77777777" w:rsidR="003D7269" w:rsidRDefault="003D7269">
      <w:pPr>
        <w:spacing w:line="480" w:lineRule="auto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</w:p>
    <w:p w14:paraId="0E07FB61" w14:textId="77777777" w:rsidR="00EE5746" w:rsidRDefault="00EE5746" w:rsidP="00EE5746">
      <w:pPr>
        <w:pStyle w:val="NormalWeb"/>
      </w:pPr>
      <w:r>
        <w:t xml:space="preserve">Eu, </w:t>
      </w:r>
      <w:r>
        <w:rPr>
          <w:b/>
          <w:bCs/>
        </w:rPr>
        <w:t>REGINALDO DONIZETI FOGAÇA</w:t>
      </w:r>
      <w:r>
        <w:t xml:space="preserve">, MOTORISTA DE ÔNIBUS, Brasileiro, portador do RG sob n.º 42.275.356-7 SSP/SP, inscrito no Cadastro de Pessoas Físicas sob o n.º 372.632.238-80, residente e domiciliado na RUA MODESTO CERIONI, Nº 121, VILA BRASILINA, ALUMÍNIO-SP, CEP: 18126-142, atuando neste ato como representante legal de meu filho menor </w:t>
      </w:r>
      <w:r>
        <w:rPr>
          <w:b/>
          <w:bCs/>
        </w:rPr>
        <w:t>MURILO PINHEIRO FOGAÇA</w:t>
      </w:r>
      <w:r>
        <w:t>;</w:t>
      </w:r>
    </w:p>
    <w:p w14:paraId="634383EA" w14:textId="77777777" w:rsidR="00EE5746" w:rsidRDefault="00EE5746" w:rsidP="00EE5746">
      <w:pPr>
        <w:pStyle w:val="NormalWeb"/>
      </w:pPr>
      <w:r>
        <w:rPr>
          <w:b/>
          <w:bCs/>
        </w:rPr>
        <w:t>DECLARO</w:t>
      </w:r>
      <w:r>
        <w:t xml:space="preserve">, para os fins de obtenção de assistência Judiciária Gratuita, nos termos da Lei n. 1.060/50 e do art. 98 do CPC/2015, que não possuo condições financeiras suficientes para arcar com as custas processuais, despesas e emolumentos necessários à tramitação da presente </w:t>
      </w:r>
      <w:r>
        <w:rPr>
          <w:b/>
          <w:bCs/>
        </w:rPr>
        <w:t>Ação de Obrigação de Fazer (Saúde)</w:t>
      </w:r>
      <w:r>
        <w:t xml:space="preserve"> sem prejuízo do meu sustento próprio e de minha família.</w:t>
      </w:r>
    </w:p>
    <w:p w14:paraId="30289362" w14:textId="77777777" w:rsidR="00EE5746" w:rsidRDefault="00EE5746" w:rsidP="00EE5746">
      <w:pPr>
        <w:pStyle w:val="NormalWeb"/>
      </w:pPr>
      <w:r>
        <w:t>Por ser a expressão da verdade, firmo a presente.</w:t>
      </w:r>
    </w:p>
    <w:p w14:paraId="1FAAD53E" w14:textId="77777777" w:rsidR="00EE5746" w:rsidRDefault="00EE5746" w:rsidP="00EE5746">
      <w:pPr>
        <w:pStyle w:val="NormalWeb"/>
      </w:pPr>
      <w:r>
        <w:t>Sorocaba - SP, 08 de Dezembro de 2025.</w:t>
      </w:r>
    </w:p>
    <w:p w14:paraId="20E45AC2" w14:textId="77777777" w:rsidR="003D7269" w:rsidRDefault="003D7269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737A8D27" w14:textId="77777777" w:rsidR="003D7269" w:rsidRDefault="003D7269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F8618B7" w14:textId="77777777" w:rsidR="003D7269" w:rsidRDefault="003D7269">
      <w:pPr>
        <w:rPr>
          <w:rFonts w:ascii="Bookman Old Style" w:eastAsia="Bookman Old Style" w:hAnsi="Bookman Old Style" w:cs="Bookman Old Style"/>
          <w:sz w:val="22"/>
          <w:szCs w:val="22"/>
        </w:rPr>
      </w:pPr>
    </w:p>
    <w:p w14:paraId="166EEE96" w14:textId="3043962C" w:rsidR="003D7269" w:rsidRDefault="00000000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______________________________</w:t>
      </w:r>
      <w:r w:rsidR="000F4933">
        <w:rPr>
          <w:rFonts w:ascii="Bookman Old Style" w:eastAsia="Bookman Old Style" w:hAnsi="Bookman Old Style" w:cs="Bookman Old Style"/>
          <w:sz w:val="22"/>
          <w:szCs w:val="22"/>
        </w:rPr>
        <w:t>______________</w:t>
      </w:r>
    </w:p>
    <w:p w14:paraId="38C3BC9F" w14:textId="77777777" w:rsidR="003D7269" w:rsidRDefault="003D7269">
      <w:pPr>
        <w:rPr>
          <w:rFonts w:ascii="Bookman Old Style" w:eastAsia="Bookman Old Style" w:hAnsi="Bookman Old Style" w:cs="Bookman Old Style"/>
          <w:sz w:val="22"/>
          <w:szCs w:val="22"/>
          <w:highlight w:val="yellow"/>
        </w:rPr>
      </w:pPr>
    </w:p>
    <w:p w14:paraId="4827E838" w14:textId="77777777" w:rsidR="003D7269" w:rsidRPr="000F4933" w:rsidRDefault="00000000">
      <w:pPr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 w:rsidRPr="000F4933">
        <w:rPr>
          <w:rFonts w:ascii="Bookman Old Style" w:eastAsia="Bookman Old Style" w:hAnsi="Bookman Old Style" w:cs="Bookman Old Style"/>
          <w:b/>
          <w:sz w:val="22"/>
          <w:szCs w:val="22"/>
        </w:rPr>
        <w:t>REGINALDO DONIZETI FOGAÇA</w:t>
      </w:r>
    </w:p>
    <w:p w14:paraId="3E04789F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4C944227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6EBABC90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0CE0DDD2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29AA7E5B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0CBE4453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7A4FE0C4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656EBD61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64642DF1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7243727B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208BC329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2CCAB3B8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775D59AE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53465F1F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4DBC0C4A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42305F87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54CDA66B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707631AE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015CE61D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4ECF5F3C" w14:textId="77777777" w:rsidR="008E1938" w:rsidRDefault="008E1938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376F51AA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449CB26F" w14:textId="77777777" w:rsidR="003D7269" w:rsidRDefault="003D7269">
      <w:pPr>
        <w:jc w:val="both"/>
        <w:rPr>
          <w:rFonts w:ascii="Bookman Old Style" w:eastAsia="Bookman Old Style" w:hAnsi="Bookman Old Style" w:cs="Bookman Old Style"/>
          <w:color w:val="000000"/>
          <w:sz w:val="22"/>
          <w:szCs w:val="22"/>
        </w:rPr>
      </w:pPr>
    </w:p>
    <w:p w14:paraId="7B07AF4B" w14:textId="77777777" w:rsidR="0035613F" w:rsidRPr="0035613F" w:rsidRDefault="0035613F" w:rsidP="0035613F">
      <w:pPr>
        <w:jc w:val="center"/>
        <w:rPr>
          <w:rFonts w:ascii="Bookman Old Style" w:eastAsia="Bookman Old Style" w:hAnsi="Bookman Old Style" w:cs="Bookman Old Style"/>
          <w:color w:val="000000"/>
          <w:sz w:val="22"/>
          <w:szCs w:val="22"/>
          <w:highlight w:val="yellow"/>
        </w:rPr>
      </w:pPr>
    </w:p>
    <w:p w14:paraId="30B306A1" w14:textId="190CC19F" w:rsidR="003D7269" w:rsidRPr="0031561B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  <w:b/>
          <w:bCs/>
        </w:rPr>
        <w:t>EXCELENTÍSSIMO(A) SENHOR(A) JUIZ(ÍZA) FEDERAL DA VARA DA SUBSEÇÃO JUDICIÁRIA DE SOROCABA – SEÇÃO JUDICIÁRIA DE SÃO PAULO.</w:t>
      </w:r>
    </w:p>
    <w:p w14:paraId="10763899" w14:textId="44791D47" w:rsidR="003D7269" w:rsidRPr="0031561B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  <w:i/>
          <w:iCs/>
        </w:rPr>
        <w:t>TRAMITAÇÃO PRIORITÁRIA – DOENÇA GRAVE E MENOR DE IDADE (ECA)</w:t>
      </w:r>
      <w:r w:rsidRPr="00DD0F9F">
        <w:rPr>
          <w:rFonts w:ascii="Times New Roman" w:eastAsia="Times New Roman" w:hAnsi="Times New Roman" w:cs="Times New Roman"/>
        </w:rPr>
        <w:t xml:space="preserve"> </w:t>
      </w:r>
      <w:r w:rsidRPr="00DD0F9F">
        <w:rPr>
          <w:rFonts w:ascii="Times New Roman" w:eastAsia="Times New Roman" w:hAnsi="Times New Roman" w:cs="Times New Roman"/>
          <w:i/>
          <w:iCs/>
        </w:rPr>
        <w:t>PEDIDO DE TUTELA DE URGÊNCIA</w:t>
      </w:r>
    </w:p>
    <w:p w14:paraId="3C25D7C1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  <w:b/>
          <w:bCs/>
        </w:rPr>
        <w:t>MURILO PINHEIRO FOGAÇA</w:t>
      </w:r>
      <w:r w:rsidRPr="00DD0F9F">
        <w:rPr>
          <w:rFonts w:ascii="Times New Roman" w:eastAsia="Times New Roman" w:hAnsi="Times New Roman" w:cs="Times New Roman"/>
        </w:rPr>
        <w:t xml:space="preserve">, menor impúbere, nascido em 22/08/2021 , neste ato representado por seu genitor </w:t>
      </w:r>
      <w:r w:rsidRPr="00DD0F9F">
        <w:rPr>
          <w:rFonts w:ascii="Times New Roman" w:eastAsia="Times New Roman" w:hAnsi="Times New Roman" w:cs="Times New Roman"/>
          <w:b/>
          <w:bCs/>
        </w:rPr>
        <w:t>REGINALDO DONIZETI FOGAÇA</w:t>
      </w:r>
      <w:r w:rsidRPr="00DD0F9F">
        <w:rPr>
          <w:rFonts w:ascii="Times New Roman" w:eastAsia="Times New Roman" w:hAnsi="Times New Roman" w:cs="Times New Roman"/>
        </w:rPr>
        <w:t>, brasileiro, motorista de ônibus , portador do RG nº 42.275.356-7 SSP/SP e do CPF nº 372.632.238-80 , residente e domiciliado na Rua Modesto Cerioni, nº 121, Vila Brasilina, Alumínio/SP, CEP: 18.126-142, por intermédio de seu advogado infra-assinado, vem, respeitosamente, à presença de Vossa Excelência, propor a presente</w:t>
      </w:r>
    </w:p>
    <w:p w14:paraId="12D2EDFE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  <w:b/>
          <w:bCs/>
        </w:rPr>
        <w:t>AÇÃO DE OBRIGAÇÃO DE FAZER COM PEDIDO DE TUTELA DE URGÊNCIA ANTECIPADA</w:t>
      </w:r>
    </w:p>
    <w:p w14:paraId="4100EBCF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 xml:space="preserve">em face da </w:t>
      </w:r>
      <w:r w:rsidRPr="00DD0F9F">
        <w:rPr>
          <w:rFonts w:ascii="Times New Roman" w:eastAsia="Times New Roman" w:hAnsi="Times New Roman" w:cs="Times New Roman"/>
          <w:b/>
          <w:bCs/>
        </w:rPr>
        <w:t>UNIÃO FEDERAL</w:t>
      </w:r>
      <w:r w:rsidRPr="00DD0F9F">
        <w:rPr>
          <w:rFonts w:ascii="Times New Roman" w:eastAsia="Times New Roman" w:hAnsi="Times New Roman" w:cs="Times New Roman"/>
        </w:rPr>
        <w:t xml:space="preserve">, pessoa jurídica de direito público interno, a ser citada na pessoa de seu representante legal da Advocacia Geral da União (AGU); e do </w:t>
      </w:r>
      <w:r w:rsidRPr="00DD0F9F">
        <w:rPr>
          <w:rFonts w:ascii="Times New Roman" w:eastAsia="Times New Roman" w:hAnsi="Times New Roman" w:cs="Times New Roman"/>
          <w:b/>
          <w:bCs/>
        </w:rPr>
        <w:t>ESTADO DE SÃO PAULO</w:t>
      </w:r>
      <w:r w:rsidRPr="00DD0F9F">
        <w:rPr>
          <w:rFonts w:ascii="Times New Roman" w:eastAsia="Times New Roman" w:hAnsi="Times New Roman" w:cs="Times New Roman"/>
        </w:rPr>
        <w:t>, pessoa jurídica de direito público interno, a ser citado na pessoa do Procurador Geral do Estado, pelos motivos de fato e de direito a seguir aduzidos:</w:t>
      </w:r>
    </w:p>
    <w:p w14:paraId="7CD811D8" w14:textId="77777777" w:rsidR="003D7269" w:rsidRDefault="00000000">
      <w:pPr>
        <w:spacing w:before="280" w:after="280" w:line="360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DA JUSTIÇA GRATUITA</w:t>
      </w:r>
    </w:p>
    <w:p w14:paraId="08317B0A" w14:textId="77777777" w:rsidR="003D7269" w:rsidRDefault="00000000">
      <w:pPr>
        <w:spacing w:before="280" w:after="280" w:line="360" w:lineRule="auto"/>
        <w:ind w:firstLine="4253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A parte requerente pleiteia, de início, os benefícios da Justiça Gratuita, por ser pobre na forma da Lei, não podendo arcar com as custas e despesas do processo sem prejuízo do sustento próprio e de sua família, conforme o disposto no art. 98 do CPC.</w:t>
      </w:r>
    </w:p>
    <w:p w14:paraId="6D49F3F0" w14:textId="77777777" w:rsidR="003D7269" w:rsidRDefault="00000000">
      <w:pPr>
        <w:spacing w:before="280" w:after="280" w:line="360" w:lineRule="auto"/>
        <w:jc w:val="both"/>
        <w:rPr>
          <w:rFonts w:ascii="Bookman Old Style" w:eastAsia="Bookman Old Style" w:hAnsi="Bookman Old Style" w:cs="Bookman Old Style"/>
          <w:b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4 anos, portador de Doença de Tay-Sachs (forma juvenil - CID-10 G60.0),</w:t>
      </w:r>
    </w:p>
    <w:p w14:paraId="214C1A9F" w14:textId="77777777" w:rsidR="0031561B" w:rsidRPr="00DD0F9F" w:rsidRDefault="0031561B" w:rsidP="003156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F9F">
        <w:rPr>
          <w:rFonts w:ascii="Times New Roman" w:eastAsia="Times New Roman" w:hAnsi="Times New Roman" w:cs="Times New Roman"/>
          <w:b/>
          <w:bCs/>
          <w:sz w:val="27"/>
          <w:szCs w:val="27"/>
        </w:rPr>
        <w:t>I. DOS FATOS E DO QUADRO CLÍNICO</w:t>
      </w:r>
    </w:p>
    <w:p w14:paraId="60CD5E95" w14:textId="77777777" w:rsidR="00273BD3" w:rsidRDefault="00273BD3" w:rsidP="00273BD3">
      <w:pPr>
        <w:pStyle w:val="NormalWeb"/>
      </w:pPr>
      <w:r>
        <w:t xml:space="preserve">O Autor, </w:t>
      </w:r>
      <w:r>
        <w:rPr>
          <w:b/>
          <w:bCs/>
        </w:rPr>
        <w:t>MURILO PINHEIRO FOGAÇA</w:t>
      </w:r>
      <w:r>
        <w:t xml:space="preserve">, conta atualmente com apenas 4 (quatro) anos de idade e é portador de </w:t>
      </w:r>
      <w:r>
        <w:rPr>
          <w:b/>
          <w:bCs/>
        </w:rPr>
        <w:t>Doença de Tay-Sachs (Forma Juvenil – CID-10 G60.0)</w:t>
      </w:r>
      <w:r>
        <w:t>, uma enfermidade neurodegenerativa, genética, progressiva e extremamente grave.</w:t>
      </w:r>
    </w:p>
    <w:p w14:paraId="41B26BDF" w14:textId="77777777" w:rsidR="00273BD3" w:rsidRDefault="00273BD3" w:rsidP="00273BD3">
      <w:pPr>
        <w:pStyle w:val="NormalWeb"/>
      </w:pPr>
      <w:r>
        <w:t xml:space="preserve">O quadro clínico é dramático, cursando com </w:t>
      </w:r>
      <w:r>
        <w:rPr>
          <w:b/>
          <w:bCs/>
        </w:rPr>
        <w:t>Epilepsia Refratária (CID-10 G40.9)</w:t>
      </w:r>
      <w:r>
        <w:t xml:space="preserve"> e </w:t>
      </w:r>
      <w:r>
        <w:rPr>
          <w:b/>
          <w:bCs/>
        </w:rPr>
        <w:t>Espasmos Musculares (CID-10 R25.2)</w:t>
      </w:r>
      <w:r>
        <w:t xml:space="preserve"> de difícil controle. O paciente apresenta ainda desnutrição e disfagia.</w:t>
      </w:r>
    </w:p>
    <w:p w14:paraId="74E13083" w14:textId="77777777" w:rsidR="00273BD3" w:rsidRDefault="00273BD3" w:rsidP="00273BD3">
      <w:pPr>
        <w:pStyle w:val="NormalWeb"/>
      </w:pPr>
      <w:r>
        <w:rPr>
          <w:b/>
          <w:bCs/>
        </w:rPr>
        <w:lastRenderedPageBreak/>
        <w:t>1. Da Medicina de Precisão (Teste Genético) e a Contraindicação do THC</w:t>
      </w:r>
      <w:r>
        <w:t xml:space="preserve"> Diferentemente de casos comuns, a prescrição médica do Autor </w:t>
      </w:r>
      <w:r>
        <w:rPr>
          <w:b/>
          <w:bCs/>
        </w:rPr>
        <w:t>não é baseada em tentativa e erro</w:t>
      </w:r>
      <w:r>
        <w:t xml:space="preserve">, mas sim em </w:t>
      </w:r>
      <w:r>
        <w:rPr>
          <w:b/>
          <w:bCs/>
        </w:rPr>
        <w:t>Medicina de Precisão</w:t>
      </w:r>
      <w:r>
        <w:t>. O Autor foi submetido a um exame de mapeamento genético farmacológico (</w:t>
      </w:r>
      <w:r>
        <w:rPr>
          <w:i/>
          <w:iCs/>
        </w:rPr>
        <w:t>MyCannabisGenes Extended</w:t>
      </w:r>
      <w:r>
        <w:t>), realizado pelo laboratório Microecologia Medicina Diagnóstica.</w:t>
      </w:r>
    </w:p>
    <w:p w14:paraId="7E0EFE02" w14:textId="77777777" w:rsidR="00273BD3" w:rsidRDefault="00273BD3" w:rsidP="00273BD3">
      <w:pPr>
        <w:pStyle w:val="NormalWeb"/>
      </w:pPr>
      <w:r>
        <w:rPr>
          <w:rStyle w:val="citation-119"/>
          <w:rFonts w:eastAsiaTheme="majorEastAsia"/>
        </w:rPr>
        <w:t xml:space="preserve">O laudo genético (doc. anexo) comprovou cientificamente que o corpo do Autor possui variantes específicas no </w:t>
      </w:r>
      <w:r>
        <w:rPr>
          <w:rStyle w:val="citation-119"/>
          <w:rFonts w:eastAsiaTheme="majorEastAsia"/>
          <w:b/>
          <w:bCs/>
        </w:rPr>
        <w:t>Gene CNR1</w:t>
      </w:r>
      <w:r>
        <w:rPr>
          <w:rStyle w:val="citation-119"/>
          <w:rFonts w:eastAsiaTheme="majorEastAsia"/>
        </w:rPr>
        <w:t xml:space="preserve">, que o tornam biologicamente suscetível a efeitos adversos graves como </w:t>
      </w:r>
      <w:r>
        <w:rPr>
          <w:rStyle w:val="citation-119"/>
          <w:rFonts w:eastAsiaTheme="majorEastAsia"/>
          <w:b/>
          <w:bCs/>
        </w:rPr>
        <w:t>"irritabilidade e hostilidade"</w:t>
      </w:r>
      <w:r>
        <w:rPr>
          <w:rStyle w:val="citation-119"/>
          <w:rFonts w:eastAsiaTheme="majorEastAsia"/>
        </w:rPr>
        <w:t xml:space="preserve"> quando exposto ao THC (Tetrahidrocanabinol)</w:t>
      </w:r>
      <w:r>
        <w:t>.</w:t>
      </w:r>
    </w:p>
    <w:p w14:paraId="20338CA3" w14:textId="77777777" w:rsidR="00273BD3" w:rsidRDefault="00273BD3" w:rsidP="00273BD3">
      <w:pPr>
        <w:pStyle w:val="NormalWeb"/>
      </w:pPr>
      <w:r>
        <w:t xml:space="preserve">Isso explica porque, em tentativa anterior com óleo "Full Spectrum" (comum no SUS e associações), o paciente teve uma </w:t>
      </w:r>
      <w:r>
        <w:rPr>
          <w:b/>
          <w:bCs/>
        </w:rPr>
        <w:t>"piora paradoxal"</w:t>
      </w:r>
      <w:r>
        <w:t xml:space="preserve"> com aumento dos espasmos. Ou seja: </w:t>
      </w:r>
      <w:r>
        <w:rPr>
          <w:b/>
          <w:bCs/>
        </w:rPr>
        <w:t>o DNA do paciente rejeita o THC.</w:t>
      </w:r>
    </w:p>
    <w:p w14:paraId="74A71111" w14:textId="77777777" w:rsidR="00273BD3" w:rsidRDefault="00273BD3" w:rsidP="00273BD3">
      <w:pPr>
        <w:pStyle w:val="NormalWeb"/>
      </w:pPr>
      <w:r>
        <w:rPr>
          <w:b/>
          <w:bCs/>
        </w:rPr>
        <w:t>2. Da Sobrecarga Hepática Comprovada</w:t>
      </w:r>
      <w:r>
        <w:t xml:space="preserve"> </w:t>
      </w:r>
      <w:r>
        <w:rPr>
          <w:rStyle w:val="citation-118"/>
          <w:rFonts w:eastAsiaTheme="majorEastAsia"/>
        </w:rPr>
        <w:t xml:space="preserve">Ademais, os exames laboratoriais recentes (junho/2025) demonstram que o fígado da criança já se encontra em sofrimento, apresentando </w:t>
      </w:r>
      <w:r>
        <w:rPr>
          <w:rStyle w:val="citation-118"/>
          <w:rFonts w:eastAsiaTheme="majorEastAsia"/>
          <w:b/>
          <w:bCs/>
        </w:rPr>
        <w:t>TGO (83 U/L)</w:t>
      </w:r>
      <w:r>
        <w:rPr>
          <w:rStyle w:val="citation-118"/>
          <w:rFonts w:eastAsiaTheme="majorEastAsia"/>
        </w:rPr>
        <w:t xml:space="preserve"> e </w:t>
      </w:r>
      <w:r>
        <w:rPr>
          <w:rStyle w:val="citation-118"/>
          <w:rFonts w:eastAsiaTheme="majorEastAsia"/>
          <w:b/>
          <w:bCs/>
        </w:rPr>
        <w:t>TGP (54 U/L)</w:t>
      </w:r>
      <w:r>
        <w:rPr>
          <w:rStyle w:val="citation-118"/>
          <w:rFonts w:eastAsiaTheme="majorEastAsia"/>
        </w:rPr>
        <w:t xml:space="preserve"> elevados, muito acima dos valores de referência</w:t>
      </w:r>
      <w:r>
        <w:t>.</w:t>
      </w:r>
    </w:p>
    <w:p w14:paraId="4846C0CC" w14:textId="77777777" w:rsidR="00273BD3" w:rsidRDefault="00273BD3" w:rsidP="00273BD3">
      <w:pPr>
        <w:pStyle w:val="NormalWeb"/>
      </w:pPr>
      <w:r>
        <w:t xml:space="preserve">Diante disso, o médico assistente, Dr. Hugo Jaime Rodriguez Alvarez (CRM/SP 223.226), fundamentou no Laudo Médico que a escolha da marca </w:t>
      </w:r>
      <w:r>
        <w:rPr>
          <w:b/>
          <w:bCs/>
        </w:rPr>
        <w:t>USA HEMP (Isolado e CBG)</w:t>
      </w:r>
      <w:r>
        <w:t xml:space="preserve"> é técnica e vinculada ao resultado do teste genético, visando a pureza absoluta e a ausência de THC para proteger a neurologia e o fígado da criança.</w:t>
      </w:r>
    </w:p>
    <w:p w14:paraId="5D5F2341" w14:textId="77777777" w:rsidR="00273BD3" w:rsidRDefault="00273BD3" w:rsidP="00273BD3">
      <w:pPr>
        <w:pStyle w:val="NormalWeb"/>
      </w:pPr>
      <w:r>
        <w:rPr>
          <w:rStyle w:val="citation-117"/>
          <w:rFonts w:eastAsiaTheme="majorEastAsia"/>
        </w:rPr>
        <w:t xml:space="preserve">O médico foi categórico ao afirmar em laudo: </w:t>
      </w:r>
      <w:r>
        <w:rPr>
          <w:rStyle w:val="citation-117"/>
          <w:rFonts w:eastAsiaTheme="majorEastAsia"/>
          <w:i/>
          <w:iCs/>
        </w:rPr>
        <w:t>"O médico não se responsabiliza por alterações ou substituições deste produto, visto que a escolha foi feita com base em evidências científicas e personalizadas"</w:t>
      </w:r>
      <w:r>
        <w:t>.</w:t>
      </w:r>
    </w:p>
    <w:p w14:paraId="25D869F4" w14:textId="77777777" w:rsidR="00273BD3" w:rsidRDefault="00273BD3" w:rsidP="00273BD3">
      <w:pPr>
        <w:pStyle w:val="NormalWeb"/>
        <w:rPr>
          <w:b/>
          <w:bCs/>
        </w:rPr>
      </w:pPr>
      <w:r>
        <w:t xml:space="preserve">Portanto, fornecer "qualquer óleo" ou um produto artesanal nacional com traços de THC não é tratar o paciente, é </w:t>
      </w:r>
      <w:r>
        <w:rPr>
          <w:b/>
          <w:bCs/>
        </w:rPr>
        <w:t>ignorar sua biologia genética e colocá-lo em risco de vida.</w:t>
      </w:r>
    </w:p>
    <w:p w14:paraId="3AB0A681" w14:textId="77777777" w:rsidR="0000732C" w:rsidRDefault="0000732C" w:rsidP="0000732C">
      <w:pPr>
        <w:pStyle w:val="NormalWeb"/>
      </w:pPr>
      <w:r>
        <w:t xml:space="preserve">"Diante da gravidade do quadro e da necessidade de uso contínuo e prolongado para uma doença crônica neurodegenerativa, a equipe médica prescreveu o tratamento para o ciclo de </w:t>
      </w:r>
      <w:r>
        <w:rPr>
          <w:b/>
          <w:bCs/>
        </w:rPr>
        <w:t>24 (vinte e quatro) meses</w:t>
      </w:r>
      <w:r>
        <w:t>, visando garantir a segurança terapêutica e evitar interrupções que poderiam levar ao 'status epilepticus'.</w:t>
      </w:r>
    </w:p>
    <w:p w14:paraId="25F07536" w14:textId="77777777" w:rsidR="0000732C" w:rsidRDefault="0000732C" w:rsidP="0000732C">
      <w:pPr>
        <w:pStyle w:val="NormalWeb"/>
      </w:pPr>
      <w:r>
        <w:t>A prescrição médica atualizada (doc. anexo) solicita expressamente:</w:t>
      </w:r>
    </w:p>
    <w:p w14:paraId="14CD63FF" w14:textId="77777777" w:rsidR="0000732C" w:rsidRDefault="0000732C" w:rsidP="0000732C">
      <w:pPr>
        <w:pStyle w:val="NormalWeb"/>
        <w:numPr>
          <w:ilvl w:val="0"/>
          <w:numId w:val="15"/>
        </w:numPr>
      </w:pPr>
      <w:r>
        <w:rPr>
          <w:b/>
          <w:bCs/>
        </w:rPr>
        <w:t>72 (setenta e dois) frascos</w:t>
      </w:r>
      <w:r>
        <w:t xml:space="preserve"> de </w:t>
      </w:r>
      <w:r>
        <w:rPr>
          <w:b/>
          <w:bCs/>
        </w:rPr>
        <w:t>3000mg CBD Isolate USA HEMP (30mL)</w:t>
      </w:r>
      <w:r>
        <w:t>;</w:t>
      </w:r>
    </w:p>
    <w:p w14:paraId="2681FD23" w14:textId="77777777" w:rsidR="0000732C" w:rsidRDefault="0000732C" w:rsidP="0000732C">
      <w:pPr>
        <w:pStyle w:val="NormalWeb"/>
        <w:numPr>
          <w:ilvl w:val="0"/>
          <w:numId w:val="15"/>
        </w:numPr>
      </w:pPr>
      <w:r>
        <w:rPr>
          <w:b/>
          <w:bCs/>
        </w:rPr>
        <w:t>72 (setenta e dois) frascos</w:t>
      </w:r>
      <w:r>
        <w:t xml:space="preserve"> de </w:t>
      </w:r>
      <w:r>
        <w:rPr>
          <w:b/>
          <w:bCs/>
        </w:rPr>
        <w:t>3000mg CBG Tincture USA HEMP (30mL)</w:t>
      </w:r>
      <w:r>
        <w:t>.</w:t>
      </w:r>
    </w:p>
    <w:p w14:paraId="63D8F6D6" w14:textId="77777777" w:rsidR="0000732C" w:rsidRDefault="0000732C" w:rsidP="0000732C">
      <w:pPr>
        <w:pStyle w:val="NormalWeb"/>
      </w:pPr>
      <w:r>
        <w:t>Essa quantidade (3 frascos/mês de cada óleo) justifica-se pela necessidade de altas dosagens para controle de epilepsia refratária e pela margem de segurança para titulação (aumento de dose) prevista na evolução da doença, conforme detalhado no receituário médico."</w:t>
      </w:r>
    </w:p>
    <w:p w14:paraId="4D69DDE5" w14:textId="77777777" w:rsidR="0000732C" w:rsidRDefault="0000732C" w:rsidP="00273BD3">
      <w:pPr>
        <w:pStyle w:val="NormalWeb"/>
      </w:pPr>
    </w:p>
    <w:p w14:paraId="5B0CF7C0" w14:textId="77777777" w:rsidR="0031561B" w:rsidRPr="00DD0F9F" w:rsidRDefault="0031561B" w:rsidP="003156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F9F">
        <w:rPr>
          <w:rFonts w:ascii="Times New Roman" w:eastAsia="Times New Roman" w:hAnsi="Times New Roman" w:cs="Times New Roman"/>
          <w:b/>
          <w:bCs/>
          <w:sz w:val="27"/>
          <w:szCs w:val="27"/>
        </w:rPr>
        <w:t>II. DO DIREITO</w:t>
      </w:r>
    </w:p>
    <w:p w14:paraId="1039D67D" w14:textId="77777777" w:rsidR="00273BD3" w:rsidRPr="00273BD3" w:rsidRDefault="00273BD3" w:rsidP="00273BD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73BD3">
        <w:rPr>
          <w:rFonts w:ascii="Times New Roman" w:eastAsia="Times New Roman" w:hAnsi="Times New Roman" w:cs="Times New Roman"/>
          <w:b/>
          <w:bCs/>
        </w:rPr>
        <w:t>A) Da Imprescindibilidade Técnica (DNA Único) – Distinguishing do Tema 106 STJ</w:t>
      </w:r>
    </w:p>
    <w:p w14:paraId="15E623D3" w14:textId="77777777" w:rsidR="00273BD3" w:rsidRPr="00273BD3" w:rsidRDefault="00273BD3" w:rsidP="00273B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BD3">
        <w:rPr>
          <w:rFonts w:ascii="Times New Roman" w:eastAsia="Times New Roman" w:hAnsi="Times New Roman" w:cs="Times New Roman"/>
        </w:rPr>
        <w:t xml:space="preserve">O caso em tela supera os requisitos do Tema 106 do STJ pela prova científica irrefutável. A "imprescindibilidade" do medicamento importado </w:t>
      </w:r>
      <w:r w:rsidRPr="00273BD3">
        <w:rPr>
          <w:rFonts w:ascii="Times New Roman" w:eastAsia="Times New Roman" w:hAnsi="Times New Roman" w:cs="Times New Roman"/>
          <w:b/>
          <w:bCs/>
        </w:rPr>
        <w:t>USA HEMP</w:t>
      </w:r>
      <w:r w:rsidRPr="00273BD3">
        <w:rPr>
          <w:rFonts w:ascii="Times New Roman" w:eastAsia="Times New Roman" w:hAnsi="Times New Roman" w:cs="Times New Roman"/>
        </w:rPr>
        <w:t xml:space="preserve"> não decorre de preferência de marca, mas de </w:t>
      </w:r>
      <w:r w:rsidRPr="00273BD3">
        <w:rPr>
          <w:rFonts w:ascii="Times New Roman" w:eastAsia="Times New Roman" w:hAnsi="Times New Roman" w:cs="Times New Roman"/>
          <w:b/>
          <w:bCs/>
        </w:rPr>
        <w:t>necessidade biológica comprovada por Teste Genético</w:t>
      </w:r>
      <w:r w:rsidRPr="00273BD3">
        <w:rPr>
          <w:rFonts w:ascii="Times New Roman" w:eastAsia="Times New Roman" w:hAnsi="Times New Roman" w:cs="Times New Roman"/>
        </w:rPr>
        <w:t>.</w:t>
      </w:r>
    </w:p>
    <w:p w14:paraId="38F901C9" w14:textId="77777777" w:rsidR="00273BD3" w:rsidRPr="00273BD3" w:rsidRDefault="00273BD3" w:rsidP="00273B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BD3">
        <w:rPr>
          <w:rFonts w:ascii="Times New Roman" w:eastAsia="Times New Roman" w:hAnsi="Times New Roman" w:cs="Times New Roman"/>
        </w:rPr>
        <w:t xml:space="preserve">O Estado não pode obrigar o paciente a utilizar fármacos padronizados do SUS (ou de associações nacionais conveniadas) quando o </w:t>
      </w:r>
      <w:r w:rsidRPr="00273BD3">
        <w:rPr>
          <w:rFonts w:ascii="Times New Roman" w:eastAsia="Times New Roman" w:hAnsi="Times New Roman" w:cs="Times New Roman"/>
          <w:b/>
          <w:bCs/>
        </w:rPr>
        <w:t>Mapeamento Genético</w:t>
      </w:r>
      <w:r w:rsidRPr="00273BD3">
        <w:rPr>
          <w:rFonts w:ascii="Times New Roman" w:eastAsia="Times New Roman" w:hAnsi="Times New Roman" w:cs="Times New Roman"/>
        </w:rPr>
        <w:t xml:space="preserve"> do paciente comprova que as formulações padrão (contendo THC ou impurezas) lhe causam reações adversas e piora neurológica (Gene CNR1).</w:t>
      </w:r>
    </w:p>
    <w:p w14:paraId="43C65556" w14:textId="77777777" w:rsidR="00273BD3" w:rsidRDefault="00273BD3" w:rsidP="00273B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73BD3">
        <w:rPr>
          <w:rFonts w:ascii="Times New Roman" w:eastAsia="Times New Roman" w:hAnsi="Times New Roman" w:cs="Times New Roman"/>
        </w:rPr>
        <w:t xml:space="preserve">Trocar a medicação prescrita (USA HEMP) por outra desconhecida seria agir contra a </w:t>
      </w:r>
      <w:r w:rsidRPr="00273BD3">
        <w:rPr>
          <w:rFonts w:ascii="Times New Roman" w:eastAsia="Times New Roman" w:hAnsi="Times New Roman" w:cs="Times New Roman"/>
          <w:b/>
          <w:bCs/>
        </w:rPr>
        <w:t>Medicina Baseada em Evidências</w:t>
      </w:r>
      <w:r w:rsidRPr="00273BD3">
        <w:rPr>
          <w:rFonts w:ascii="Times New Roman" w:eastAsia="Times New Roman" w:hAnsi="Times New Roman" w:cs="Times New Roman"/>
        </w:rPr>
        <w:t>, violando a dignidade da pessoa humana e a segurança sanitária do paciente, cujo fígado já apresenta sinais de toxicidade (TGO/TGP alterados), necessitando da pureza farmacêutica garantida pelo produto importado.</w:t>
      </w:r>
    </w:p>
    <w:p w14:paraId="39F7B73B" w14:textId="77777777" w:rsidR="00AD35C0" w:rsidRPr="00AD35C0" w:rsidRDefault="00AD35C0" w:rsidP="00AD35C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AD35C0">
        <w:rPr>
          <w:rFonts w:ascii="Times New Roman" w:eastAsia="Times New Roman" w:hAnsi="Times New Roman" w:cs="Times New Roman"/>
          <w:b/>
          <w:bCs/>
        </w:rPr>
        <w:t>B) Da Obrigatoriedade por Lei Estadual e a Inadequação do Padrão SUS (Distinguishing)</w:t>
      </w:r>
    </w:p>
    <w:p w14:paraId="6F3D35C9" w14:textId="77777777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 xml:space="preserve">Cumpre destacar que o Estado de São Paulo sancionou a </w:t>
      </w:r>
      <w:r w:rsidRPr="00AD35C0">
        <w:rPr>
          <w:rFonts w:ascii="Times New Roman" w:eastAsia="Times New Roman" w:hAnsi="Times New Roman" w:cs="Times New Roman"/>
          <w:b/>
          <w:bCs/>
        </w:rPr>
        <w:t>Lei Estadual nº 17.618/2023</w:t>
      </w:r>
      <w:r w:rsidRPr="00AD35C0">
        <w:rPr>
          <w:rFonts w:ascii="Times New Roman" w:eastAsia="Times New Roman" w:hAnsi="Times New Roman" w:cs="Times New Roman"/>
        </w:rPr>
        <w:t>, que institui a Política Estadual de Fornecimento Gratuito de Medicamentos à base de Canabidiol. Ou seja, o próprio Réu reconhece legalmente a eficácia e a obrigatoriedade de fornecer esse tipo de fármaco.</w:t>
      </w:r>
    </w:p>
    <w:p w14:paraId="1A455AAE" w14:textId="77777777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 xml:space="preserve">Contudo, no caso específico do Autor, </w:t>
      </w:r>
      <w:r w:rsidRPr="00AD35C0">
        <w:rPr>
          <w:rFonts w:ascii="Times New Roman" w:eastAsia="Times New Roman" w:hAnsi="Times New Roman" w:cs="Times New Roman"/>
          <w:b/>
          <w:bCs/>
        </w:rPr>
        <w:t>não se aplica o fornecimento de produtos padronizados ou genéricos eventualmente disponíveis na rede pública</w:t>
      </w:r>
      <w:r w:rsidRPr="00AD35C0">
        <w:rPr>
          <w:rFonts w:ascii="Times New Roman" w:eastAsia="Times New Roman" w:hAnsi="Times New Roman" w:cs="Times New Roman"/>
        </w:rPr>
        <w:t xml:space="preserve">. Conforme provado pelo </w:t>
      </w:r>
      <w:r w:rsidRPr="00AD35C0">
        <w:rPr>
          <w:rFonts w:ascii="Times New Roman" w:eastAsia="Times New Roman" w:hAnsi="Times New Roman" w:cs="Times New Roman"/>
          <w:b/>
          <w:bCs/>
        </w:rPr>
        <w:t>Laudo Genético (Gene CNR1)</w:t>
      </w:r>
      <w:r w:rsidRPr="00AD35C0">
        <w:rPr>
          <w:rFonts w:ascii="Times New Roman" w:eastAsia="Times New Roman" w:hAnsi="Times New Roman" w:cs="Times New Roman"/>
        </w:rPr>
        <w:t xml:space="preserve"> e pelos exames de função hepática anexos, o organismo do paciente possui intolerância biológica grave a formulações comuns (Full Spectrum ou com THC) e a excipientes presentes em outras marcas.</w:t>
      </w:r>
    </w:p>
    <w:p w14:paraId="3AAE24B2" w14:textId="19DA160C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 xml:space="preserve">Portanto, embora exista a política pública geral, a </w:t>
      </w:r>
      <w:r w:rsidRPr="00AD35C0">
        <w:rPr>
          <w:rFonts w:ascii="Times New Roman" w:eastAsia="Times New Roman" w:hAnsi="Times New Roman" w:cs="Times New Roman"/>
          <w:b/>
          <w:bCs/>
        </w:rPr>
        <w:t>obrigação do Estado neste caso é específica</w:t>
      </w:r>
      <w:r w:rsidRPr="00AD35C0">
        <w:rPr>
          <w:rFonts w:ascii="Times New Roman" w:eastAsia="Times New Roman" w:hAnsi="Times New Roman" w:cs="Times New Roman"/>
        </w:rPr>
        <w:t xml:space="preserve">: fornecer o medicamento importado </w:t>
      </w:r>
      <w:r w:rsidRPr="00AD35C0">
        <w:rPr>
          <w:rFonts w:ascii="Times New Roman" w:eastAsia="Times New Roman" w:hAnsi="Times New Roman" w:cs="Times New Roman"/>
          <w:b/>
          <w:bCs/>
        </w:rPr>
        <w:t>USA HEMP (Isolado)</w:t>
      </w:r>
      <w:r w:rsidRPr="00AD35C0">
        <w:rPr>
          <w:rFonts w:ascii="Times New Roman" w:eastAsia="Times New Roman" w:hAnsi="Times New Roman" w:cs="Times New Roman"/>
        </w:rPr>
        <w:t>, pois é o único compatível com a segurança genética do paciente. Fornecer o "padrão SUS" seria condenar o Autor a graves reações adversas já comprovadas clinicamente.</w:t>
      </w:r>
    </w:p>
    <w:p w14:paraId="45C2A0F2" w14:textId="77777777" w:rsidR="00AD35C0" w:rsidRPr="00AD35C0" w:rsidRDefault="00AD35C0" w:rsidP="00AD35C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AD35C0">
        <w:rPr>
          <w:rFonts w:ascii="Times New Roman" w:eastAsia="Times New Roman" w:hAnsi="Times New Roman" w:cs="Times New Roman"/>
          <w:b/>
          <w:bCs/>
        </w:rPr>
        <w:t>C) Da Prioridade Absoluta (Art. 227 da CF/88)</w:t>
      </w:r>
    </w:p>
    <w:p w14:paraId="56A54D69" w14:textId="77777777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lastRenderedPageBreak/>
        <w:t xml:space="preserve">Tratando-se de criança portadora de doença grave e deficiência, incide sobre o caso o princípio da </w:t>
      </w:r>
      <w:r w:rsidRPr="00AD35C0">
        <w:rPr>
          <w:rFonts w:ascii="Times New Roman" w:eastAsia="Times New Roman" w:hAnsi="Times New Roman" w:cs="Times New Roman"/>
          <w:b/>
          <w:bCs/>
        </w:rPr>
        <w:t>Prioridade Absoluta</w:t>
      </w:r>
      <w:r w:rsidRPr="00AD35C0">
        <w:rPr>
          <w:rFonts w:ascii="Times New Roman" w:eastAsia="Times New Roman" w:hAnsi="Times New Roman" w:cs="Times New Roman"/>
        </w:rPr>
        <w:t>, insculpido no art. 227 da Constituição Federal e no Estatuto da Criança e do Adolescente (ECA).</w:t>
      </w:r>
    </w:p>
    <w:p w14:paraId="1E97ABC2" w14:textId="77777777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 xml:space="preserve">O Supremo Tribunal Federal (STF) já pacificou que a alegação de "reserva do possível" ou falta de orçamento não pode ser oposta quando está em jogo o </w:t>
      </w:r>
      <w:r w:rsidRPr="00AD35C0">
        <w:rPr>
          <w:rFonts w:ascii="Times New Roman" w:eastAsia="Times New Roman" w:hAnsi="Times New Roman" w:cs="Times New Roman"/>
          <w:b/>
          <w:bCs/>
        </w:rPr>
        <w:t>mínimo existencial</w:t>
      </w:r>
      <w:r w:rsidRPr="00AD35C0">
        <w:rPr>
          <w:rFonts w:ascii="Times New Roman" w:eastAsia="Times New Roman" w:hAnsi="Times New Roman" w:cs="Times New Roman"/>
        </w:rPr>
        <w:t xml:space="preserve"> e a vida de uma criança. Submeter o menor Murilo à espera burocrática ou a tentativas com medicamentos ineficazes do SUS (que seu teste genético já comprovou serem nocivos) é violar sua dignidade e seu direito ao desenvolvimento saudável.</w:t>
      </w:r>
    </w:p>
    <w:p w14:paraId="3BA4F98F" w14:textId="77777777" w:rsidR="00AD35C0" w:rsidRPr="00AD35C0" w:rsidRDefault="00AD35C0" w:rsidP="00AD35C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AD35C0">
        <w:rPr>
          <w:rFonts w:ascii="Times New Roman" w:eastAsia="Times New Roman" w:hAnsi="Times New Roman" w:cs="Times New Roman"/>
          <w:b/>
          <w:bCs/>
        </w:rPr>
        <w:t>D) Da Soberania da Prescrição Médica (Autonomia Profissional)</w:t>
      </w:r>
    </w:p>
    <w:p w14:paraId="4306B2BF" w14:textId="77777777" w:rsidR="00AD35C0" w:rsidRPr="00AD35C0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 xml:space="preserve">O Conselho Federal de Medicina e o Código de Ética Médica estabelecem que cabe ao médico assistente determinar o melhor tratamento para seu paciente. No caso em tela, a escolha pelo óleo importado </w:t>
      </w:r>
      <w:r w:rsidRPr="00AD35C0">
        <w:rPr>
          <w:rFonts w:ascii="Times New Roman" w:eastAsia="Times New Roman" w:hAnsi="Times New Roman" w:cs="Times New Roman"/>
          <w:b/>
          <w:bCs/>
        </w:rPr>
        <w:t>USA HEMP</w:t>
      </w:r>
      <w:r w:rsidRPr="00AD35C0">
        <w:rPr>
          <w:rFonts w:ascii="Times New Roman" w:eastAsia="Times New Roman" w:hAnsi="Times New Roman" w:cs="Times New Roman"/>
        </w:rPr>
        <w:t xml:space="preserve"> não é estética, mas técnica, baseada em </w:t>
      </w:r>
      <w:r w:rsidRPr="00AD35C0">
        <w:rPr>
          <w:rFonts w:ascii="Times New Roman" w:eastAsia="Times New Roman" w:hAnsi="Times New Roman" w:cs="Times New Roman"/>
          <w:b/>
          <w:bCs/>
        </w:rPr>
        <w:t>Farmacogenética</w:t>
      </w:r>
      <w:r w:rsidRPr="00AD35C0">
        <w:rPr>
          <w:rFonts w:ascii="Times New Roman" w:eastAsia="Times New Roman" w:hAnsi="Times New Roman" w:cs="Times New Roman"/>
        </w:rPr>
        <w:t>.</w:t>
      </w:r>
    </w:p>
    <w:p w14:paraId="5C98849C" w14:textId="5E8C8600" w:rsidR="0031561B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D35C0">
        <w:rPr>
          <w:rFonts w:ascii="Times New Roman" w:eastAsia="Times New Roman" w:hAnsi="Times New Roman" w:cs="Times New Roman"/>
        </w:rPr>
        <w:t>O Judiciário ou o Estado não possuem competência técnica para intervir na prescrição e determinar a substituição por "marcas genéricas" ou óleos artesanais, sob pena de colocar em risco a vida do paciente, cujos exames laboratoriais já indicam sofrimento hepático com outras formulações .</w:t>
      </w:r>
    </w:p>
    <w:p w14:paraId="4FAF6DFB" w14:textId="77777777" w:rsidR="00AD35C0" w:rsidRPr="0031561B" w:rsidRDefault="00AD35C0" w:rsidP="00AD35C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576524D" w14:textId="61FFB7DB" w:rsidR="0031561B" w:rsidRPr="00277FC7" w:rsidRDefault="0031561B" w:rsidP="0031561B">
      <w:pPr>
        <w:pStyle w:val="Ttulo4"/>
        <w:ind w:left="720"/>
        <w:rPr>
          <w:rFonts w:ascii="Times New Roman" w:hAnsi="Times New Roman" w:cs="Times New Roman"/>
          <w:b/>
          <w:bCs/>
          <w:i w:val="0"/>
          <w:iCs/>
          <w:color w:val="auto"/>
        </w:rPr>
      </w:pPr>
      <w:r w:rsidRPr="00277FC7">
        <w:rPr>
          <w:rFonts w:ascii="Times New Roman" w:hAnsi="Times New Roman" w:cs="Times New Roman"/>
          <w:b/>
          <w:bCs/>
          <w:i w:val="0"/>
          <w:iCs/>
          <w:color w:val="auto"/>
        </w:rPr>
        <w:t>III- DA FLEXIBILIZAÇÃO DOS PEDIDOS E A NATUREZA DO TRATAMENTO (TITULAÇÃO)</w:t>
      </w:r>
    </w:p>
    <w:p w14:paraId="47401FF3" w14:textId="77777777" w:rsidR="0031561B" w:rsidRDefault="0031561B" w:rsidP="0031561B">
      <w:pPr>
        <w:pStyle w:val="NormalWeb"/>
        <w:ind w:left="720"/>
      </w:pPr>
      <w:r>
        <w:rPr>
          <w:rStyle w:val="citation-139"/>
          <w:rFonts w:eastAsiaTheme="majorEastAsia"/>
        </w:rPr>
        <w:t>As demandas judiciais em matéria de saúde envolvem prestações de natureza dinâmica, frequentemente sujeitas a modificações no curso da instrução processual, em razão da própria essência do bem jurídico tutelado: a vida e a saúde do paciente</w:t>
      </w:r>
      <w:r>
        <w:t>.</w:t>
      </w:r>
    </w:p>
    <w:p w14:paraId="02168E2A" w14:textId="77777777" w:rsidR="0031561B" w:rsidRDefault="0031561B" w:rsidP="0031561B">
      <w:pPr>
        <w:pStyle w:val="NormalWeb"/>
        <w:ind w:left="720"/>
      </w:pPr>
      <w:r>
        <w:t xml:space="preserve">No caso específico da </w:t>
      </w:r>
      <w:r>
        <w:rPr>
          <w:b/>
          <w:bCs/>
        </w:rPr>
        <w:t>Terapia Canabinoide</w:t>
      </w:r>
      <w:r>
        <w:t xml:space="preserve">, essa flexibilidade é ainda mais crucial devido à necessidade de </w:t>
      </w:r>
      <w:r>
        <w:rPr>
          <w:b/>
          <w:bCs/>
        </w:rPr>
        <w:t>"titulação"</w:t>
      </w:r>
      <w:r>
        <w:t xml:space="preserve"> (ajuste gradual da dosagem até encontrar o ponto terapêutico ideal) e ao fenômeno da tolerância biológica, já previsto no laudo genético do paciente. </w:t>
      </w:r>
      <w:r>
        <w:rPr>
          <w:rStyle w:val="citation-138"/>
          <w:rFonts w:eastAsiaTheme="majorEastAsia"/>
        </w:rPr>
        <w:t>Tratamentos clínicos são, por sua natureza, adaptáveis à evolução da resposta terapêutica, de modo que o pedido formulado na inicial deve comportar a necessária flexibilidade para acompanhar tais alterações</w:t>
      </w:r>
      <w:r>
        <w:t>.</w:t>
      </w:r>
    </w:p>
    <w:p w14:paraId="36588F6A" w14:textId="77777777" w:rsidR="0031561B" w:rsidRDefault="0031561B" w:rsidP="0031561B">
      <w:pPr>
        <w:pStyle w:val="NormalWeb"/>
        <w:ind w:left="720"/>
      </w:pPr>
      <w:r>
        <w:rPr>
          <w:rStyle w:val="citation-137"/>
          <w:rFonts w:eastAsiaTheme="majorEastAsia"/>
        </w:rPr>
        <w:t xml:space="preserve">A jurisprudência pátria, atenta a essa peculiaridade, tem admitido a </w:t>
      </w:r>
      <w:r>
        <w:rPr>
          <w:rStyle w:val="citation-137"/>
          <w:rFonts w:eastAsiaTheme="majorEastAsia"/>
          <w:b/>
          <w:bCs/>
        </w:rPr>
        <w:t>fungibilidade e a flexibilização</w:t>
      </w:r>
      <w:r>
        <w:rPr>
          <w:rStyle w:val="citation-137"/>
          <w:rFonts w:eastAsiaTheme="majorEastAsia"/>
        </w:rPr>
        <w:t xml:space="preserve"> dos pedidos formulados em ações dessa espécie, inclusive após a prolação da sentença, justamente pela fluidez característica dos tratamentos médicos</w:t>
      </w:r>
      <w:r>
        <w:t>.</w:t>
      </w:r>
    </w:p>
    <w:p w14:paraId="7E82AB26" w14:textId="77777777" w:rsidR="0031561B" w:rsidRDefault="0031561B" w:rsidP="0031561B">
      <w:pPr>
        <w:pStyle w:val="NormalWeb"/>
        <w:ind w:left="720"/>
      </w:pPr>
      <w:r>
        <w:t>Nesse sentido, o Superior Tribunal de Justiça firmou orientação clara:</w:t>
      </w:r>
    </w:p>
    <w:p w14:paraId="75ECD93F" w14:textId="77777777" w:rsidR="0031561B" w:rsidRDefault="0031561B" w:rsidP="00277FC7">
      <w:pPr>
        <w:pStyle w:val="NormalWeb"/>
        <w:ind w:left="3600"/>
      </w:pPr>
      <w:r>
        <w:lastRenderedPageBreak/>
        <w:t xml:space="preserve">"ADMINISTRATIVO. DIREITO À VIDA E À SAÚDE. FORNECIMENTO DE FÁRMACO. MUDANÇA DA PRESCRIÇÃO MÉDICA APÓS A SENTENÇA. POSSIBILIDADE. PRECEDENTES. 1. O Superior Tribunal de Justiça firmou a orientação no sentido de que a substituição ou complemento do fármaco inicialmente pleiteado, após a prolação da sentença, não configura inovação do pedido ou da causa de pedir, mas mera adequação ao tratamento para cura da enfermidade do paciente." (STJ, AgInt no REsp 1503430/SP) </w:t>
      </w:r>
    </w:p>
    <w:p w14:paraId="1A573D40" w14:textId="77777777" w:rsidR="0031561B" w:rsidRDefault="0031561B" w:rsidP="0031561B">
      <w:pPr>
        <w:pStyle w:val="NormalWeb"/>
        <w:ind w:left="720"/>
      </w:pPr>
      <w:r>
        <w:t xml:space="preserve">O </w:t>
      </w:r>
      <w:r>
        <w:rPr>
          <w:b/>
          <w:bCs/>
        </w:rPr>
        <w:t>Enunciado 95 da Jornada de Direito à Saúde do CNJ</w:t>
      </w:r>
      <w:r>
        <w:t xml:space="preserve"> também consagra essa possibilidade, ao prever que:</w:t>
      </w:r>
    </w:p>
    <w:p w14:paraId="1FD5815D" w14:textId="77777777" w:rsidR="0031561B" w:rsidRDefault="0031561B" w:rsidP="00277FC7">
      <w:pPr>
        <w:pStyle w:val="NormalWeb"/>
        <w:ind w:left="3600"/>
      </w:pPr>
      <w:r>
        <w:rPr>
          <w:rStyle w:val="citation-135"/>
          <w:rFonts w:eastAsiaTheme="majorEastAsia"/>
        </w:rPr>
        <w:t xml:space="preserve">“A alteração de dosagem, posologia, quantidade ou forma de apresentação de medicamento, produto ou insumo em relação ao postulado na inicial não implica ampliação dos limites objetivos da lide, aplicando-se a regra da fungibilidade.” </w:t>
      </w:r>
    </w:p>
    <w:p w14:paraId="5CD0A0B4" w14:textId="77777777" w:rsidR="0031561B" w:rsidRDefault="0031561B" w:rsidP="0031561B">
      <w:pPr>
        <w:pStyle w:val="NormalWeb"/>
        <w:ind w:left="720"/>
      </w:pPr>
      <w:r>
        <w:rPr>
          <w:rStyle w:val="citation-134"/>
          <w:rFonts w:eastAsiaTheme="majorEastAsia"/>
        </w:rPr>
        <w:t>Portanto, a apreciação e execução de pedidos em demandas de saúde comportam a necessária flexibilidade, seja pela eventual alteração de dosagens, substituição de fármaco inicialmente pleiteado ou acréscimo de outro medicamento e/ou tratamento</w:t>
      </w:r>
      <w:r>
        <w:t xml:space="preserve">. </w:t>
      </w:r>
      <w:r>
        <w:rPr>
          <w:rStyle w:val="citation-133"/>
          <w:rFonts w:eastAsiaTheme="majorEastAsia"/>
        </w:rPr>
        <w:t>Tudo, evidentemente, condicionado à apresentação de prescrição médica atualizada</w:t>
      </w:r>
      <w:r>
        <w:t>.</w:t>
      </w:r>
    </w:p>
    <w:p w14:paraId="02EA6AE1" w14:textId="73AFA6EB" w:rsidR="0031561B" w:rsidRDefault="0031561B" w:rsidP="00277FC7">
      <w:pPr>
        <w:pStyle w:val="NormalWeb"/>
        <w:ind w:left="720"/>
      </w:pPr>
      <w:r>
        <w:rPr>
          <w:rStyle w:val="citation-132"/>
          <w:rFonts w:eastAsiaTheme="majorEastAsia"/>
        </w:rPr>
        <w:t xml:space="preserve">Assim, desde já, requer-se que este Juízo reconheça a possibilidade de </w:t>
      </w:r>
      <w:r>
        <w:rPr>
          <w:rStyle w:val="citation-132"/>
          <w:rFonts w:eastAsiaTheme="majorEastAsia"/>
          <w:b/>
          <w:bCs/>
        </w:rPr>
        <w:t>fungibilidade e flexibilização do pedido inicial</w:t>
      </w:r>
      <w:r>
        <w:rPr>
          <w:rStyle w:val="citation-132"/>
          <w:rFonts w:eastAsiaTheme="majorEastAsia"/>
        </w:rPr>
        <w:t>, para abranger eventuais ajustes de posologia (aumento de frascos/doses) que se mostrarem indispensáveis ao tratamento do Autor</w:t>
      </w:r>
      <w:r>
        <w:t>, evitando-se a burocracia de novas demandas para meros ajustes posológicos típicos da Cannabis Medicinal.</w:t>
      </w:r>
    </w:p>
    <w:p w14:paraId="7ED83AB3" w14:textId="77777777" w:rsidR="00277FC7" w:rsidRDefault="00277FC7" w:rsidP="00277FC7">
      <w:pPr>
        <w:pStyle w:val="NormalWeb"/>
        <w:ind w:left="720"/>
      </w:pPr>
    </w:p>
    <w:p w14:paraId="3B7A296F" w14:textId="10223A33" w:rsidR="0031561B" w:rsidRPr="00277FC7" w:rsidRDefault="00277FC7" w:rsidP="00277F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31561B" w:rsidRPr="00277FC7">
        <w:rPr>
          <w:rFonts w:ascii="Times New Roman" w:eastAsia="Times New Roman" w:hAnsi="Times New Roman" w:cs="Times New Roman"/>
          <w:b/>
          <w:bCs/>
          <w:sz w:val="27"/>
          <w:szCs w:val="27"/>
        </w:rPr>
        <w:t>IV. DA TUTELA DE URGÊNCIA</w:t>
      </w:r>
    </w:p>
    <w:p w14:paraId="589467AE" w14:textId="77777777" w:rsidR="0031561B" w:rsidRPr="0031561B" w:rsidRDefault="0031561B" w:rsidP="0031561B">
      <w:pPr>
        <w:pStyle w:val="PargrafodaLista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1561B">
        <w:rPr>
          <w:rFonts w:ascii="Times New Roman" w:eastAsia="Times New Roman" w:hAnsi="Times New Roman" w:cs="Times New Roman"/>
        </w:rPr>
        <w:t xml:space="preserve">O </w:t>
      </w:r>
      <w:r w:rsidRPr="0031561B">
        <w:rPr>
          <w:rFonts w:ascii="Times New Roman" w:eastAsia="Times New Roman" w:hAnsi="Times New Roman" w:cs="Times New Roman"/>
          <w:i/>
          <w:iCs/>
        </w:rPr>
        <w:t>periculum in mora</w:t>
      </w:r>
      <w:r w:rsidRPr="0031561B">
        <w:rPr>
          <w:rFonts w:ascii="Times New Roman" w:eastAsia="Times New Roman" w:hAnsi="Times New Roman" w:cs="Times New Roman"/>
        </w:rPr>
        <w:t xml:space="preserve"> (perigo da demora) é gritante. Trata-se de criança com doença neurodegenerativa agressiva. O médico relata risco de "status epilepticus" e "contínua deterioração neurológica" caso o tratamento não seja iniciado. A espera pelo trânsito em julgado pode significar danos irreversíveis ou o óbito do menor.</w:t>
      </w:r>
    </w:p>
    <w:p w14:paraId="0F07DB71" w14:textId="382767C8" w:rsidR="0031561B" w:rsidRDefault="0031561B" w:rsidP="00C06D5F">
      <w:pPr>
        <w:pStyle w:val="PargrafodaLista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1561B">
        <w:rPr>
          <w:rFonts w:ascii="Times New Roman" w:eastAsia="Times New Roman" w:hAnsi="Times New Roman" w:cs="Times New Roman"/>
        </w:rPr>
        <w:t>A probabilidade do direito (</w:t>
      </w:r>
      <w:r w:rsidRPr="0031561B">
        <w:rPr>
          <w:rFonts w:ascii="Times New Roman" w:eastAsia="Times New Roman" w:hAnsi="Times New Roman" w:cs="Times New Roman"/>
          <w:i/>
          <w:iCs/>
        </w:rPr>
        <w:t>fumus boni iuris</w:t>
      </w:r>
      <w:r w:rsidRPr="0031561B">
        <w:rPr>
          <w:rFonts w:ascii="Times New Roman" w:eastAsia="Times New Roman" w:hAnsi="Times New Roman" w:cs="Times New Roman"/>
        </w:rPr>
        <w:t>) está comprovada pelos laudos, exames genéticos e autorização da ANVISA anexos.</w:t>
      </w:r>
    </w:p>
    <w:p w14:paraId="65D4EE44" w14:textId="77777777" w:rsidR="00F80484" w:rsidRPr="00DD0F9F" w:rsidRDefault="00F80484" w:rsidP="0031561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14:paraId="48AC53A5" w14:textId="5B2FBAB4" w:rsidR="0031561B" w:rsidRPr="00DD0F9F" w:rsidRDefault="0031561B" w:rsidP="00277F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0F9F">
        <w:rPr>
          <w:rFonts w:ascii="Times New Roman" w:eastAsia="Times New Roman" w:hAnsi="Times New Roman" w:cs="Times New Roman"/>
          <w:b/>
          <w:bCs/>
          <w:sz w:val="27"/>
          <w:szCs w:val="27"/>
        </w:rPr>
        <w:t>V. DOS PEDIDOS</w:t>
      </w:r>
    </w:p>
    <w:p w14:paraId="1611B790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Ante o exposto, requer:</w:t>
      </w:r>
    </w:p>
    <w:p w14:paraId="40BBC1E4" w14:textId="77777777" w:rsidR="0031561B" w:rsidRPr="00DD0F9F" w:rsidRDefault="0031561B" w:rsidP="003156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 xml:space="preserve">A concessão dos benefícios da </w:t>
      </w:r>
      <w:r w:rsidRPr="00DD0F9F">
        <w:rPr>
          <w:rFonts w:ascii="Times New Roman" w:eastAsia="Times New Roman" w:hAnsi="Times New Roman" w:cs="Times New Roman"/>
          <w:b/>
          <w:bCs/>
        </w:rPr>
        <w:t>Justiça Gratuita</w:t>
      </w:r>
      <w:r w:rsidRPr="00DD0F9F">
        <w:rPr>
          <w:rFonts w:ascii="Times New Roman" w:eastAsia="Times New Roman" w:hAnsi="Times New Roman" w:cs="Times New Roman"/>
        </w:rPr>
        <w:t>, nos termos do art. 98 do CPC, conforme declaração de hipossuficiência anexa;</w:t>
      </w:r>
    </w:p>
    <w:p w14:paraId="7E0A129A" w14:textId="77777777" w:rsidR="0031561B" w:rsidRDefault="0031561B" w:rsidP="003156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 xml:space="preserve">A </w:t>
      </w:r>
      <w:r w:rsidRPr="00DD0F9F">
        <w:rPr>
          <w:rFonts w:ascii="Times New Roman" w:eastAsia="Times New Roman" w:hAnsi="Times New Roman" w:cs="Times New Roman"/>
          <w:b/>
          <w:bCs/>
        </w:rPr>
        <w:t>Tramitação Prioritária</w:t>
      </w:r>
      <w:r w:rsidRPr="00DD0F9F">
        <w:rPr>
          <w:rFonts w:ascii="Times New Roman" w:eastAsia="Times New Roman" w:hAnsi="Times New Roman" w:cs="Times New Roman"/>
        </w:rPr>
        <w:t>, com fulcro no ECA e no CPC, por se tratar de menor enfermo;</w:t>
      </w:r>
    </w:p>
    <w:p w14:paraId="0A102955" w14:textId="77777777" w:rsidR="0000732C" w:rsidRPr="0000732C" w:rsidRDefault="0000732C" w:rsidP="000073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t xml:space="preserve">"A concessão de </w:t>
      </w:r>
      <w:r w:rsidRPr="0000732C">
        <w:rPr>
          <w:b/>
          <w:bCs/>
        </w:rPr>
        <w:t>TUTELA DE URGÊNCIA (LIMINAR)</w:t>
      </w:r>
      <w:r>
        <w:t xml:space="preserve">, </w:t>
      </w:r>
      <w:r w:rsidRPr="0000732C">
        <w:rPr>
          <w:i/>
          <w:iCs/>
        </w:rPr>
        <w:t>inaudita altera parte</w:t>
      </w:r>
      <w:r>
        <w:t>, para determinar que os Réus (União e Estado), solidariamente, forneçam ao Autor, no prazo máximo de 10 (dez) dias:</w:t>
      </w:r>
    </w:p>
    <w:p w14:paraId="290E6671" w14:textId="77777777" w:rsidR="0000732C" w:rsidRDefault="0000732C" w:rsidP="0000732C">
      <w:pPr>
        <w:pStyle w:val="NormalWeb"/>
        <w:numPr>
          <w:ilvl w:val="0"/>
          <w:numId w:val="16"/>
        </w:numPr>
      </w:pPr>
      <w:r>
        <w:rPr>
          <w:b/>
          <w:bCs/>
        </w:rPr>
        <w:t>72 (setenta e dois) frascos</w:t>
      </w:r>
      <w:r>
        <w:t xml:space="preserve"> de </w:t>
      </w:r>
      <w:r>
        <w:rPr>
          <w:b/>
          <w:bCs/>
        </w:rPr>
        <w:t>3000mg CBD Isolate USA HEMP (30mL)</w:t>
      </w:r>
      <w:r>
        <w:t>;</w:t>
      </w:r>
    </w:p>
    <w:p w14:paraId="287CB83F" w14:textId="77777777" w:rsidR="0000732C" w:rsidRDefault="0000732C" w:rsidP="0000732C">
      <w:pPr>
        <w:pStyle w:val="NormalWeb"/>
        <w:numPr>
          <w:ilvl w:val="0"/>
          <w:numId w:val="16"/>
        </w:numPr>
      </w:pPr>
      <w:r>
        <w:rPr>
          <w:b/>
          <w:bCs/>
        </w:rPr>
        <w:t>72 (setenta e dois) frascos</w:t>
      </w:r>
      <w:r>
        <w:t xml:space="preserve"> de </w:t>
      </w:r>
      <w:r>
        <w:rPr>
          <w:b/>
          <w:bCs/>
        </w:rPr>
        <w:t>3000mg CBG Tincture USA HEMP (30mL)</w:t>
      </w:r>
      <w:r>
        <w:t xml:space="preserve">; </w:t>
      </w:r>
      <w:r>
        <w:rPr>
          <w:i/>
          <w:iCs/>
        </w:rPr>
        <w:t>(Quantitativo exato prescrito para o tratamento completo de 24 meses, conforme Receita Médica anexa)</w:t>
      </w:r>
      <w:r>
        <w:t>.</w:t>
      </w:r>
    </w:p>
    <w:p w14:paraId="53B50F65" w14:textId="77777777" w:rsidR="0000732C" w:rsidRDefault="0000732C" w:rsidP="0000732C">
      <w:pPr>
        <w:pStyle w:val="NormalWeb"/>
      </w:pPr>
      <w:r>
        <w:rPr>
          <w:b/>
          <w:bCs/>
        </w:rPr>
        <w:t>SUBSIDIARIAMENTE (PEDIDO DE BLOQUEIO DE VERBAS):</w:t>
      </w:r>
      <w:r>
        <w:t xml:space="preserve"> Caso os Réus não forneçam o medicamento </w:t>
      </w:r>
      <w:r>
        <w:rPr>
          <w:i/>
          <w:iCs/>
        </w:rPr>
        <w:t>in natura</w:t>
      </w:r>
      <w:r>
        <w:t xml:space="preserve"> no prazo estipulado, requer-se, desde já, o </w:t>
      </w:r>
      <w:r>
        <w:rPr>
          <w:b/>
          <w:bCs/>
        </w:rPr>
        <w:t>SEQUESTRO/BLOQUEIO DE VERBAS PÚBLICAS</w:t>
      </w:r>
      <w:r>
        <w:t xml:space="preserve"> no valor total de </w:t>
      </w:r>
      <w:r>
        <w:rPr>
          <w:b/>
          <w:bCs/>
        </w:rPr>
        <w:t>R$ 132.120,00 (cento e trinta e dois mil, cento e vinte reais)</w:t>
      </w:r>
      <w:r>
        <w:t>, correspondente ao orçamento de menor preço apresentado (USA HEMP) compatível com a prescrição de 144 frascos no total.</w:t>
      </w:r>
    </w:p>
    <w:p w14:paraId="641C6C9B" w14:textId="5DF77356" w:rsidR="0000732C" w:rsidRPr="0000732C" w:rsidRDefault="0000732C" w:rsidP="0000732C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b/>
          <w:bCs/>
        </w:rPr>
        <w:t>DA DESTINAÇÃO VINCULADA DOS RECURSOS (SEGURANÇA DO JUÍZO):</w:t>
      </w:r>
      <w:r>
        <w:t xml:space="preserve"> Para garantir a lisura, a transparência e a exclusiva destinação dos recursos públicos à aquisição do fármaco, requer o Autor que o depósito judicial ou a liberação do alvará seja realizado </w:t>
      </w:r>
      <w:r>
        <w:rPr>
          <w:b/>
          <w:bCs/>
        </w:rPr>
        <w:t>DIRETAMENTE NA CONTA BANCÁRIA DA FORNECEDORA IMPORTADORA</w:t>
      </w:r>
      <w:r>
        <w:t>, afastando qualquer manejo de valores pelos representantes legais do menor</w:t>
      </w:r>
      <w:r w:rsidRPr="00DD0F9F">
        <w:rPr>
          <w:rFonts w:ascii="Times New Roman" w:eastAsia="Times New Roman" w:hAnsi="Times New Roman" w:cs="Times New Roman"/>
        </w:rPr>
        <w:t>, para que este realize a aquisição direta e prestação de contas nos autos, dada a urgência;</w:t>
      </w:r>
    </w:p>
    <w:p w14:paraId="317F6B1F" w14:textId="77777777" w:rsidR="0000732C" w:rsidRDefault="0000732C" w:rsidP="0000732C">
      <w:pPr>
        <w:pStyle w:val="NormalWeb"/>
      </w:pPr>
      <w:r>
        <w:rPr>
          <w:b/>
          <w:bCs/>
        </w:rPr>
        <w:t>DADOS PARA DEPÓSITO JUDICIAL / TRANSFERÊNCIA:</w:t>
      </w:r>
    </w:p>
    <w:p w14:paraId="003D64EC" w14:textId="77777777" w:rsidR="0000732C" w:rsidRDefault="0000732C" w:rsidP="0000732C">
      <w:pPr>
        <w:pStyle w:val="NormalWeb"/>
        <w:numPr>
          <w:ilvl w:val="0"/>
          <w:numId w:val="17"/>
        </w:numPr>
      </w:pPr>
      <w:r>
        <w:rPr>
          <w:b/>
          <w:bCs/>
        </w:rPr>
        <w:t>Favorecido:</w:t>
      </w:r>
      <w:r>
        <w:t xml:space="preserve"> USA HEMP BRASIL LTDA</w:t>
      </w:r>
    </w:p>
    <w:p w14:paraId="4E557159" w14:textId="77777777" w:rsidR="0000732C" w:rsidRDefault="0000732C" w:rsidP="0000732C">
      <w:pPr>
        <w:pStyle w:val="NormalWeb"/>
        <w:numPr>
          <w:ilvl w:val="0"/>
          <w:numId w:val="17"/>
        </w:numPr>
      </w:pPr>
      <w:r>
        <w:rPr>
          <w:b/>
          <w:bCs/>
        </w:rPr>
        <w:t>CNPJ:</w:t>
      </w:r>
      <w:r>
        <w:t xml:space="preserve"> 38.243.284/0001-10</w:t>
      </w:r>
    </w:p>
    <w:p w14:paraId="3EEA4557" w14:textId="77777777" w:rsidR="0000732C" w:rsidRDefault="0000732C" w:rsidP="0000732C">
      <w:pPr>
        <w:pStyle w:val="NormalWeb"/>
        <w:numPr>
          <w:ilvl w:val="0"/>
          <w:numId w:val="17"/>
        </w:numPr>
      </w:pPr>
      <w:r>
        <w:rPr>
          <w:b/>
          <w:bCs/>
        </w:rPr>
        <w:t>Banco:</w:t>
      </w:r>
      <w:r>
        <w:t xml:space="preserve"> Sicoob (Código 756)</w:t>
      </w:r>
    </w:p>
    <w:p w14:paraId="3C72F2F2" w14:textId="77777777" w:rsidR="0000732C" w:rsidRDefault="0000732C" w:rsidP="0000732C">
      <w:pPr>
        <w:pStyle w:val="NormalWeb"/>
        <w:numPr>
          <w:ilvl w:val="0"/>
          <w:numId w:val="17"/>
        </w:numPr>
      </w:pPr>
      <w:r>
        <w:rPr>
          <w:b/>
          <w:bCs/>
        </w:rPr>
        <w:t>Agência:</w:t>
      </w:r>
      <w:r>
        <w:t xml:space="preserve"> 3246</w:t>
      </w:r>
    </w:p>
    <w:p w14:paraId="20DF0DAD" w14:textId="77777777" w:rsidR="0000732C" w:rsidRDefault="0000732C" w:rsidP="0000732C">
      <w:pPr>
        <w:pStyle w:val="NormalWeb"/>
        <w:numPr>
          <w:ilvl w:val="0"/>
          <w:numId w:val="17"/>
        </w:numPr>
      </w:pPr>
      <w:r>
        <w:rPr>
          <w:b/>
          <w:bCs/>
        </w:rPr>
        <w:t>Conta Corrente:</w:t>
      </w:r>
      <w:r>
        <w:t xml:space="preserve"> 20195-2"</w:t>
      </w:r>
    </w:p>
    <w:p w14:paraId="6702E906" w14:textId="77777777" w:rsidR="0031561B" w:rsidRPr="00DD0F9F" w:rsidRDefault="0031561B" w:rsidP="003156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A citação dos Réus para, querendo, contestarem a ação;</w:t>
      </w:r>
    </w:p>
    <w:p w14:paraId="75B27C52" w14:textId="77777777" w:rsidR="0031561B" w:rsidRPr="00DD0F9F" w:rsidRDefault="0031561B" w:rsidP="003156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Ao final, a procedência total do pedido para confirmar a tutela, condenando os Réus ao fornecimento ininterrupto da medicação enquanto durar o tratamento;</w:t>
      </w:r>
    </w:p>
    <w:p w14:paraId="5B583A44" w14:textId="77777777" w:rsidR="0031561B" w:rsidRPr="00DD0F9F" w:rsidRDefault="0031561B" w:rsidP="0031561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lastRenderedPageBreak/>
        <w:t>A condenação dos Réus em honorários advocatícios de sucumbência.</w:t>
      </w:r>
    </w:p>
    <w:p w14:paraId="62C032DE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Protesta provar o alegado por todos os meios de prova em direito admitidos, especialmente a documental e pericial médica, se necessária.</w:t>
      </w:r>
    </w:p>
    <w:p w14:paraId="026C6BA2" w14:textId="1D76D6B6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 xml:space="preserve">Dá-se à causa o valor de R$ </w:t>
      </w:r>
      <w:r w:rsidR="00277FC7">
        <w:rPr>
          <w:rFonts w:ascii="Times New Roman" w:eastAsia="Times New Roman" w:hAnsi="Times New Roman" w:cs="Times New Roman"/>
        </w:rPr>
        <w:t xml:space="preserve">132.120,00 (cento e trinta e dois mil cento e vinte reais), </w:t>
      </w:r>
      <w:r w:rsidRPr="00DD0F9F">
        <w:rPr>
          <w:rFonts w:ascii="Times New Roman" w:eastAsia="Times New Roman" w:hAnsi="Times New Roman" w:cs="Times New Roman"/>
        </w:rPr>
        <w:t>correspondente ao custo do tratamento.</w:t>
      </w:r>
    </w:p>
    <w:p w14:paraId="1469D86E" w14:textId="77777777" w:rsidR="0031561B" w:rsidRPr="00DD0F9F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Nestes termos, pede deferimento.</w:t>
      </w:r>
    </w:p>
    <w:p w14:paraId="3BA0BEBE" w14:textId="00ED65CA" w:rsidR="0031561B" w:rsidRDefault="0031561B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D0F9F">
        <w:rPr>
          <w:rFonts w:ascii="Times New Roman" w:eastAsia="Times New Roman" w:hAnsi="Times New Roman" w:cs="Times New Roman"/>
        </w:rPr>
        <w:t>Sorocaba,</w:t>
      </w:r>
      <w:r w:rsidR="00277FC7">
        <w:rPr>
          <w:rFonts w:ascii="Times New Roman" w:eastAsia="Times New Roman" w:hAnsi="Times New Roman" w:cs="Times New Roman"/>
        </w:rPr>
        <w:t xml:space="preserve"> 08 de Dezembro de 2025.</w:t>
      </w:r>
    </w:p>
    <w:p w14:paraId="0E164E8D" w14:textId="77777777" w:rsidR="00277FC7" w:rsidRPr="00DD0F9F" w:rsidRDefault="00277FC7" w:rsidP="0031561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EF2BA5A" w14:textId="2FF9B83F" w:rsidR="00277FC7" w:rsidRDefault="00277FC7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_________________________________________</w:t>
      </w:r>
    </w:p>
    <w:p w14:paraId="2D5962FE" w14:textId="0C1F7C5D" w:rsidR="003D7269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Caio Vinicius Pinheiro Pereira</w:t>
      </w:r>
    </w:p>
    <w:p w14:paraId="5937883B" w14:textId="77777777" w:rsidR="003D7269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OAB/MS n.º 17.474</w:t>
      </w:r>
    </w:p>
    <w:p w14:paraId="11114C9B" w14:textId="77777777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2D4A47DB" w14:textId="77777777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1DE97A39" w14:textId="77777777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7F0B1713" w14:textId="2A3EA015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 w:rsidRPr="00BC3C90">
        <w:rPr>
          <w:rFonts w:ascii="Bookman Old Style" w:eastAsia="Bookman Old Style" w:hAnsi="Bookman Old Style" w:cs="Bookman Old Style"/>
          <w:sz w:val="22"/>
          <w:szCs w:val="22"/>
          <w:highlight w:val="red"/>
        </w:rPr>
        <w:t>Anexar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</w:p>
    <w:p w14:paraId="1500393D" w14:textId="77777777" w:rsidR="00BB55CD" w:rsidRDefault="00BB55CD" w:rsidP="00BB55CD">
      <w:pPr>
        <w:pStyle w:val="NormalWeb"/>
      </w:pPr>
      <w:r>
        <w:t xml:space="preserve">Aqui está o </w:t>
      </w:r>
      <w:r>
        <w:rPr>
          <w:b/>
          <w:bCs/>
        </w:rPr>
        <w:t>Checklist Definitivo</w:t>
      </w:r>
      <w:r>
        <w:t xml:space="preserve"> para você passar ao Dr. Caio:</w:t>
      </w:r>
    </w:p>
    <w:p w14:paraId="65765F6B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Procuração e Declaração de Hipossuficiência:</w:t>
      </w:r>
      <w:r>
        <w:t xml:space="preserve"> Assinadas pelo Sr. Reginaldo (modelo corrigido para Sorocaba/SP).</w:t>
      </w:r>
    </w:p>
    <w:p w14:paraId="09377693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Documentos Pessoais (RG/CPF):</w:t>
      </w:r>
      <w:r>
        <w:t xml:space="preserve"> Do Murilo e do Pai.</w:t>
      </w:r>
    </w:p>
    <w:p w14:paraId="2FCC8BB1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Comprovante de Residência Atualizado:</w:t>
      </w:r>
      <w:r>
        <w:t xml:space="preserve"> Essencial para competência em Sorocaba.</w:t>
      </w:r>
    </w:p>
    <w:p w14:paraId="5517D82C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Carteirinha do SUS:</w:t>
      </w:r>
      <w:r>
        <w:t xml:space="preserve"> (Se houver).</w:t>
      </w:r>
    </w:p>
    <w:p w14:paraId="0ECCE5C8" w14:textId="3B8C39A2" w:rsidR="00BC3C90" w:rsidRPr="00BC3C90" w:rsidRDefault="00BC3C90" w:rsidP="00BC3C9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B050"/>
        </w:rPr>
      </w:pPr>
      <w:r>
        <w:t xml:space="preserve">[ ] </w:t>
      </w:r>
      <w:r>
        <w:rPr>
          <w:b/>
          <w:bCs/>
        </w:rPr>
        <w:t>Laudo Médico (Dr. Hugo):</w:t>
      </w:r>
      <w:r>
        <w:t xml:space="preserve"> O PDF original com a justificativa do teste genético.</w:t>
      </w:r>
      <w:r w:rsidRPr="00BC3C90">
        <w:rPr>
          <w:rFonts w:ascii="Times New Roman" w:eastAsia="Times New Roman" w:hAnsi="Times New Roman" w:cs="Times New Roman"/>
          <w:b/>
          <w:bCs/>
          <w:color w:val="00B050"/>
        </w:rPr>
        <w:t xml:space="preserve"> </w:t>
      </w:r>
      <w:r w:rsidRPr="00BB55CD">
        <w:rPr>
          <w:rFonts w:ascii="Times New Roman" w:eastAsia="Times New Roman" w:hAnsi="Times New Roman" w:cs="Times New Roman"/>
          <w:b/>
          <w:bCs/>
          <w:color w:val="00B050"/>
        </w:rPr>
        <w:t>Destaque no Laudo Médico</w:t>
      </w:r>
      <w:r w:rsidRPr="00BB55CD">
        <w:rPr>
          <w:rFonts w:ascii="Times New Roman" w:eastAsia="Times New Roman" w:hAnsi="Times New Roman" w:cs="Times New Roman"/>
          <w:color w:val="00B050"/>
        </w:rPr>
        <w:t>: Se possível, peça para ele grifar no PDF do laudo médico o trecho onde o médico cita o teste genético e diz que "não se responsabiliza por trocas".</w:t>
      </w:r>
    </w:p>
    <w:p w14:paraId="6597DC4E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Receita Médica (ATUALIZADA - 72 Frascos):</w:t>
      </w:r>
      <w:r>
        <w:t xml:space="preserve"> </w:t>
      </w:r>
      <w:r>
        <w:rPr>
          <w:b/>
          <w:bCs/>
        </w:rPr>
        <w:t>Anexar o arquivo "Murilo- Receita Medico Judicial.pdf"</w:t>
      </w:r>
      <w:r>
        <w:t>. (Atenção: Não anexe a receita antiga de 34 frascos!).</w:t>
      </w:r>
    </w:p>
    <w:p w14:paraId="0DEB9473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Autorização da ANVISA:</w:t>
      </w:r>
      <w:r>
        <w:t xml:space="preserve"> O documento emitido em nome do Murilo.</w:t>
      </w:r>
    </w:p>
    <w:p w14:paraId="21AAB9C6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Exames Laboratoriais:</w:t>
      </w:r>
      <w:r>
        <w:t xml:space="preserve"> O PDF com TGO/TGP alterados.</w:t>
      </w:r>
    </w:p>
    <w:p w14:paraId="2DA5AB09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Teste Genético (Microecologia):</w:t>
      </w:r>
      <w:r>
        <w:t xml:space="preserve"> O PDF completo.</w:t>
      </w:r>
    </w:p>
    <w:p w14:paraId="479F4466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3 Orçamentos:</w:t>
      </w:r>
    </w:p>
    <w:p w14:paraId="440FC583" w14:textId="77777777" w:rsidR="00BC3C90" w:rsidRDefault="00BC3C90" w:rsidP="00BC3C90">
      <w:pPr>
        <w:pStyle w:val="NormalWeb"/>
        <w:numPr>
          <w:ilvl w:val="1"/>
          <w:numId w:val="12"/>
        </w:numPr>
      </w:pPr>
      <w:r>
        <w:lastRenderedPageBreak/>
        <w:t>Orçamento 1: USA HEMP (R$ 132.120,00) - Este deve bater com a receita de 72 frascos.</w:t>
      </w:r>
    </w:p>
    <w:p w14:paraId="2C18FEDE" w14:textId="77777777" w:rsidR="00BC3C90" w:rsidRDefault="00BC3C90" w:rsidP="00BC3C90">
      <w:pPr>
        <w:pStyle w:val="NormalWeb"/>
        <w:numPr>
          <w:ilvl w:val="1"/>
          <w:numId w:val="12"/>
        </w:numPr>
      </w:pPr>
      <w:r>
        <w:t>Orçamento 2 e 3: Devem ser equivalentes (CBD isolado + CBG) para comparar o preço.</w:t>
      </w:r>
    </w:p>
    <w:p w14:paraId="55F6610A" w14:textId="77777777" w:rsidR="00BC3C90" w:rsidRDefault="00BC3C90" w:rsidP="00BC3C90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Contrato de Honorários:</w:t>
      </w:r>
      <w:r>
        <w:t xml:space="preserve"> O contrato "Ad Exitum" assinado entre o Pai e o Advogado (sem mencionar a On Medicina).</w:t>
      </w:r>
    </w:p>
    <w:p w14:paraId="32809790" w14:textId="77777777" w:rsidR="00BB55CD" w:rsidRDefault="00BB55CD" w:rsidP="00BB55CD">
      <w:pPr>
        <w:pStyle w:val="NormalWeb"/>
        <w:numPr>
          <w:ilvl w:val="0"/>
          <w:numId w:val="12"/>
        </w:numPr>
      </w:pPr>
      <w:r>
        <w:t xml:space="preserve">[ ] </w:t>
      </w:r>
      <w:r>
        <w:rPr>
          <w:b/>
          <w:bCs/>
        </w:rPr>
        <w:t>Negativa do Estado (Opcional mas recomendável):</w:t>
      </w:r>
      <w:r>
        <w:t xml:space="preserve"> Se tiver algum e-mail ou protocolo do SUS negando ou ignorando o pedido administrativo, anexe. Se não tiver, a urgência e a especificidade do remédio (que não tem no SUS) justificam a ação direta.</w:t>
      </w:r>
    </w:p>
    <w:p w14:paraId="10833D04" w14:textId="77777777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8FFC921" w14:textId="25FE0B5A" w:rsidR="000D053C" w:rsidRPr="000D053C" w:rsidRDefault="000D053C" w:rsidP="000D053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C3C90">
        <w:rPr>
          <w:rFonts w:ascii="Times New Roman" w:eastAsia="Times New Roman" w:hAnsi="Times New Roman" w:cs="Times New Roman"/>
          <w:highlight w:val="red"/>
        </w:rPr>
        <w:t>Com isso, blindamos o processo. Se o juiz ou o Estado disser "use o óleo da Associação Brasileira X", nós respondemos</w:t>
      </w:r>
      <w:r w:rsidRPr="000D053C">
        <w:rPr>
          <w:rFonts w:ascii="Times New Roman" w:eastAsia="Times New Roman" w:hAnsi="Times New Roman" w:cs="Times New Roman"/>
        </w:rPr>
        <w:t>: "</w:t>
      </w:r>
      <w:r w:rsidRPr="00BC3C90">
        <w:rPr>
          <w:rFonts w:ascii="Times New Roman" w:eastAsia="Times New Roman" w:hAnsi="Times New Roman" w:cs="Times New Roman"/>
          <w:highlight w:val="yellow"/>
        </w:rPr>
        <w:t>O DNA dele não aceita, e o fígado dele não aguenta impureza. Aqui está a prova."</w:t>
      </w:r>
    </w:p>
    <w:p w14:paraId="456F87FF" w14:textId="77777777" w:rsidR="000D053C" w:rsidRDefault="000D053C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sectPr w:rsidR="000D053C">
      <w:pgSz w:w="11900" w:h="16840"/>
      <w:pgMar w:top="239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B9351" w14:textId="77777777" w:rsidR="000136FA" w:rsidRDefault="000136FA">
      <w:r>
        <w:separator/>
      </w:r>
    </w:p>
  </w:endnote>
  <w:endnote w:type="continuationSeparator" w:id="0">
    <w:p w14:paraId="0F6805C1" w14:textId="77777777" w:rsidR="000136FA" w:rsidRDefault="00013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8F007F4-CE73-44C4-8670-74B884C6E29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B0B2AD9-F112-44C5-8EE9-1872069EF70A}"/>
    <w:embedBold r:id="rId3" w:fontKey="{CABBC683-B303-4C6D-9207-DC483EBE51AC}"/>
    <w:embedItalic r:id="rId4" w:fontKey="{D58721A1-55F9-4BF1-A0C0-86CE40913CBC}"/>
  </w:font>
  <w:font w:name="Play">
    <w:charset w:val="00"/>
    <w:family w:val="auto"/>
    <w:pitch w:val="default"/>
    <w:embedRegular r:id="rId5" w:fontKey="{0BAC0E71-6C8E-4051-8F5A-3BD25C81AB3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662FA18-3B5F-4F2A-97E4-8194317BB4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41D4F89-2F18-4228-8374-0CAB54A14E8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8" w:fontKey="{3339A4D5-80F3-417A-90B7-F31E9CE45BFE}"/>
    <w:embedBold r:id="rId9" w:fontKey="{15A69570-409A-43EB-AF9A-E738A32CE3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38BE" w14:textId="77777777" w:rsidR="003D72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3BD2537" wp14:editId="0A496FF2">
          <wp:simplePos x="0" y="0"/>
          <wp:positionH relativeFrom="column">
            <wp:posOffset>-1089327</wp:posOffset>
          </wp:positionH>
          <wp:positionV relativeFrom="paragraph">
            <wp:posOffset>-485029</wp:posOffset>
          </wp:positionV>
          <wp:extent cx="7962472" cy="1393246"/>
          <wp:effectExtent l="0" t="0" r="0" b="0"/>
          <wp:wrapNone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472" cy="13932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5C5F" w14:textId="77777777" w:rsidR="000136FA" w:rsidRDefault="000136FA">
      <w:r>
        <w:separator/>
      </w:r>
    </w:p>
  </w:footnote>
  <w:footnote w:type="continuationSeparator" w:id="0">
    <w:p w14:paraId="1C0820BD" w14:textId="77777777" w:rsidR="000136FA" w:rsidRDefault="00013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2112" w14:textId="77777777" w:rsidR="003D72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DA9F70A" wp14:editId="7C7731C4">
          <wp:simplePos x="0" y="0"/>
          <wp:positionH relativeFrom="column">
            <wp:posOffset>-1036311</wp:posOffset>
          </wp:positionH>
          <wp:positionV relativeFrom="paragraph">
            <wp:posOffset>-835223</wp:posOffset>
          </wp:positionV>
          <wp:extent cx="7551506" cy="1902972"/>
          <wp:effectExtent l="0" t="0" r="0" b="0"/>
          <wp:wrapNone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1506" cy="19029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0EC"/>
    <w:multiLevelType w:val="multilevel"/>
    <w:tmpl w:val="871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247"/>
    <w:multiLevelType w:val="multilevel"/>
    <w:tmpl w:val="2FC0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71B42"/>
    <w:multiLevelType w:val="multilevel"/>
    <w:tmpl w:val="EE66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113B7"/>
    <w:multiLevelType w:val="multilevel"/>
    <w:tmpl w:val="06346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4F6C2F"/>
    <w:multiLevelType w:val="multilevel"/>
    <w:tmpl w:val="B60A3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AC957F6"/>
    <w:multiLevelType w:val="multilevel"/>
    <w:tmpl w:val="957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6234"/>
    <w:multiLevelType w:val="multilevel"/>
    <w:tmpl w:val="7BC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42962"/>
    <w:multiLevelType w:val="multilevel"/>
    <w:tmpl w:val="7B74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E6F32"/>
    <w:multiLevelType w:val="multilevel"/>
    <w:tmpl w:val="51BCE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BCC5979"/>
    <w:multiLevelType w:val="multilevel"/>
    <w:tmpl w:val="61A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A79E2"/>
    <w:multiLevelType w:val="multilevel"/>
    <w:tmpl w:val="583E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E73A0"/>
    <w:multiLevelType w:val="multilevel"/>
    <w:tmpl w:val="2FC0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AA3EFE"/>
    <w:multiLevelType w:val="multilevel"/>
    <w:tmpl w:val="9AC2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41B5D"/>
    <w:multiLevelType w:val="multilevel"/>
    <w:tmpl w:val="D1C8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71466"/>
    <w:multiLevelType w:val="multilevel"/>
    <w:tmpl w:val="93E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B4861"/>
    <w:multiLevelType w:val="multilevel"/>
    <w:tmpl w:val="085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B1480"/>
    <w:multiLevelType w:val="multilevel"/>
    <w:tmpl w:val="3E2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144F9"/>
    <w:multiLevelType w:val="multilevel"/>
    <w:tmpl w:val="6EFE7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B0B7A"/>
    <w:multiLevelType w:val="multilevel"/>
    <w:tmpl w:val="DE0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24FDA"/>
    <w:multiLevelType w:val="multilevel"/>
    <w:tmpl w:val="469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5132C"/>
    <w:multiLevelType w:val="multilevel"/>
    <w:tmpl w:val="43BE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50829">
    <w:abstractNumId w:val="4"/>
  </w:num>
  <w:num w:numId="2" w16cid:durableId="2074233448">
    <w:abstractNumId w:val="3"/>
  </w:num>
  <w:num w:numId="3" w16cid:durableId="895975012">
    <w:abstractNumId w:val="8"/>
  </w:num>
  <w:num w:numId="4" w16cid:durableId="1130319531">
    <w:abstractNumId w:val="2"/>
  </w:num>
  <w:num w:numId="5" w16cid:durableId="1443257919">
    <w:abstractNumId w:val="10"/>
  </w:num>
  <w:num w:numId="6" w16cid:durableId="1078014045">
    <w:abstractNumId w:val="17"/>
  </w:num>
  <w:num w:numId="7" w16cid:durableId="1581598691">
    <w:abstractNumId w:val="11"/>
  </w:num>
  <w:num w:numId="8" w16cid:durableId="1181430540">
    <w:abstractNumId w:val="1"/>
  </w:num>
  <w:num w:numId="9" w16cid:durableId="1449617274">
    <w:abstractNumId w:val="9"/>
  </w:num>
  <w:num w:numId="10" w16cid:durableId="1307399324">
    <w:abstractNumId w:val="20"/>
  </w:num>
  <w:num w:numId="11" w16cid:durableId="933124860">
    <w:abstractNumId w:val="12"/>
  </w:num>
  <w:num w:numId="12" w16cid:durableId="612519127">
    <w:abstractNumId w:val="0"/>
  </w:num>
  <w:num w:numId="13" w16cid:durableId="1150369886">
    <w:abstractNumId w:val="18"/>
  </w:num>
  <w:num w:numId="14" w16cid:durableId="1670212933">
    <w:abstractNumId w:val="5"/>
  </w:num>
  <w:num w:numId="15" w16cid:durableId="221331308">
    <w:abstractNumId w:val="13"/>
  </w:num>
  <w:num w:numId="16" w16cid:durableId="829760875">
    <w:abstractNumId w:val="19"/>
  </w:num>
  <w:num w:numId="17" w16cid:durableId="414740631">
    <w:abstractNumId w:val="6"/>
  </w:num>
  <w:num w:numId="18" w16cid:durableId="1779527483">
    <w:abstractNumId w:val="14"/>
  </w:num>
  <w:num w:numId="19" w16cid:durableId="802508158">
    <w:abstractNumId w:val="15"/>
  </w:num>
  <w:num w:numId="20" w16cid:durableId="1225410723">
    <w:abstractNumId w:val="7"/>
  </w:num>
  <w:num w:numId="21" w16cid:durableId="10790592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269"/>
    <w:rsid w:val="0000732C"/>
    <w:rsid w:val="000136FA"/>
    <w:rsid w:val="00022FFB"/>
    <w:rsid w:val="00050A44"/>
    <w:rsid w:val="000D053C"/>
    <w:rsid w:val="000F4933"/>
    <w:rsid w:val="001560A2"/>
    <w:rsid w:val="00273BD3"/>
    <w:rsid w:val="00277FC7"/>
    <w:rsid w:val="002F7A47"/>
    <w:rsid w:val="0031561B"/>
    <w:rsid w:val="0035613F"/>
    <w:rsid w:val="003B1A04"/>
    <w:rsid w:val="003C18E6"/>
    <w:rsid w:val="003D7269"/>
    <w:rsid w:val="0043406E"/>
    <w:rsid w:val="007E704F"/>
    <w:rsid w:val="008E1938"/>
    <w:rsid w:val="00AD35C0"/>
    <w:rsid w:val="00B07718"/>
    <w:rsid w:val="00BA4EDC"/>
    <w:rsid w:val="00BB55CD"/>
    <w:rsid w:val="00BC3C90"/>
    <w:rsid w:val="00C06D5F"/>
    <w:rsid w:val="00CF637D"/>
    <w:rsid w:val="00D20266"/>
    <w:rsid w:val="00D46D8A"/>
    <w:rsid w:val="00E176BA"/>
    <w:rsid w:val="00ED518B"/>
    <w:rsid w:val="00EE5746"/>
    <w:rsid w:val="00F80484"/>
    <w:rsid w:val="00F9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B00E"/>
  <w15:docId w15:val="{A2B0430E-4C23-4D44-9130-DBFA6E8B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41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41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41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59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59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rsid w:val="0059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941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941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941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41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41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411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9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9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4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41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41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41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41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411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941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Fontepargpadro"/>
    <w:rsid w:val="0059411D"/>
  </w:style>
  <w:style w:type="character" w:customStyle="1" w:styleId="s2">
    <w:name w:val="s2"/>
    <w:basedOn w:val="Fontepargpadro"/>
    <w:rsid w:val="0059411D"/>
  </w:style>
  <w:style w:type="paragraph" w:customStyle="1" w:styleId="p3">
    <w:name w:val="p3"/>
    <w:basedOn w:val="Normal"/>
    <w:rsid w:val="005941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4">
    <w:name w:val="p4"/>
    <w:basedOn w:val="Normal"/>
    <w:rsid w:val="005941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3">
    <w:name w:val="s3"/>
    <w:basedOn w:val="Fontepargpadro"/>
    <w:rsid w:val="0059411D"/>
  </w:style>
  <w:style w:type="paragraph" w:styleId="NormalWeb">
    <w:name w:val="Normal (Web)"/>
    <w:basedOn w:val="Normal"/>
    <w:uiPriority w:val="99"/>
    <w:unhideWhenUsed/>
    <w:rsid w:val="005941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Fontepargpadro"/>
    <w:rsid w:val="0059411D"/>
  </w:style>
  <w:style w:type="character" w:styleId="Forte">
    <w:name w:val="Strong"/>
    <w:basedOn w:val="Fontepargpadro"/>
    <w:uiPriority w:val="22"/>
    <w:qFormat/>
    <w:rsid w:val="0059411D"/>
    <w:rPr>
      <w:b/>
      <w:bCs/>
    </w:rPr>
  </w:style>
  <w:style w:type="character" w:styleId="nfase">
    <w:name w:val="Emphasis"/>
    <w:basedOn w:val="Fontepargpadro"/>
    <w:uiPriority w:val="20"/>
    <w:qFormat/>
    <w:rsid w:val="002A08AB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FD40DE"/>
    <w:pPr>
      <w:tabs>
        <w:tab w:val="center" w:pos="4252"/>
        <w:tab w:val="right" w:pos="8504"/>
      </w:tabs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FD40DE"/>
    <w:rPr>
      <w:rFonts w:ascii="Calibri" w:eastAsia="Calibri" w:hAnsi="Calibri" w:cs="Times New Roman"/>
      <w:kern w:val="0"/>
    </w:rPr>
  </w:style>
  <w:style w:type="paragraph" w:styleId="Rodap">
    <w:name w:val="footer"/>
    <w:basedOn w:val="Normal"/>
    <w:link w:val="RodapChar"/>
    <w:uiPriority w:val="99"/>
    <w:unhideWhenUsed/>
    <w:rsid w:val="00FD40DE"/>
    <w:pPr>
      <w:tabs>
        <w:tab w:val="center" w:pos="4252"/>
        <w:tab w:val="right" w:pos="8504"/>
      </w:tabs>
    </w:pPr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rsid w:val="00FD40DE"/>
    <w:rPr>
      <w:rFonts w:ascii="Calibri" w:eastAsia="Calibri" w:hAnsi="Calibri" w:cs="Times New Roman"/>
      <w:kern w:val="0"/>
    </w:rPr>
  </w:style>
  <w:style w:type="character" w:styleId="TextodoEspaoReservado">
    <w:name w:val="Placeholder Text"/>
    <w:basedOn w:val="Fontepargpadro"/>
    <w:uiPriority w:val="99"/>
    <w:semiHidden/>
    <w:rsid w:val="00FD40DE"/>
    <w:rPr>
      <w:color w:val="808080"/>
    </w:rPr>
  </w:style>
  <w:style w:type="paragraph" w:styleId="Subttulo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citation-139">
    <w:name w:val="citation-139"/>
    <w:basedOn w:val="Fontepargpadro"/>
    <w:rsid w:val="0031561B"/>
  </w:style>
  <w:style w:type="character" w:customStyle="1" w:styleId="citation-138">
    <w:name w:val="citation-138"/>
    <w:basedOn w:val="Fontepargpadro"/>
    <w:rsid w:val="0031561B"/>
  </w:style>
  <w:style w:type="character" w:customStyle="1" w:styleId="citation-137">
    <w:name w:val="citation-137"/>
    <w:basedOn w:val="Fontepargpadro"/>
    <w:rsid w:val="0031561B"/>
  </w:style>
  <w:style w:type="character" w:customStyle="1" w:styleId="citation-135">
    <w:name w:val="citation-135"/>
    <w:basedOn w:val="Fontepargpadro"/>
    <w:rsid w:val="0031561B"/>
  </w:style>
  <w:style w:type="character" w:customStyle="1" w:styleId="citation-134">
    <w:name w:val="citation-134"/>
    <w:basedOn w:val="Fontepargpadro"/>
    <w:rsid w:val="0031561B"/>
  </w:style>
  <w:style w:type="character" w:customStyle="1" w:styleId="citation-133">
    <w:name w:val="citation-133"/>
    <w:basedOn w:val="Fontepargpadro"/>
    <w:rsid w:val="0031561B"/>
  </w:style>
  <w:style w:type="character" w:customStyle="1" w:styleId="citation-132">
    <w:name w:val="citation-132"/>
    <w:basedOn w:val="Fontepargpadro"/>
    <w:rsid w:val="0031561B"/>
  </w:style>
  <w:style w:type="character" w:customStyle="1" w:styleId="citation-119">
    <w:name w:val="citation-119"/>
    <w:basedOn w:val="Fontepargpadro"/>
    <w:rsid w:val="00273BD3"/>
  </w:style>
  <w:style w:type="character" w:customStyle="1" w:styleId="citation-118">
    <w:name w:val="citation-118"/>
    <w:basedOn w:val="Fontepargpadro"/>
    <w:rsid w:val="00273BD3"/>
  </w:style>
  <w:style w:type="character" w:customStyle="1" w:styleId="citation-117">
    <w:name w:val="citation-117"/>
    <w:basedOn w:val="Fontepargpadro"/>
    <w:rsid w:val="00273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B2ZT+TR+3f/Sx6X3/q1qA5oOQ==">CgMxLjA4AHIhMWp4VDRRQXk0c2Zwb2FmWFMyQmVOWWE4V25oUWlvTE91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2768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Thiago Avelar Teixeira</cp:lastModifiedBy>
  <cp:revision>20</cp:revision>
  <dcterms:created xsi:type="dcterms:W3CDTF">2025-12-02T19:19:00Z</dcterms:created>
  <dcterms:modified xsi:type="dcterms:W3CDTF">2025-12-02T22:48:00Z</dcterms:modified>
</cp:coreProperties>
</file>