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D7D7E" w:sz="10" w:space="4"/>
        </w:pBdr>
        <w:spacing w:after="120" w:before="400"/>
      </w:pPr>
      <w:r>
        <w:rPr>
          <w:rFonts w:ascii="Arial" w:cs="Arial" w:eastAsia="Arial" w:hAnsi="Arial"/>
          <w:b/>
          <w:bCs/>
          <w:color w:val="0A2342"/>
          <w:sz w:val="30"/>
          <w:szCs w:val="30"/>
        </w:rPr>
        <w:t xml:space="preserve">7.  Complete Database Design</w:t>
      </w:r>
    </w:p>
    <w:p>
      <w:pPr>
        <w:spacing w:after="60" w:before="0"/>
      </w:pPr>
      <w:r>
        <w:t xml:space="preserve"/>
      </w:r>
    </w:p>
    <w:p>
      <w:pPr>
        <w:spacing w:after="100" w:before="0"/>
        <w:jc w:val="both"/>
      </w:pPr>
      <w:r>
        <w:rPr>
          <w:rFonts w:ascii="Arial" w:cs="Arial" w:eastAsia="Arial" w:hAnsi="Arial"/>
          <w:color w:val="1A2332"/>
          <w:sz w:val="19"/>
          <w:szCs w:val="19"/>
        </w:rPr>
        <w:t xml:space="preserve">This section defines every table, column, data type, index, constraint, and relationship in the Poseidon Ledger database. The primary database is PostgreSQL (hosted on Supabase). TimescaleDB extension is enabled for time-series AIS data. All tables use UUID primary keys for distributed-safe identifiers. All timestamps are stored in UTC with timezone.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7.1  Schema Overview —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ORGANISATIONS (1)
  └── USERS (many)               -- staff of the management company
  └── FLEETS (many)              -- logical groupings of vessels
        └── VESSELS (many)       -- individual IMO-registered vessels
              └── MONITORING_PLANS (many, versioned)
              └── VOYAGES (many)              -- AIS-sourced journey records
              └── FUEL_DELIVERIES (many)      -- from OCR'd BDNs
              └── ETS_RECORDS (one per year)  -- annual EU ETS compliance record
              └── FUELEU_RECORDS (one per year)
              └── GREEN_ZONE_EVENTS (many)    -- per port-call compliance status
              └── DOCUMENTS (many)            -- uploaded files (BDNs, certs, plans)
              └── NOTIFICATIONS (many)
PORTS                 -- global port database (LOCODE-keyed)
GREEN_ZONE_PORTS      -- Mediterranean port environmental requirements
EMISSION_FACTORS      -- fuel-type emission factor table (MARPOL Annex VI + FuelEU Annex II)
ISCC_CERTIFICATES     -- biofuel sustainability certificates
AUDIT_LOG             -- immutable write log for all entities
COMPLIANCE_RULES      -- versioned rule definitions referenced by Compliance Engine
COMPLIANCE_VIOLATIONS -- logged violations per vessel per year
OCR_JOBS              -- document processing queue and results
AIS_POSITIONS         -- raw AIS position stream (TimescaleDB hypertable)
BACKGROUND_JOBS       -- job queue state (Inngest/BullMQ integration)</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7.2  Table Definitions</w:t>
      </w:r>
    </w:p>
    <w:p>
      <w:pPr>
        <w:spacing w:after="40" w:before="0"/>
      </w:pPr>
      <w:r>
        <w:t xml:space="preserve"/>
      </w:r>
    </w:p>
    <w:p>
      <w:pPr>
        <w:pStyle w:val="Heading3"/>
        <w:spacing w:after="60" w:before="200"/>
      </w:pPr>
      <w:r>
        <w:rPr>
          <w:rFonts w:ascii="Arial" w:cs="Arial" w:eastAsia="Arial" w:hAnsi="Arial"/>
          <w:b/>
          <w:bCs/>
          <w:color w:val="1A2332"/>
          <w:sz w:val="21"/>
          <w:szCs w:val="21"/>
        </w:rPr>
        <w:t xml:space="preserve">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organisations (
  id                UUID PRIMARY KEY DEFAULT gen_random_uuid(),
  name              VARCHAR(255) NOT NULL,
  legal_name        VARCHAR(255),
  country           CHAR(2) NOT NULL,                -- ISO 3166-1 alpha-2
  registration_no   VARCHAR(100),
  ism_doc_number    VARCHAR(100),                    -- ISM Document of Compliance
  moha_account      VARCHAR(100),                    -- Maritime Operator Holding Account
  moha_registry     VARCHAR(50),                     -- e.g. 'DE', 'NL', 'CY'
  verifier_id       UUID REFERENCES verifiers(id),   -- preferred class society verifier
  billing_tier      VARCHAR(20) NOT NULL DEFAULT 'navigator'
                    CHECK (billing_tier IN ('navigator','fleet','sovereign','trial')),
  billing_vessel_count INT DEFAULT 0,
  stripe_customer_id VARCHAR(100),
  timezone          VARCHAR(50) DEFAULT 'UTC',
  created_at        TIMESTAMPTZ NOT NULL DEFAULT NOW(),
  updated_at        TIMESTAMPTZ NOT NULL DEFAULT NOW(),
  deleted_at        TIMESTAMPTZ                      -- soft delete
);
CREATE INDEX idx_orgs_country ON organisations(country);</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users (
  id                UUID PRIMARY KEY DEFAULT gen_random_uuid(),
  org_id            UUID NOT NULL REFERENCES organisations(id) ON DELETE CASCADE,
  email             VARCHAR(255) NOT NULL UNIQUE,
  full_name         VARCHAR(255) NOT NULL,
  role              VARCHAR(30) NOT NULL
                    CHECK (role IN ('admin','compliance_manager','viewer','api_client')),
  mfa_enabled       BOOLEAN NOT NULL DEFAULT FALSE,
  mfa_secret        TEXT,                            -- encrypted TOTP secret
  last_login_at     TIMESTAMPTZ,
  invited_at        TIMESTAMPTZ,
  invitation_token  VARCHAR(100),
  is_active         BOOLEAN NOT NULL DEFAULT TRUE,
  created_at        TIMESTAMPTZ NOT NULL DEFAULT NOW(),
  updated_at        TIMESTAMPTZ NOT NULL DEFAULT NOW()
);
CREATE INDEX idx_users_org ON users(org_id);
CREATE INDEX idx_users_email ON users(email);</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fleets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fleets (
  id          UUID PRIMARY KEY DEFAULT gen_random_uuid(),
  org_id      UUID NOT NULL REFERENCES organisations(id) ON DELETE CASCADE,
  name        VARCHAR(255) NOT NULL,
  description TEXT,
  created_at  TIMESTAMPTZ NOT NULL DEFAULT NOW(),
  updated_at  TIMESTAMPTZ NOT NULL DEFAULT NOW()
);
CREATE INDEX idx_fleets_org ON fleets(org_id);</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vessels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vessels (
  id                  UUID PRIMARY KEY DEFAULT gen_random_uuid(),
  fleet_id            UUID NOT NULL REFERENCES fleets(id) ON DELETE CASCADE,
  org_id              UUID NOT NULL REFERENCES organisations(id),  -- denormalized for RLS
  imo_number          VARCHAR(10) NOT NULL UNIQUE,
  mmsi                VARCHAR(9),
  name                VARCHAR(255) NOT NULL,
  flag_state          CHAR(2) NOT NULL,              -- ISO 3166-1 alpha-2
  gross_tonnage       NUMERIC(10,2),
  net_tonnage         NUMERIC(10,2),
  vessel_type         VARCHAR(50) NOT NULL
                      CHECK (vessel_type IN (
                        'motor_yacht','sailing_yacht','catamaran',
                        'commercial_yacht','charter_vessel','other'
                      )),
  propulsion_type     VARCHAR(50) NOT NULL
                      CHECK (propulsion_type IN (
                        'diesel','hybrid','electric','lng','sail_auxiliary_diesel','other'
                      )),
  build_year          SMALLINT,
  class_society       VARCHAR(50),                   -- 'DNV','LR','RINA','BV','ABS'
  mca_category        VARCHAR(10),                   -- 'Cat 0','Cat 1','Cat 2','Cat 3'
  -- EU ETS / FuelEU scope flags (auto-derived from GT, overrideable)
  ets_scope           BOOLEAN NOT NULL DEFAULT FALSE,  -- TRUE if GT &gt;= 5000
  fueleu_scope        BOOLEAN NOT NULL DEFAULT FALSE,  -- TRUE if GT &gt;= 5000 and commercial
  green_zone_monitor  BOOLEAN NOT NULL DEFAULT TRUE,   -- always TRUE for Med fleet
  ets_scope_override  BOOLEAN,                         -- manual override if auto-detection wrong
  -- Tank capacity (from Monitoring Plan)
  fuel_tank_capacity_mt  NUMERIC(8,2),
  -- AIS integration
  ais_provider        VARCHAR(20) DEFAULT 'marinetraffic',
  ais_last_sync       TIMESTAMPTZ,
  ais_sync_enabled    BOOLEAN NOT NULL DEFAULT TRUE,
  -- Document ingestion email
  ingest_email        VARCHAR(255) UNIQUE,  -- e.g. imo1234567@docs.poseidonledger.com
  is_active           BOOLEAN NOT NULL DEFAULT TRUE,
  created_at          TIMESTAMPTZ NOT NULL DEFAULT NOW(),
  updated_at          TIMESTAMPTZ NOT NULL DEFAULT NOW(),
  deleted_at          TIMESTAMPTZ
);
CREATE INDEX idx_vessels_org ON vessels(org_id);
CREATE INDEX idx_vessels_fleet ON vessels(fleet_id);
CREATE INDEX idx_vessels_imo ON vessels(imo_number);</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monitoring_plans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monitoring_plans (
  id                    UUID PRIMARY KEY DEFAULT gen_random_uuid(),
  vessel_id             UUID NOT NULL REFERENCES vessels(id) ON DELETE CASCADE,
  org_id                UUID NOT NULL REFERENCES organisations(id),
  version               INTEGER NOT NULL DEFAULT 1,
  status                VARCHAR(20) NOT NULL DEFAULT 'draft'
                        CHECK (status IN ('draft','submitted','approved','superseded')),
  monitoring_method     CHAR(1) CHECK (monitoring_method IN ('A','B','C','D')),
  -- EU ETS fields
  ets_approved          BOOLEAN DEFAULT FALSE,
  ets_approval_date     DATE,
  thetis_plan_id        VARCHAR(100),               -- EMSA THETIS reference ID
  -- FuelEU fields (required from 2025)
  fueleu_included       BOOLEAN NOT NULL DEFAULT FALSE,
  wtw_factors_included  BOOLEAN NOT NULL DEFAULT FALSE,
  ops_chapter_included  BOOLEAN NOT NULL DEFAULT FALSE,
  risk_assessment_updated BOOLEAN NOT NULL DEFAULT FALSE,
  -- Data gap procedure
  data_gap_procedure    TEXT,
  -- Gap analysis results (populated by Compliance Engine)
  gap_flags             JSONB DEFAULT '[]',          -- array of {rule_id, severity, message}
  gap_score             INTEGER DEFAULT 0,           -- 0=clean, 100=critical
  -- Document reference
  document_id           UUID REFERENCES documents(id),
  -- Verifier interaction
  verifier_submitted_at TIMESTAMPTZ,
  verifier_approved_at  TIMESTAMPTZ,
  verifier_notes        TEXT,
  effective_from        DATE NOT NULL,
  effective_to          DATE,
  created_at            TIMESTAMPTZ NOT NULL DEFAULT NOW(),
  updated_at            TIMESTAMPTZ NOT NULL DEFAULT NOW(),
  created_by            UUID REFERENCES users(id)
);
CREATE INDEX idx_mp_vessel ON monitoring_plans(vessel_id);
CREATE UNIQUE INDEX idx_mp_vessel_version ON monitoring_plans(vessel_id, version);</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voyages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voyages (
  id                  UUID PRIMARY KEY DEFAULT gen_random_uuid(),
  vessel_id           UUID NOT NULL REFERENCES vessels(id) ON DELETE CASCADE,
  org_id              UUID NOT NULL REFERENCES organisations(id),
  -- Ports
  departure_port_locode   VARCHAR(10),
  arrival_port_locode     VARCHAR(10),
  departure_port_name     VARCHAR(255),
  arrival_port_name       VARCHAR(255),
  departure_country       CHAR(2),
  arrival_country         CHAR(2),
  -- Timestamps (AIS-derived, UTC)
  departure_time      TIMESTAMPTZ NOT NULL,
  arrival_time        TIMESTAMPTZ NOT NULL,
  duration_hours      NUMERIC(8,2) GENERATED ALWAYS AS
                      (EXTRACT(EPOCH FROM (arrival_time - departure_time))/3600) STORED,
  -- Distance
  distance_nm         NUMERIC(10,2),                -- nautical miles, AIS-calculated
  -- Time breakdowns
  time_at_sea_hours   NUMERIC(8,2),
  time_in_port_hours  NUMERIC(8,2),
  time_at_anchor_hours NUMERIC(8,2),
  -- EU ETS voyage classification
  voyage_type         VARCHAR(20)
                      CHECK (voyage_type IN ('intra_eu','eu_to_third','third_to_eu','non_eu')),
  ets_coverage_rate   NUMERIC(4,3) DEFAULT 1.0,     -- 1.0 intra-EU, 0.5 third-country
  -- Reporting year allocation (for multi-year voyages)
  reporting_year      SMALLINT NOT NULL,            -- year most of voyage falls in
  prorated            BOOLEAN NOT NULL DEFAULT FALSE,
  -- AIS data quality
  ais_source          VARCHAR(30) DEFAULT 'marinetraffic',
  ais_confidence      VARCHAR(10) DEFAULT 'high'
                      CHECK (ais_confidence IN ('high','medium','low','manual')),
  data_gap_flag       BOOLEAN NOT NULL DEFAULT FALSE,
  data_gap_notes      TEXT,
  -- Compliance Engine validation
  validation_status   VARCHAR(20) DEFAULT 'pending'
                      CHECK (validation_status IN ('pending','valid','warning','error')),
  validation_flags    JSONB DEFAULT '[]',
  created_at          TIMESTAMPTZ NOT NULL DEFAULT NOW(),
  updated_at          TIMESTAMPTZ NOT NULL DEFAULT NOW()
);
CREATE INDEX idx_voyages_vessel ON voyages(vessel_id);
CREATE INDEX idx_voyages_year ON voyages(vessel_id, reporting_year);
CREATE INDEX idx_voyages_dep ON voyages(departure_time);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fuel_deliveries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fuel_deliveries (
  id                  UUID PRIMARY KEY DEFAULT gen_random_uuid(),
  vessel_id           UUID NOT NULL REFERENCES vessels(id) ON DELETE CASCADE,
  org_id              UUID NOT NULL REFERENCES organisations(id),
  voyage_id           UUID REFERENCES voyages(id),   -- nullable (bunker at anchor)
  -- BDN core fields
  delivery_date       DATE NOT NULL,
  delivery_port_locode VARCHAR(10),
  delivery_port_name  VARCHAR(255),
  supplier_name       VARCHAR(255),
  bdn_number          VARCHAR(100),                  -- BDN reference from document
  -- Fuel specification (ISO 8217)
  fuel_type_iso       VARCHAR(30) NOT NULL,          -- e.g. 'VLSFO','HFO','LSMGO','LNG','B10','B20'
  fuel_type_raw       VARCHAR(100),                  -- as printed on BDN before normalisation
  quantity_mt         NUMERIC(10,3) NOT NULL,        -- metric tonnes
  density_kg_m3       NUMERIC(8,3),
  viscosity_cst       NUMERIC(8,3),
  sulphur_pct         NUMERIC(5,4),
  -- Emissions calculations (Tank-to-Wake, EU ETS)
  ef_ttw              NUMERIC(8,4),                  -- emission factor tCO2/tFuel (MARPOL Annex VI)
  co2_ttw_tonnes      NUMERIC(10,4),                 -- quantity_mt × ef_ttw
  -- Emissions calculations (Well-to-Wake, FuelEU)
  ef_wtw              NUMERIC(10,4),                 -- gCO2e/MJ
  energy_content_mj   NUMERIC(12,2),                 -- quantity × lower heating value
  co2e_wtw_tonnes     NUMERIC(10,4),
  -- Biofuel / ISCC
  is_biofuel          BOOLEAN NOT NULL DEFAULT FALSE,
  biofuel_blend_pct   NUMERIC(5,2),                  -- e.g. 10 for B10
  iscc_cert_id        UUID REFERENCES iscc_certificates(id),
  iscc_required       BOOLEAN NOT NULL DEFAULT FALSE,
  iscc_missing_flag   BOOLEAN NOT NULL DEFAULT FALSE, -- TRUE if biofuel and no ISCC
  -- OCR source
  document_id         UUID REFERENCES documents(id),
  ocr_job_id          UUID REFERENCES ocr_jobs(id),
  ocr_confidence      NUMERIC(4,3),
  manual_override     BOOLEAN NOT NULL DEFAULT FALSE,
  manual_override_by  UUID REFERENCES users(id),
  manual_override_at  TIMESTAMPTZ,
  -- Compliance validation
  validation_status   VARCHAR(20) DEFAULT 'pending',
  validation_flags    JSONB DEFAULT '[]',
  created_at          TIMESTAMPTZ NOT NULL DEFAULT NOW(),
  updated_at          TIMESTAMPTZ NOT NULL DEFAULT NOW()
);
CREATE INDEX idx_fd_vessel ON fuel_deliveries(vessel_id);
CREATE INDEX idx_fd_date ON fuel_deliveries(vessel_id, delivery_date);
CREATE INDEX idx_fd_year ON fuel_deliveries(vessel_id, EXTRACT(YEAR FROM delivery_date));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ets_records (one per vessel per reporting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ets_records (
  id                    UUID PRIMARY KEY DEFAULT gen_random_uuid(),
  vessel_id             UUID NOT NULL REFERENCES vessels(id),
  org_id                UUID NOT NULL REFERENCES organisations(id),
  reporting_year        SMALLINT NOT NULL,
  -- Calculated totals
  total_co2_ttw         NUMERIC(12,4),               -- tCO2 Tank-to-Wake, all voyages
  intra_eu_co2          NUMERIC(12,4),               -- 100% coverage voyages
  third_country_co2     NUMERIC(12,4),               -- 50% coverage voyages
  covered_co2           NUMERIC(12,4),               -- intra_eu + (third_country × 0.5)
  -- Coverage rate for year
  ets_coverage_rate     NUMERIC(4,3) NOT NULL DEFAULT 1.0,  -- 1.0 from 2026
  -- EUA obligation
  eua_obligation        NUMERIC(12,2),               -- covered_co2 × coverage_rate
  eua_price_at_calc     NUMERIC(8,2),                -- €/tonne at time of calculation
  eua_cost_estimate     NUMERIC(12,2),               -- eua_obligation × eua_price_at_calc
  eua_surrendered       NUMERIC(12,2) DEFAULT 0,
  surrender_date        DATE,
  moha_account          VARCHAR(100),
  -- Penalty exposure
  penalty_risk_flag     BOOLEAN NOT NULL DEFAULT FALSE,
  penalty_estimate      NUMERIC(12,2),               -- €100/missing tonne × 1.3206 inflation adj.
  -- THETIS-MRV
  thetis_submission_id  VARCHAR(100),
  thetis_submitted_at   TIMESTAMPTZ,
  thetis_status         VARCHAR(20) DEFAULT 'not_submitted',
  thetis_report_url     TEXT,
  -- Verification
  verifier_id           UUID,
  verification_status   VARCHAR(20) DEFAULT 'not_started',
  verification_started  TIMESTAMPTZ,
  verification_completed TIMESTAMPTZ,
  document_of_conformity_no VARCHAR(100),
  -- Record status
  record_status         VARCHAR(20) DEFAULT 'in_progress'
                        CHECK (record_status IN ('in_progress','submitted','verified','surrendered','closed')),
  calculated_at         TIMESTAMPTZ,
  created_at            TIMESTAMPTZ NOT NULL DEFAULT NOW(),
  updated_at            TIMESTAMPTZ NOT NULL DEFAULT NOW(),
  UNIQUE (vessel_id, reporting_year)
);
CREATE INDEX idx_ets_vessel_year ON ets_records(vessel_id, reporting_year);</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fueleu_records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fueleu_records (
  id                    UUID PRIMARY KEY DEFAULT gen_random_uuid(),
  vessel_id             UUID NOT NULL REFERENCES vessels(id),
  org_id                UUID NOT NULL REFERENCES organisations(id),
  reporting_year        SMALLINT NOT NULL,
  -- GHG intensity (Well-to-Wake)
  total_energy_mj       NUMERIC(16,2),
  total_ghg_co2e_tonnes NUMERIC(12,4),
  ghg_intensity_gco2e_mj NUMERIC(10,6),            -- gCO2e/MJ
  -- FuelEU targets
  baseline_gco2e_mj     NUMERIC(8,4) DEFAULT 91.16, -- 2020 fleet average
  target_reduction_pct  NUMERIC(5,3),               -- e.g. 0.02 for 2025-2029
  target_ghg_intensity  NUMERIC(10,6),
  compliance_balance    NUMERIC(10,4),              -- positive=surplus, negative=deficit
  -- OPS (Onshore Power Supply)
  ops_energy_mj         NUMERIC(12,2) DEFAULT 0,
  ops_events_count      INTEGER DEFAULT 0,
  -- Biofuel tracking
  biofuel_energy_mj     NUMERIC(12,2) DEFAULT 0,
  biofuel_iscc_gap_flag BOOLEAN DEFAULT FALSE,
  -- Pooling
  pool_id               UUID,                       -- FuelEU pooling arrangement
  pool_role             VARCHAR(10) CHECK (pool_role IN ('buyer','seller')),
  pooled_balance        NUMERIC(10,4),
  -- Penalty
  penalty_exposure_eur  NUMERIC(12,2),
  -- Submission
  submission_status     VARCHAR(20) DEFAULT 'in_progress',
  submitted_at          TIMESTAMPTZ,
  deadline_date         DATE,                       -- 30 April following year
  calculated_at         TIMESTAMPTZ,
  created_at            TIMESTAMPTZ NOT NULL DEFAULT NOW(),
  updated_at            TIMESTAMPTZ NOT NULL DEFAULT NOW(),
  UNIQUE (vessel_id, reporting_year)
);</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documents (
  id              UUID PRIMARY KEY DEFAULT gen_random_uuid(),
  org_id          UUID NOT NULL REFERENCES organisations(id),
  vessel_id       UUID REFERENCES vessels(id),
  doc_type        VARCHAR(30) NOT NULL
                  CHECK (doc_type IN (
                    'bdn','monitoring_plan','iscc_certificate','ops_receipt',
                    'ets_report','fueleu_report','green_zone_cert','other'
                  )),
  filename        VARCHAR(500) NOT NULL,
  storage_path    TEXT NOT NULL,                    -- Supabase Storage path
  mime_type       VARCHAR(100),
  file_size_bytes BIGINT,
  checksum_sha256 CHAR(64),                         -- integrity verification
  -- OCR state
  ocr_status      VARCHAR(20) DEFAULT 'pending'
                  CHECK (ocr_status IN ('pending','queued','processing','complete','failed','skipped')),
  ocr_job_id      UUID REFERENCES ocr_jobs(id),
  ocr_result_id   UUID,
  -- Source
  source          VARCHAR(20) DEFAULT 'upload'
                  CHECK (source IN ('upload','email_ingest','api')),
  source_email    TEXT,                             -- if from email ingest
  uploaded_by     UUID REFERENCES users(id),
  -- Reporting period
  reporting_year  SMALLINT,
  document_date   DATE,
  created_at      TIMESTAMPTZ NOT NULL DEFAULT NOW(),
  updated_at      TIMESTAMPTZ NOT NULL DEFAULT NOW()
);
CREATE INDEX idx_docs_org ON documents(org_id);
CREATE INDEX idx_docs_vessel ON documents(vessel_id);
CREATE INDEX idx_docs_type ON documents(doc_type);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ocr_jobs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ocr_jobs (
  id                UUID PRIMARY KEY DEFAULT gen_random_uuid(),
  org_id            UUID NOT NULL REFERENCES organisations(id),
  document_id       UUID NOT NULL REFERENCES documents(id),
  provider          VARCHAR(20) NOT NULL DEFAULT 'google_document_ai',
  processor_type    VARCHAR(30) DEFAULT 'bdn',      -- 'bdn','certificate','generic'
  status            VARCHAR(20) NOT NULL DEFAULT 'queued'
                    CHECK (status IN ('queued','processing','complete','failed','review_required')),
  -- Provider response
  provider_job_id   TEXT,
  raw_response      JSONB,                          -- full provider OCR response
  -- Extracted fields (structured)
  extracted_data    JSONB,                          -- normalised field map
  confidence_scores JSONB,                          -- per-field confidence
  -- Quality assessment
  overall_confidence NUMERIC(4,3),
  fields_requiring_review JSONB DEFAULT '[]',
  human_review_required   BOOLEAN NOT NULL DEFAULT FALSE,
  human_reviewed_by       UUID REFERENCES users(id),
  human_reviewed_at       TIMESTAMPTZ,
  human_corrections       JSONB,
  -- Timing
  queued_at         TIMESTAMPTZ NOT NULL DEFAULT NOW(),
  started_at        TIMESTAMPTZ,
  completed_at      TIMESTAMPTZ,
  duration_ms       INTEGER,
  error_message     TEXT,
  retry_count       INTEGER DEFAULT 0,
  created_at        TIMESTAMPTZ NOT NULL DEFAULT NOW()
);
CREATE INDEX idx_ocr_status ON ocr_jobs(status);
CREATE INDEX idx_ocr_doc ON ocr_jobs(document_id);</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ais_positions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ais_positions (
  time        TIMESTAMPTZ NOT NULL,                 -- partition key
  vessel_id   UUID NOT NULL REFERENCES vessels(id),
  imo_number  VARCHAR(10) NOT NULL,
  mmsi        VARCHAR(9),
  lat         DOUBLE PRECISION NOT NULL,
  lon         DOUBLE PRECISION NOT NULL,
  sog_knots   NUMERIC(5,2),                         -- speed over ground
  cog_deg     NUMERIC(6,2),                         -- course over ground
  heading_deg NUMERIC(6,2),
  nav_status  VARCHAR(30),                          -- 'underway','at_anchor','moored', etc.
  source      VARCHAR(20) DEFAULT 'marinetraffic',
  PRIMARY KEY (time, vessel_id)
);
-- Convert to hypertable (chunked by time for performance)
SELECT create_hypertable('ais_positions', 'time', chunk_time_interval =&gt; INTERVAL '7 days');
SELECT add_retention_policy('ais_positions', INTERVAL '3 years');
CREATE INDEX idx_ais_vessel_time ON ais_positions(vessel_id, time DESC);</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audit_log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audit_log (
  id            BIGSERIAL PRIMARY KEY,              -- bigint for high-volume
  org_id        UUID NOT NULL,
  user_id       UUID,                               -- null for system actions
  entity_type   VARCHAR(50) NOT NULL,               -- 'vessel','voyage','fuel_delivery', etc.
  entity_id     UUID NOT NULL,
  action        VARCHAR(20) NOT NULL
                CHECK (action IN ('create','update','delete','login','export','ocr_complete','validation_run')),
  before_state  JSONB,                              -- full record before change
  after_state   JSONB,                              -- full record after change
  diff          JSONB,                              -- computed diff for display
  ip_address    INET,
  user_agent    TEXT,
  timestamp     TIMESTAMPTZ NOT NULL DEFAULT NOW(),
  -- NO update trigger, NO delete trigger -- this table is append-only
  CONSTRAINT audit_log_no_update CHECK (TRUE)      -- enforced at application layer
);
-- Partition by month for performance
CREATE INDEX idx_audit_org_time ON audit_log(org_id, timestamp DESC);
CREATE INDEX idx_audit_entity ON audit_log(entity_type, entity_id, timestamp DESC);
-- IMPORTANT: Revoke UPDATE and DELETE on this table from all application roles
REVOKE UPDATE, DELETE ON audit_log FROM poseidon_app_role;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green_zone_ports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green_zone_ports (
  id                    UUID PRIMARY KEY DEFAULT gen_random_uuid(),
  port_locode           VARCHAR(10) NOT NULL UNIQUE,
  port_name             VARCHAR(255) NOT NULL,
  country               CHAR(2) NOT NULL,
  enforcement_level     VARCHAR(10) NOT NULL
                        CHECK (enforcement_level IN ('low','medium','high','very_high')),
  requires_ets_docs     BOOLEAN NOT NULL DEFAULT FALSE,
  requires_esg_cert     BOOLEAN NOT NULL DEFAULT FALSE,
  requires_shore_power  BOOLEAN NOT NULL DEFAULT FALSE,
  sox_limit_pct         NUMERIC(4,3) DEFAULT 0.1,
  environmental_fee     BOOLEAN NOT NULL DEFAULT FALSE,
  fee_currency          CHAR(3),
  notes                 TEXT,
  requirements_detail   JSONB,                      -- full requirement details
  effective_from        DATE,
  last_verified         DATE,
  source_url            TEXT,
  created_at            TIMESTAMPTZ NOT NULL DEFAULT NOW(),
  updated_at            TIMESTAMPTZ NOT NULL DEFAULT NOW()
);</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emission_factors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emission_factors (
  id              UUID PRIMARY KEY DEFAULT gen_random_uuid(),
  fuel_type_iso   VARCHAR(30) NOT NULL,
  fuel_category   VARCHAR(20) NOT NULL,             -- 'fossil','biofuel','lng','other'
  regulation      VARCHAR(10) NOT NULL
                  CHECK (regulation IN ('eu_ets','fueleu','marpol')),
  factor_type     VARCHAR(10) NOT NULL
                  CHECK (factor_type IN ('ttw','wtw','wtt')),
  value           NUMERIC(12,6) NOT NULL,
  unit            VARCHAR(20) NOT NULL,             -- 'tCO2_per_tFuel','gCO2e_per_MJ'
  effective_from  DATE NOT NULL,
  effective_to    DATE,
  source          TEXT NOT NULL,
  created_at      TIMESTAMPTZ NOT NULL DEFAULT NOW()
);
CREATE INDEX idx_ef_type ON emission_factors(fuel_type_iso, regulation, factor_type);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iscc_certificates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CREATE TABLE iscc_certificates (
  id                UUID PRIMARY KEY DEFAULT gen_random_uuid(),
  org_id            UUID NOT NULL REFERENCES organisations(id),
  vessel_id         UUID REFERENCES vessels(id),     -- nullable (supplier-level cert)
  certificate_no    VARCHAR(100) NOT NULL,
  issuing_body      VARCHAR(255),
  fuel_type         VARCHAR(50),
  biofuel_category  VARCHAR(50),
  sustainability_standard VARCHAR(50) DEFAULT 'ISCC',
  valid_from        DATE NOT NULL,
  valid_to          DATE NOT NULL,
  is_expired        BOOLEAN GENERATED ALWAYS AS (valid_to &lt; CURRENT_DATE) STORED,
  document_id       UUID REFERENCES documents(id),
  created_at        TIMESTAMPTZ NOT NULL DEFAULT NOW()
);</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7.3  Row-Level Security (Multi-Tenancy)</w:t>
      </w:r>
    </w:p>
    <w:p>
      <w:pPr>
        <w:spacing w:after="100" w:before="0"/>
        <w:jc w:val="both"/>
      </w:pPr>
      <w:r>
        <w:rPr>
          <w:rFonts w:ascii="Arial" w:cs="Arial" w:eastAsia="Arial" w:hAnsi="Arial"/>
          <w:color w:val="1A2332"/>
          <w:sz w:val="19"/>
          <w:szCs w:val="19"/>
        </w:rPr>
        <w:t xml:space="preserve">All tables with an org_id column are protected by PostgreSQL Row Level Security policies enforced via Supabase. The application role poseidon_app_role sees only rows where org_id matches the authenticated session's organisation context.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Enable RLS
ALTER TABLE vessels ENABLE ROW LEVEL SECURITY;
-- Policy: users can only see vessels belonging to their organisation
CREATE POLICY vessels_org_isolation ON vessels
  FOR ALL
  TO poseidon_app_role
  USING (org_id = current_setting('app.current_org_id')::UUID);
-- Set org context at session start (called by backend on each request)
SET LOCAL app.current_org_id = '&lt;org_uuid&gt;';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B87A00" w:sz="14"/>
              <w:bottom w:val="single" w:color="C5CDD8" w:sz="1"/>
              <w:right w:val="single" w:color="C5CDD8" w:sz="1"/>
            </w:tcBorders>
            <w:shd w:fill="FFF8E8" w:val="clear"/>
            <w:tcMar>
              <w:top w:type="dxa" w:w="120"/>
              <w:left w:type="dxa" w:w="180"/>
              <w:bottom w:type="dxa" w:w="120"/>
              <w:right w:type="dxa" w:w="180"/>
            </w:tcMar>
          </w:tcPr>
          <w:p>
            <w:pPr>
              <w:spacing w:after="50" w:before="0"/>
            </w:pPr>
            <w:r>
              <w:rPr>
                <w:rFonts w:ascii="Arial" w:cs="Arial" w:eastAsia="Arial" w:hAnsi="Arial"/>
                <w:b/>
                <w:bCs/>
                <w:color w:val="B87A00"/>
                <w:sz w:val="18"/>
                <w:szCs w:val="18"/>
              </w:rPr>
              <w:t xml:space="preserve">RLS ENFORCEMENT NOTE</w:t>
            </w:r>
          </w:p>
          <w:p>
            <w:pPr>
              <w:spacing w:after="0" w:before="0"/>
              <w:jc w:val="both"/>
            </w:pPr>
            <w:r>
              <w:rPr>
                <w:rFonts w:ascii="Arial" w:cs="Arial" w:eastAsia="Arial" w:hAnsi="Arial"/>
                <w:color w:val="1A2332"/>
                <w:sz w:val="18"/>
                <w:szCs w:val="18"/>
              </w:rPr>
              <w:t xml:space="preserve">RLS is the last line of defence, not the first. The application layer must also enforce org_id filtering in every query. RLS protects against application bugs that accidentally omit the filter — it is not a substitute for correct application code.</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8.  Authentication &amp; Security Architecture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8.1  Authentication Stack</w:t>
      </w:r>
    </w:p>
    <w:p>
      <w:pPr>
        <w:spacing w:after="100" w:before="0"/>
        <w:jc w:val="both"/>
      </w:pPr>
      <w:r>
        <w:rPr>
          <w:rFonts w:ascii="Arial" w:cs="Arial" w:eastAsia="Arial" w:hAnsi="Arial"/>
          <w:color w:val="1A2332"/>
          <w:sz w:val="19"/>
          <w:szCs w:val="19"/>
        </w:rPr>
        <w:t xml:space="preserve">Poseidon Ledger uses Supabase Auth as the primary authentication provider. This provides JWT-based sessions, email/password authentication, OAuth (Google Workspace), magic link, and TOTP multi-factor authentication — all without requiring a custom auth implementation at the application layer.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COMPONENT</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w:t>
            </w:r>
          </w:p>
        </w:tc>
        <w:tc>
          <w:tcPr>
            <w:tcW w:type="dxa" w:w="4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Session tokens</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JWT (Supabase Auth, RS256 signed)</w:t>
            </w:r>
          </w:p>
        </w:tc>
        <w:tc>
          <w:tcPr>
            <w:tcW w:type="dxa" w:w="4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Access token: 1 hour TTL. Refresh token: 30 days. Tokens contain org_id and role claims used by RLS and application middleware.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Email/password</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Auth built-in</w:t>
            </w:r>
          </w:p>
        </w:tc>
        <w:tc>
          <w:tcPr>
            <w:tcW w:type="dxa" w:w="4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bcrypt password hashing (Supabase default). Password strength enforced: min 12 chars, uppercase, number, symbol.</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OAuth</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Google Workspace (for fleet management companies using Google)</w:t>
            </w:r>
          </w:p>
        </w:tc>
        <w:tc>
          <w:tcPr>
            <w:tcW w:type="dxa" w:w="4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OAuth 2.0. Linked to Supabase user record. Email domain restriction available for enterprise clients.</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Magic link</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Auth built-in</w:t>
            </w:r>
          </w:p>
        </w:tc>
        <w:tc>
          <w:tcPr>
            <w:tcW w:type="dxa" w:w="4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Used for initial invitation flow. One-time use, 24-hour expiry.</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MFA</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TOTP (Supabase Auth MFA)</w:t>
            </w:r>
          </w:p>
        </w:tc>
        <w:tc>
          <w:tcPr>
            <w:tcW w:type="dxa" w:w="4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Required for Admin and Compliance Manager roles. Optional for Viewer. Authenticator app (Google Authenticator, Authy). Backup codes generated on enrolment.</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API keys</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Custom — UUID v4 generated, stored as bcrypt hash</w:t>
            </w:r>
          </w:p>
        </w:tc>
        <w:tc>
          <w:tcPr>
            <w:tcW w:type="dxa" w:w="4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For API Client role (integrations). Prefix format: pl_live_xxxxxxxx or pl_test_xxxxxxxx. Shown once on creation. No expiry but revocable.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8.2  Permission Model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700"/>
        <w:gridCol w:w="1400"/>
        <w:gridCol w:w="860"/>
      </w:tblGrid>
      <w:tr>
        <w:tc>
          <w:tcPr>
            <w:tcW w:type="dxa" w:w="4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PERMISSION</w:t>
            </w:r>
          </w:p>
        </w:tc>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ADMIN</w:t>
            </w:r>
          </w:p>
        </w:tc>
        <w:tc>
          <w:tcPr>
            <w:tcW w:type="dxa" w:w="17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COMPLIANCE MGR</w:t>
            </w:r>
          </w:p>
        </w:tc>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VIEWER</w:t>
            </w:r>
          </w:p>
        </w:tc>
        <w:tc>
          <w:tcPr>
            <w:tcW w:type="dxa" w:w="8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API CLIENT</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Manage organisation settings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Invite / remove users</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Manage billing</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Add / edit vessels</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Upload documents (BDNs, certs)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Trigger OCR re-processing</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Edit / override OCR results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Create / edit Monitoring Plans</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View all compliance dashboards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Generate and export reports</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View audit log</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(own actions)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Delete vessels / records</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(soft delete)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Manage API keys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4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Read via REST API</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(scoped)</w:t>
            </w:r>
          </w:p>
        </w:tc>
      </w:tr>
      <w:tr>
        <w:tc>
          <w:tcPr>
            <w:tcW w:type="dxa" w:w="4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Write via REST API</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7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8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(scoped)</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8.3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CONTROL</w:t>
            </w:r>
          </w:p>
        </w:tc>
        <w:tc>
          <w:tcPr>
            <w:tcW w:type="dxa" w:w="6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IMPLEMENTATION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Transport encryption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TLS 1.3 everywhere. HSTS enforced. No HTTP.</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 at rest</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(AWS RDS) AES-256 encryption. Supabase Storage (S3) AES-256. Database backups encrypted.</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Secrets management</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Vercel environment variables for frontend. Fly.io secrets for backend. API keys never stored in git. Supabase service role key never exposed to frontend.</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CSRF protection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SameSite=Strict cookies. CSRF tokens on state-changing requests.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Rate limiting</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Upstash Redis rate limiting on all API endpoints. Auth endpoints: 5 attempts / 15 min per IP. Document upload: 100 / hour per org. AIS sync: 1000 calls / day per org.</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Input validation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Zod schema validation on all API inputs. IMO number validated against check digit algorithm. Fuel quantities validated against physical bounds.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SQL injection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Parameterised queries only. No string interpolation in SQL. Prisma ORM enforces this at the framework level.</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Dependency scanning</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Dependabot on GitHub. npm audit in CI/CD pipeline. Snyk for deeper analysis.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Audit logging</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write operations logged to audit_log. Log table is append-only (REVOKE UPDATE/DELETE). Logs retained for 7 years (regulatory requirement).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GDPR / data residency</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Personal data (user names, emails) stored in EU-region Supabase instance. AIS position data is vessel-level, not personal data. Privacy policy clearly states data processing basis.</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9.  Complete REST API Specification</w:t>
      </w:r>
    </w:p>
    <w:p>
      <w:pPr>
        <w:spacing w:after="60" w:before="0"/>
      </w:pPr>
      <w:r>
        <w:t xml:space="preserve"/>
      </w:r>
    </w:p>
    <w:p>
      <w:pPr>
        <w:spacing w:after="100" w:before="0"/>
        <w:jc w:val="both"/>
      </w:pPr>
      <w:r>
        <w:rPr>
          <w:rFonts w:ascii="Arial" w:cs="Arial" w:eastAsia="Arial" w:hAnsi="Arial"/>
          <w:color w:val="1A2332"/>
          <w:sz w:val="19"/>
          <w:szCs w:val="19"/>
        </w:rPr>
        <w:t xml:space="preserve">All endpoints are prefixed with /api/v1. Authentication is via Bearer token (JWT) or API key header (X-API-Key). Content-Type: application/json throughout. Pagination uses cursor-based pagination: ?cursor=&lt;id&gt;&amp;limit=&lt;n&gt;. All responses include a request_id header for tracing.</w:t>
      </w:r>
    </w:p>
    <w:p>
      <w:pPr>
        <w:spacing w:after="60" w:before="0"/>
      </w:pPr>
      <w:r>
        <w:t xml:space="preserve"/>
      </w:r>
    </w:p>
    <w:p>
      <w:pPr>
        <w:pStyle w:val="Heading2"/>
        <w:spacing w:after="80" w:before="280"/>
      </w:pPr>
      <w:r>
        <w:rPr>
          <w:rFonts w:ascii="Arial" w:cs="Arial" w:eastAsia="Arial" w:hAnsi="Arial"/>
          <w:b/>
          <w:bCs/>
          <w:color w:val="0D7D7E"/>
          <w:sz w:val="24"/>
          <w:szCs w:val="24"/>
        </w:rPr>
        <w:t xml:space="preserve">9.1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Success
{
  "success": true,
  "data": { ... },
  "meta": { "request_id": "req_...", "timestamp": "2026-06-01T12:00:00Z" }
}
// Error
{
  "success": false,
  "error": {
    "code": "VALIDATION_ERROR",
    "message": "Human-readable message",
    "details": [ { "field": "quantity_mt", "issue": "Must be greater than 0" } ]
  },
  "meta": { "request_id": "req_..." }
}
// Paginated list
{
  "success": true,
  "data": [ ... ],
  "pagination": {
    "cursor": "cursor_abc123",
    "has_more": true,
    "total_count": 250
  }
}</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9.2  Vessels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List all vessels for the authenticated organisation. Filters: ?fleet_id=, ?ets_scope=true, ?active=true. Returns vessel summary array.</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Create a new vessel record. Body: { imo_number, name, fleet_id, vessel_type, propulsion_type, gross_tonnage, flag_state, build_year, class_society }. Auto-derives ets_scope from GT. Auto-creates ingest_email.</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vessel detail including current monitoring_plan, latest ets_record, compliance risk score, and recent voyages.</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PATCH</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Update vessel attributes. Immutable fields: imo_number. All changes logged to audit_log.</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DELETE</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Soft delete. Sets deleted_at. All data retained. Vessel removed from active fleet view.</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only</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/vessels/:id/compliance-score</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Current compliance risk score and breakdown: data_coverage_pct, bdn_coverage_pct, monitoring_plan_gaps[], open_violations[].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/vessels/:id/ais-sync</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Trigger immediate AIS data pull for specified date range. Body: { from_date, to_date }. Returns job_id.</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9.3  Voyages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/vessels/:id/voyages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List voyages for a vessel. Filters: ?year=2026, ?status=error, ?from=, ?to=. Sorted by departure_time desc.</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voyage record including associated fuel_deliveries, validation_flags, and AIS position count.</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/vessels/:id/voyages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voyage entry. Used when AIS data unavailable. Body: { departure_port_locode, arrival_port_locode, departure_time, arrival_time, distance_nm, ais_confidence: 'manual' }.</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PATCH</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Correct voyage record. Only manual/low-confidence voyages editable without special permission. High-confidence AIS voyages require Admin override.</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/voyages/:id/validate</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Re-run Compliance Engine validation against this voyage. Returns updated validation_flags.</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9.4  Fuel Deliveries &amp; BDNs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/vessels/:id/fuel-deliveries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List all fuel deliveries for a vessel. Filters: ?year=, ?iscc_missing=true.</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/vessels/:id/fuel-deliveries</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fuel delivery entry. Body: { delivery_date, delivery_port_locode, fuel_type_iso, quantity_mt, supplier_name, bdn_number, is_biofuel, biofuel_blend_pct }.</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/fuel-deliveries/:id</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fuel delivery record including OCR source data and validation flags.</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PATCH</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/fuel-deliveries/:id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Override OCR-extracted values. Sets manual_override=true. Audit logged.</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/fuel-deliveries/:id/link-voyage</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Link a fuel delivery to a specific voyage. Body: { voyage_id }.</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/fuel-deliveries/:id/link-iscc</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Link ISCC certificate to a biofuel delivery. Body: { iscc_certificate_id }. Clears iscc_missing_flag.</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9.5  Documents &amp;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/documents/upload</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 a document. Multipart form: { file, vessel_id, doc_type, reporting_year }. Returns document_id and queues OCR job.</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 API Client</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 metadata and OCR status.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/documents/:id/download</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Signed URL for original file download. URL valid 15 minutes.</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/ocr-jobs/:id</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job status and result. Returns extracted_data and confidence_scores.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/ocr-jobs/:id/review</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Submit human corrections to OCR result. Body: { corrections: { field: value } }. Triggers re-calculation of associated fuel delivery.</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/ocr-jobs/:id/retry</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Re-queue a failed OCR job.</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9.6  Compliance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/vessels/:id/ets/:year</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ETS record for vessel and reporting year. Includes covered_co2, eua_obligation, eua_cost_estimate, penalty_risk.</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/vessels/:id/ets/:year/calculate</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Recalculate ETS record from current voyage and fuel data. Returns updated record.</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/vessels/:id/fueleu/:year</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FuelEU record including GHG intensity, compliance balance, penalty exposure.</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/vessels/:id/reports/thetis-mrv</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Generate THETIS-MRV report XML for specified year. Body: { year }. Returns report_url (signed download URL).</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/vessels/:id/reports/esg-pack</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Generate ESG credential PDF for charter clients. Returns signed PDF URL.</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/organisations/:id/fleet-summary/:year</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Fleet-level ETS and FuelEU summary. Total covered CO2, total EUA obligation, vessels-at-risk count, fleet risk score.</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/compliance/validate-fleet/:year</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Run Compliance Engine across entire fleet for a given year. Returns per-vessel violation summary.</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9.7  Monitoring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360"/>
      </w:tblGrid>
      <w:tr>
        <w:tc>
          <w:tcPr>
            <w:tcW w:type="dxa" w:w="1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METHOD</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ENDPOINT</w:t>
            </w:r>
          </w:p>
        </w:tc>
        <w:tc>
          <w:tcPr>
            <w:tcW w:type="dxa" w:w="3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AUTH REQUIRED</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/vessels/:id/monitoring-plans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Monitoring Plan versions for a vessel, sorted by version desc.</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roles</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/vessels/:id/monitoring-plans</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Create new Monitoring Plan version. Supersedes current active plan.</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/monitoring-plans/:id/gap-analysis</w:t>
            </w:r>
          </w:p>
        </w:tc>
        <w:tc>
          <w:tcPr>
            <w:tcW w:type="dxa" w:w="3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gap analysis report: per-rule compliance status, severity, remediation guidance.</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r>
        <w:tc>
          <w:tcPr>
            <w:tcW w:type="dxa" w:w="1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/monitoring-plans/:id/run-gap-analysis</w:t>
            </w:r>
          </w:p>
        </w:tc>
        <w:tc>
          <w:tcPr>
            <w:tcW w:type="dxa" w:w="3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Trigger re-run of gap analysis against current regulatory requirements.</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9.8  Webhooks (Outbound)</w:t>
      </w:r>
    </w:p>
    <w:p>
      <w:pPr>
        <w:spacing w:after="100" w:before="0"/>
        <w:jc w:val="both"/>
      </w:pPr>
      <w:r>
        <w:rPr>
          <w:rFonts w:ascii="Arial" w:cs="Arial" w:eastAsia="Arial" w:hAnsi="Arial"/>
          <w:color w:val="1A2332"/>
          <w:sz w:val="19"/>
          <w:szCs w:val="19"/>
        </w:rPr>
        <w:t xml:space="preserve">Poseidon Ledger can notify external systems via webhooks when key events occur. Useful for integration with fleet management software (IDEA Yacht, Sealogical) or internal tools.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EVENT</w:t>
            </w:r>
          </w:p>
        </w:tc>
        <w:tc>
          <w:tcPr>
            <w:tcW w:type="dxa" w:w="6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PAYLOAD SUMMARY</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ocr.completed</w:t>
            </w:r>
          </w:p>
        </w:tc>
        <w:tc>
          <w:tcPr>
            <w:tcW w:type="dxa" w:w="6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job_id, document_id, vessel_id, status, extracted_data, review_required }</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voyage.imported</w:t>
            </w:r>
          </w:p>
        </w:tc>
        <w:tc>
          <w:tcPr>
            <w:tcW w:type="dxa" w:w="6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voyage_id, vessel_id, imo_number, departure_port, arrival_port, co2_calculated }</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compliance.violation</w:t>
            </w:r>
          </w:p>
        </w:tc>
        <w:tc>
          <w:tcPr>
            <w:tcW w:type="dxa" w:w="6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vessel_id, rule_id, severity, message, reporting_year }</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ets_record.updated</w:t>
            </w:r>
          </w:p>
        </w:tc>
        <w:tc>
          <w:tcPr>
            <w:tcW w:type="dxa" w:w="6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vessel_id, year, eua_obligation, record_status }</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deadline.approaching</w:t>
            </w:r>
          </w:p>
        </w:tc>
        <w:tc>
          <w:tcPr>
            <w:tcW w:type="dxa" w:w="6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type, deadline_date, days_remaining, vessel_ids[], org_id }</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green_zone.alert</w:t>
            </w:r>
          </w:p>
        </w:tc>
        <w:tc>
          <w:tcPr>
            <w:tcW w:type="dxa" w:w="6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vessel_id, port_locode, arrival_time, requirements_missing[] }</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10.  OCR Processing Pipeline — Full Specification</w:t>
      </w:r>
    </w:p>
    <w:p>
      <w:pPr>
        <w:spacing w:after="60" w:before="0"/>
      </w:pPr>
      <w:r>
        <w:t xml:space="preserve"/>
      </w:r>
    </w:p>
    <w:p>
      <w:pPr>
        <w:spacing w:after="100" w:before="0"/>
        <w:jc w:val="both"/>
      </w:pPr>
      <w:r>
        <w:rPr>
          <w:rFonts w:ascii="Arial" w:cs="Arial" w:eastAsia="Arial" w:hAnsi="Arial"/>
          <w:color w:val="1A2332"/>
          <w:sz w:val="19"/>
          <w:szCs w:val="19"/>
        </w:rPr>
        <w:t xml:space="preserve">This section describes the complete document ingestion and OCR pipeline: from document receipt through extraction, validation, and integration into the compliance data model. The pipeline must handle a wide variety of BDN document formats from hundreds of different marine fuel suppliers worldwide.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10.1  Document Ingestion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CHANNEL</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MECHANISM</w:t>
            </w:r>
          </w:p>
        </w:tc>
        <w:tc>
          <w:tcPr>
            <w:tcW w:type="dxa" w:w="1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EXPECTED VOLUME</w:t>
            </w:r>
          </w:p>
        </w:tc>
        <w:tc>
          <w:tcPr>
            <w:tcW w:type="dxa" w:w="3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Web upload</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Multipart form POST to /api/v1/documents/upload</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Primary for onboarding. Ad-hoc uploads.</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Max file size: 50MB. Supported types: PDF, JPEG, PNG, TIFF.</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Email ingest</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Captain or manager forwards email to imo{imo_number}@docs.poseidonledger.com. Resend Inbound webhook receives email, extracts attachments.</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Expected to become primary channel in active use.</w:t>
            </w:r>
          </w:p>
        </w:tc>
        <w:tc>
          <w:tcPr>
            <w:tcW w:type="dxa" w:w="3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auto-identified from ingest_email address. Duplicate detection via SHA-256 checksum.</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API upload</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POST /api/v1/documents/upload with API key auth</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For integration with fleet management systems.</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Same validation pipeline as web upload.</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10.2  OCR Pipeline — Step-by-Step</w:t>
      </w:r>
    </w:p>
    <w:p>
      <w:pPr>
        <w:spacing w:after="40" w:before="0"/>
      </w:pPr>
      <w:r>
        <w:t xml:space="preserve"/>
      </w:r>
    </w:p>
    <w:p>
      <w:pPr>
        <w:pStyle w:val="Heading3"/>
        <w:spacing w:after="60" w:before="200"/>
      </w:pPr>
      <w:r>
        <w:rPr>
          <w:rFonts w:ascii="Arial" w:cs="Arial" w:eastAsia="Arial" w:hAnsi="Arial"/>
          <w:b/>
          <w:bCs/>
          <w:color w:val="1A2332"/>
          <w:sz w:val="21"/>
          <w:szCs w:val="21"/>
        </w:rPr>
        <w:t xml:space="preserve">Step 1 — File Receipt and Validation</w:t>
      </w:r>
    </w:p>
    <w:p>
      <w:pPr>
        <w:pStyle w:val="ListParagraph"/>
        <w:numPr>
          <w:ilvl w:val="0"/>
          <w:numId w:val="2"/>
        </w:numPr>
        <w:spacing w:after="60" w:before="20"/>
      </w:pPr>
      <w:r>
        <w:rPr>
          <w:rFonts w:ascii="Arial" w:cs="Arial" w:eastAsia="Arial" w:hAnsi="Arial"/>
          <w:color w:val="1A2332"/>
          <w:sz w:val="19"/>
          <w:szCs w:val="19"/>
        </w:rPr>
        <w:t xml:space="preserve">File received via upload or email webhook.</w:t>
      </w:r>
    </w:p>
    <w:p>
      <w:pPr>
        <w:pStyle w:val="ListParagraph"/>
        <w:numPr>
          <w:ilvl w:val="0"/>
          <w:numId w:val="2"/>
        </w:numPr>
        <w:spacing w:after="60" w:before="20"/>
      </w:pPr>
      <w:r>
        <w:rPr>
          <w:rFonts w:ascii="Arial" w:cs="Arial" w:eastAsia="Arial" w:hAnsi="Arial"/>
          <w:color w:val="1A2332"/>
          <w:sz w:val="19"/>
          <w:szCs w:val="19"/>
        </w:rPr>
        <w:t xml:space="preserve">Virus scan via ClamAV (self-hosted sidecar) or cloud provider scan.</w:t>
      </w:r>
    </w:p>
    <w:p>
      <w:pPr>
        <w:pStyle w:val="ListParagraph"/>
        <w:numPr>
          <w:ilvl w:val="0"/>
          <w:numId w:val="2"/>
        </w:numPr>
        <w:spacing w:after="60" w:before="20"/>
      </w:pPr>
      <w:r>
        <w:rPr>
          <w:rFonts w:ascii="Arial" w:cs="Arial" w:eastAsia="Arial" w:hAnsi="Arial"/>
          <w:color w:val="1A2332"/>
          <w:sz w:val="19"/>
          <w:szCs w:val="19"/>
        </w:rPr>
        <w:t xml:space="preserve">MIME type verification (server-side, not relying on Content-Type header).</w:t>
      </w:r>
    </w:p>
    <w:p>
      <w:pPr>
        <w:pStyle w:val="ListParagraph"/>
        <w:numPr>
          <w:ilvl w:val="0"/>
          <w:numId w:val="2"/>
        </w:numPr>
        <w:spacing w:after="60" w:before="20"/>
      </w:pPr>
      <w:r>
        <w:rPr>
          <w:rFonts w:ascii="Arial" w:cs="Arial" w:eastAsia="Arial" w:hAnsi="Arial"/>
          <w:color w:val="1A2332"/>
          <w:sz w:val="19"/>
          <w:szCs w:val="19"/>
        </w:rPr>
        <w:t xml:space="preserve">SHA-256 checksum computed and stored. Duplicate check: if checksum already exists for this org, reject with DUPLICATE_DOCUMENT error.</w:t>
      </w:r>
    </w:p>
    <w:p>
      <w:pPr>
        <w:pStyle w:val="ListParagraph"/>
        <w:numPr>
          <w:ilvl w:val="0"/>
          <w:numId w:val="2"/>
        </w:numPr>
        <w:spacing w:after="60" w:before="20"/>
      </w:pPr>
      <w:r>
        <w:rPr>
          <w:rFonts w:ascii="Arial" w:cs="Arial" w:eastAsia="Arial" w:hAnsi="Arial"/>
          <w:color w:val="1A2332"/>
          <w:sz w:val="19"/>
          <w:szCs w:val="19"/>
        </w:rPr>
        <w:t xml:space="preserve">File stored to Supabase Storage at: {org_id}/{vessel_id}/{year}/{uuid}.{ext}</w:t>
      </w:r>
    </w:p>
    <w:p>
      <w:pPr>
        <w:pStyle w:val="ListParagraph"/>
        <w:numPr>
          <w:ilvl w:val="0"/>
          <w:numId w:val="2"/>
        </w:numPr>
        <w:spacing w:after="60" w:before="20"/>
      </w:pPr>
      <w:r>
        <w:rPr>
          <w:rFonts w:ascii="Arial" w:cs="Arial" w:eastAsia="Arial" w:hAnsi="Arial"/>
          <w:color w:val="1A2332"/>
          <w:sz w:val="19"/>
          <w:szCs w:val="19"/>
        </w:rPr>
        <w:t xml:space="preserve">Document record created in documents table with status: pending.</w:t>
      </w:r>
    </w:p>
    <w:p>
      <w:pPr>
        <w:pStyle w:val="ListParagraph"/>
        <w:numPr>
          <w:ilvl w:val="0"/>
          <w:numId w:val="2"/>
        </w:numPr>
        <w:spacing w:after="60" w:before="20"/>
      </w:pPr>
      <w:r>
        <w:rPr>
          <w:rFonts w:ascii="Arial" w:cs="Arial" w:eastAsia="Arial" w:hAnsi="Arial"/>
          <w:color w:val="1A2332"/>
          <w:sz w:val="19"/>
          <w:szCs w:val="19"/>
        </w:rPr>
        <w:t xml:space="preserve">OCR job created in ocr_jobs table with status: queued.</w:t>
      </w:r>
    </w:p>
    <w:p>
      <w:pPr>
        <w:spacing w:after="60" w:before="0"/>
      </w:pPr>
      <w:r>
        <w:t xml:space="preserve"/>
      </w:r>
    </w:p>
    <w:p>
      <w:pPr>
        <w:pStyle w:val="Heading3"/>
        <w:spacing w:after="60" w:before="200"/>
      </w:pPr>
      <w:r>
        <w:rPr>
          <w:rFonts w:ascii="Arial" w:cs="Arial" w:eastAsia="Arial" w:hAnsi="Arial"/>
          <w:b/>
          <w:bCs/>
          <w:color w:val="1A2332"/>
          <w:sz w:val="21"/>
          <w:szCs w:val="21"/>
        </w:rPr>
        <w:t xml:space="preserve">Step 2 — Document Classification</w:t>
      </w:r>
    </w:p>
    <w:p>
      <w:pPr>
        <w:spacing w:after="100" w:before="0"/>
        <w:jc w:val="both"/>
      </w:pPr>
      <w:r>
        <w:rPr>
          <w:rFonts w:ascii="Arial" w:cs="Arial" w:eastAsia="Arial" w:hAnsi="Arial"/>
          <w:color w:val="1A2332"/>
          <w:sz w:val="19"/>
          <w:szCs w:val="19"/>
        </w:rPr>
        <w:t xml:space="preserve">Before field extraction, classify the document type. This determines which extraction processor to use.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Classification model (Google Document AI custom classifier or LLM prompt):
Input: First 2 pages of document (image or text)
Output: {
  doc_type: 'bdn' | 'monitoring_plan' | 'iscc_certificate' | 'ops_receipt' | 'unknown',
  confidence: 0.0–1.0
}
Classification rules:
- If confidence &lt; 0.7 → flag for human classification
- If doc_type = 'unknown' → store document, no OCR, alert user
- If doc_type = 'bdn' → route to BDN Processor
- Other types → route to Generic Document Processor</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Step 3 — BDN Field Extraction</w:t>
      </w:r>
    </w:p>
    <w:p>
      <w:pPr>
        <w:spacing w:after="100" w:before="0"/>
        <w:jc w:val="both"/>
      </w:pPr>
      <w:r>
        <w:rPr>
          <w:rFonts w:ascii="Arial" w:cs="Arial" w:eastAsia="Arial" w:hAnsi="Arial"/>
          <w:color w:val="1A2332"/>
          <w:sz w:val="19"/>
          <w:szCs w:val="19"/>
        </w:rPr>
        <w:t xml:space="preserve">The BDN Processor extracts the following fields. Each field has a target confidence threshold; fields below threshold are flagged for human review.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FIELD</w:t>
            </w:r>
          </w:p>
        </w:tc>
        <w:tc>
          <w:tcPr>
            <w:tcW w:type="dxa" w:w="1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TARGET CONFIDENCE</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EXTRACTION METHOD</w:t>
            </w:r>
          </w:p>
        </w:tc>
        <w:tc>
          <w:tcPr>
            <w:tcW w:type="dxa" w:w="2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FALLBACK</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vessel_name</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0.85</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Named entity recognition + position-based (typically top of document)</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imo_number</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0.95</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Regex: /IMO\s*\d{7}/i. Cross-validated against vessel registry.</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 — IMO is critical for vessel matching</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delivery_date</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0.90</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Date extraction with format normalisation (DD/MM/YYYY, MM-DD-YYYY, ISO)</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port_of_delivery</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0.80</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Location entity + LOCODE lookup</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supplier_name</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0.75</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Header/footer entity extraction</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entry acceptable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bdn_number</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0.80</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 number entity near 'BDN' or 'Delivery Note' label</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Manual entry acceptable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fuel_type</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0.90</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Table cell extraction + ISO 8217 normalisation via LLM prompt</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 — fuel type is critical for emission factor</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quantity_mt</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0.95</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Numeric extraction from 'Quantity' or 'Net' column in delivery table</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 — quantity drives CO2 calculation</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density_kg_m3</w:t>
            </w:r>
          </w:p>
        </w:tc>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0.70</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Numeric extraction from density field</w:t>
            </w:r>
          </w:p>
        </w:tc>
        <w:tc>
          <w:tcPr>
            <w:tcW w:type="dxa" w:w="2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Leave null, use default density for fuel type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sulphur_pct</w:t>
            </w:r>
          </w:p>
        </w:tc>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0.75</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Percentage extraction from sulphur field</w:t>
            </w:r>
          </w:p>
        </w:tc>
        <w:tc>
          <w:tcPr>
            <w:tcW w:type="dxa" w:w="2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Leave null — not required for CO2 calculation</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Step 4 — Fuel Type Normalisation</w:t>
      </w:r>
    </w:p>
    <w:p>
      <w:pPr>
        <w:spacing w:after="100" w:before="0"/>
        <w:jc w:val="both"/>
      </w:pPr>
      <w:r>
        <w:rPr>
          <w:rFonts w:ascii="Arial" w:cs="Arial" w:eastAsia="Arial" w:hAnsi="Arial"/>
          <w:color w:val="1A2332"/>
          <w:sz w:val="19"/>
          <w:szCs w:val="19"/>
        </w:rPr>
        <w:t xml:space="preserve">Supplier fuel descriptions are highly inconsistent. A normalisation step maps raw fuel descriptions to ISO 8217 standardised codes and fuel categories.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Examples of raw → normalised mapping
"VLSFO 0.5% S"           → { iso: "VLSFO", category: "fossil" }
"Very Low Sulphur FO"    → { iso: "VLSFO", category: "fossil" }
"Ultralow Sulphur GO"    → { iso: "LSMGO", category: "fossil" }
"Marine Gas Oil"         → { iso: "MGO",   category: "fossil" }
"B10 VLSFO ISCC"         → { iso: "B10",   category: "biofuel", blend_pct: 10 }
"Bunker C"               → { iso: "HFO",   category: "fossil" }
"LNG"                    → { iso: "LNG",   category: "lng"    }
// Normalisation logic:
// 1. Try lookup table (covers ~80% of cases)
// 2. If no match → LLM prompt: "Map this marine fuel description to ISO 8217 code: {raw}"
// 3. If LLM confidence &lt; 0.7 → flag for human review
// 4. If biofuel detected → set is_biofuel=TRUE, extract blend_pct, flag ISCC requirement</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Step 5 — Emission Factor Application</w:t>
      </w:r>
    </w:p>
    <w:p>
      <w:pPr>
        <w:spacing w:after="100" w:before="0"/>
        <w:jc w:val="both"/>
      </w:pPr>
      <w:r>
        <w:rPr>
          <w:rFonts w:ascii="Arial" w:cs="Arial" w:eastAsia="Arial" w:hAnsi="Arial"/>
          <w:color w:val="1A2332"/>
          <w:sz w:val="19"/>
          <w:szCs w:val="19"/>
        </w:rPr>
        <w:t xml:space="preserve">Once fuel type is normalised and quantity confirmed, emission factors are applied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EU ETS (Tank-to-Wake, MARPOL Annex VI default factors)
ef_ttw = lookup(fuel_type_iso, 'eu_ets', 'ttw')    // e.g. 3.1144 tCO2/t for VLSFO
co2_ttw_tonnes = quantity_mt × ef_ttw
// FuelEU (Well-to-Wake, Annex II Regulation 2023/1805)
ef_wtw = lookup(fuel_type_iso, 'fueleu', 'wtw')     // gCO2e/MJ
lhv    = lookup(fuel_type_iso, 'lower_heating_value') // MJ/tonne
energy_content_mj = quantity_mt × 1000 × lhv        // tonnes → kg → MJ
co2e_wtw_tonnes = (energy_content_mj × ef_wtw) / 1_000_000
// For biofuels: use ISCC-certified WtW factor if certificate present
// Otherwise: use default fossil WtW factor AND set iscc_missing_flag = TRUE</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Step 6 — BDN-to-Voyage Reconciliation</w:t>
      </w:r>
    </w:p>
    <w:p>
      <w:pPr>
        <w:spacing w:after="100" w:before="0"/>
        <w:jc w:val="both"/>
      </w:pPr>
      <w:r>
        <w:rPr>
          <w:rFonts w:ascii="Arial" w:cs="Arial" w:eastAsia="Arial" w:hAnsi="Arial"/>
          <w:color w:val="1A2332"/>
          <w:sz w:val="19"/>
          <w:szCs w:val="19"/>
        </w:rPr>
        <w:t xml:space="preserve">After field extraction, the BDN is reconciled against AIS voyage records for the same vessel to confirm the delivery occurred during a legitimate port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Reconciliation algorithm:
1. Query voyages WHERE vessel_id = bdn.vessel_id
                   AND departure_time &lt;= bdn.delivery_date &lt;= arrival_time
                   AND (arrival_port_locode = bdn.delivery_port_locode
                        OR departure_port_locode = bdn.delivery_port_locode)
2. If match found → link fuel_delivery.voyage_id = voyage.id, status = 'reconciled'
3. If date match but no port match → flag VOYAGE_PORT_MISMATCH
   (vessel was at sea on delivery date but port doesn't match AIS record)
4. If no voyage found for date → flag UNMATCHED_BDN
   (could be bunker at anchor, or AIS data gap)
   → Check if AIS data gap exists for that date range
   → If gap: note in validation_flags, lower confidence
   → If no gap and no voyage: RECONCILIATION_FAILURE, human review required</w:t>
            </w:r>
          </w:p>
        </w:tc>
      </w:tr>
    </w:tbl>
    <w:p>
      <w:pPr>
        <w:spacing w:after="60" w:before="0"/>
      </w:pPr>
      <w:r>
        <w:t xml:space="preserve"/>
      </w:r>
    </w:p>
    <w:p>
      <w:pPr>
        <w:pStyle w:val="Heading3"/>
        <w:spacing w:after="60" w:before="200"/>
      </w:pPr>
      <w:r>
        <w:rPr>
          <w:rFonts w:ascii="Arial" w:cs="Arial" w:eastAsia="Arial" w:hAnsi="Arial"/>
          <w:b/>
          <w:bCs/>
          <w:color w:val="1A2332"/>
          <w:sz w:val="21"/>
          <w:szCs w:val="21"/>
        </w:rPr>
        <w:t xml:space="preserve">Step 7 —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quality_gate(ocr_job):
  critical_missing = [field for field in CRITICAL_FIELDS if field.confidence &lt; 0.6]
  if critical_missing:
    → set human_review_required = TRUE
    → create notification for compliance manager
    → fuel_delivery record created with status: 'pending_review'
  warnings = [field for field in ALL_FIELDS if field.confidence &lt; 0.8]
  if warnings:
    → set fields_requiring_review = warnings
    → fuel_delivery created with status: 'review_advised'
  if all fields pass:
    → fuel_delivery created with status: 'auto_accepted'
    → trigger compliance validation
CRITICAL_FIELDS = [imo_number, quantity_mt, fuel_type_iso, delivery_date]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10.3  BDN Custom Processor Training (Google Document AI)</w:t>
      </w:r>
    </w:p>
    <w:p>
      <w:pPr>
        <w:spacing w:after="100" w:before="0"/>
        <w:jc w:val="both"/>
      </w:pPr>
      <w:r>
        <w:rPr>
          <w:rFonts w:ascii="Arial" w:cs="Arial" w:eastAsia="Arial" w:hAnsi="Arial"/>
          <w:color w:val="1A2332"/>
          <w:sz w:val="19"/>
          <w:szCs w:val="19"/>
        </w:rPr>
        <w:t xml:space="preserve">The generic Document AI processor handles many formats adequately, but a custom processor trained on maritime BDNs significantly improves accuracy for non-standard layouts. Training approach:</w:t>
      </w:r>
    </w:p>
    <w:p>
      <w:pPr>
        <w:pStyle w:val="ListParagraph"/>
        <w:numPr>
          <w:ilvl w:val="0"/>
          <w:numId w:val="2"/>
        </w:numPr>
        <w:spacing w:after="60" w:before="20"/>
      </w:pPr>
      <w:r>
        <w:rPr>
          <w:rFonts w:ascii="Arial" w:cs="Arial" w:eastAsia="Arial" w:hAnsi="Arial"/>
          <w:color w:val="1A2332"/>
          <w:sz w:val="19"/>
          <w:szCs w:val="19"/>
        </w:rPr>
        <w:t xml:space="preserve">Collect 50–200 BDN samples from the first 3–6 months of operation (with user permission to anonymise and use for training).</w:t>
      </w:r>
    </w:p>
    <w:p>
      <w:pPr>
        <w:pStyle w:val="ListParagraph"/>
        <w:numPr>
          <w:ilvl w:val="0"/>
          <w:numId w:val="2"/>
        </w:numPr>
        <w:spacing w:after="60" w:before="20"/>
      </w:pPr>
      <w:r>
        <w:rPr>
          <w:rFonts w:ascii="Arial" w:cs="Arial" w:eastAsia="Arial" w:hAnsi="Arial"/>
          <w:color w:val="1A2332"/>
          <w:sz w:val="19"/>
          <w:szCs w:val="19"/>
        </w:rPr>
        <w:t xml:space="preserve">Label samples using Document AI's HITL (Human-in-the-Loop) labelling interface: draw bounding boxes around each field of interest.</w:t>
      </w:r>
    </w:p>
    <w:p>
      <w:pPr>
        <w:pStyle w:val="ListParagraph"/>
        <w:numPr>
          <w:ilvl w:val="0"/>
          <w:numId w:val="2"/>
        </w:numPr>
        <w:spacing w:after="60" w:before="20"/>
      </w:pPr>
      <w:r>
        <w:rPr>
          <w:rFonts w:ascii="Arial" w:cs="Arial" w:eastAsia="Arial" w:hAnsi="Arial"/>
          <w:color w:val="1A2332"/>
          <w:sz w:val="19"/>
          <w:szCs w:val="19"/>
        </w:rPr>
        <w:t xml:space="preserve">Train BDN-specific custom extractor processor. Typical improvement: 12–20% reduction in fields requiring human review.</w:t>
      </w:r>
    </w:p>
    <w:p>
      <w:pPr>
        <w:pStyle w:val="ListParagraph"/>
        <w:numPr>
          <w:ilvl w:val="0"/>
          <w:numId w:val="2"/>
        </w:numPr>
        <w:spacing w:after="60" w:before="20"/>
      </w:pPr>
      <w:r>
        <w:rPr>
          <w:rFonts w:ascii="Arial" w:cs="Arial" w:eastAsia="Arial" w:hAnsi="Arial"/>
          <w:color w:val="1A2332"/>
          <w:sz w:val="19"/>
          <w:szCs w:val="19"/>
        </w:rPr>
        <w:t xml:space="preserve">Retrain quarterly as new BDN formats are encountered. Version-control processor versions: processor_v1, processor_v2, etc.</w:t>
      </w:r>
    </w:p>
    <w:p>
      <w:pPr>
        <w:pStyle w:val="ListParagraph"/>
        <w:numPr>
          <w:ilvl w:val="0"/>
          <w:numId w:val="2"/>
        </w:numPr>
        <w:spacing w:after="60" w:before="20"/>
      </w:pPr>
      <w:r>
        <w:rPr>
          <w:rFonts w:ascii="Arial" w:cs="Arial" w:eastAsia="Arial" w:hAnsi="Arial"/>
          <w:color w:val="1A2332"/>
          <w:sz w:val="19"/>
          <w:szCs w:val="19"/>
        </w:rPr>
        <w:t xml:space="preserve">A/B test new processor versions on held-out BDN samples before deploying to production.</w:t>
      </w:r>
    </w:p>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11.  AIS Data Processing Pipeline — Full Specification</w:t>
      </w:r>
    </w:p>
    <w:p>
      <w:pPr>
        <w:spacing w:after="60" w:before="0"/>
      </w:pPr>
      <w:r>
        <w:t xml:space="preserve"/>
      </w:r>
    </w:p>
    <w:p>
      <w:pPr>
        <w:spacing w:after="100" w:before="0"/>
        <w:jc w:val="both"/>
      </w:pPr>
      <w:r>
        <w:rPr>
          <w:rFonts w:ascii="Arial" w:cs="Arial" w:eastAsia="Arial" w:hAnsi="Arial"/>
          <w:color w:val="1A2332"/>
          <w:sz w:val="19"/>
          <w:szCs w:val="19"/>
        </w:rPr>
        <w:t xml:space="preserve">The AIS pipeline is responsible for the continuous, automated collection of vessel position and voyage data. It is the primary data source for EU ETS emissions reporting and the backbone of the BDN reconciliation workflow. Data quality in the AIS pipeline directly determines the compliance defensibility of the final THETIS-MRV report.</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11.1  AIS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7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Raw position stream</w:t>
            </w:r>
          </w:p>
        </w:tc>
        <w:tc>
          <w:tcPr>
            <w:tcW w:type="dxa" w:w="7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ais_positions (TimescaleDB hypertable). Stores every AIS position broadcast retrieved for managed vessels. High volume: a vessel broadcasting every 10 minutes generates ~144 positions/day. Retained 3 years for audit purposes.</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 derivation</w:t>
            </w:r>
          </w:p>
        </w:tc>
        <w:tc>
          <w:tcPr>
            <w:tcW w:type="dxa" w:w="7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Background job runs daily to derive voyage records from raw position data: identify port departures and arrivals, calculate distances, classify voyage type.</w:t>
            </w:r>
          </w:p>
        </w:tc>
      </w:tr>
      <w:tr>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 table</w:t>
            </w:r>
          </w:p>
        </w:tc>
        <w:tc>
          <w:tcPr>
            <w:tcW w:type="dxa" w:w="7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voyages table. One record per port-to-port leg. This is what flows into the THETIS-MRV report.</w:t>
            </w:r>
          </w:p>
        </w:tc>
      </w:tr>
      <w:tr>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backfill</w:t>
            </w:r>
          </w:p>
        </w:tc>
        <w:tc>
          <w:tcPr>
            <w:tcW w:type="dxa" w:w="7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 vessel onboarding, backfill is requested for up to 3 years of historical voyage data. This populates the voyage table for prior compliance periods.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11.2  Data Acquisition — Polling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Daily AIS sync job (runs 02:00 UTC, low-traffic period):
  for each active vessel:
    1. Query AIS provider for previous 24 hours of position history
    2. Upsert into ais_positions (ON CONFLICT DO NOTHING — idempotent)
    3. Trigger voyage derivation for any new positions
    4. Update vessel.ais_last_sync
On-demand sync (user-triggered or after BDN upload):
  Pull specific date range for one vessel
  Used for gap-filling and reconciliation
ETS report generation trigger:
  Pull full-year position history before generating annual THETIS-MRV report
  Ensures no gaps in reporting year data</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11.3  Voyage Derivation Algorithm</w:t>
      </w:r>
    </w:p>
    <w:p>
      <w:pPr>
        <w:spacing w:after="100" w:before="0"/>
        <w:jc w:val="both"/>
      </w:pPr>
      <w:r>
        <w:rPr>
          <w:rFonts w:ascii="Arial" w:cs="Arial" w:eastAsia="Arial" w:hAnsi="Arial"/>
          <w:color w:val="1A2332"/>
          <w:sz w:val="19"/>
          <w:szCs w:val="19"/>
        </w:rPr>
        <w:t xml:space="preserve">Voyage derivation converts raw AIS position streams into discrete port-to-port voyage records. This is the most complex data processing step in the pipeline.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voyage_derivation(vessel_id, positions[]):
  PHASE 1: POSITION STREAM PREPROCESSING
  - Sort positions by timestamp ASC
  - Remove duplicate positions (same lat/lon within 5-minute window)
  - Flag data gaps: if gap &gt; 6 hours between consecutive positions,
    create a data_gap record for that period
  - Apply speed plausibility filter:
    if calculated_speed_between_positions &gt; 30 knots → likely AIS anomaly, flag
  PHASE 2: PORT DETECTION
  - For each position, check if lat/lon falls within a port polygon
    (port database contains polygon boundaries for 500+ ports)
  - If inside port polygon for ≥ 2 hours → "in port" event
  - Port entry event: first position inside polygon after being outside
  - Port departure event: last position inside polygon before being outside
  PHASE 3: VOYAGE CONSTRUCTION
  - Voyage = departure event → arrival event (port A to port B)
  - If vessel goes anchor (nav_status = 'at anchor') mid-voyage:
    split time into sea_time and anchor_time (both reported separately)
  - Multi-port day handling: if vessel visits 3 ports in one day,
    create 2 voyage records (A→B, B→C)
  PHASE 4: VOYAGE CLASSIFICATION
  - departure_country and arrival_country from port database
  - voyage_type:
    if both countries are EU/EEA → 'intra_eu', ets_coverage_rate = 1.0
    if one EU/EEA, one third-country → 'eu_to_third' or 'third_to_eu', rate = 0.5
    if neither EU/EEA → 'non_eu', rate = 0.0 (not in scope)
  PHASE 5: DISTANCE CALCULATION
  - Sum of great-circle distances between consecutive positions
    (Haversine formula on AIS track)
  - Cross-check against port-to-port database distance (± 20% tolerance)
  - If actual track distance &lt; 0.8× database distance: may indicate
    AIS coverage gap — flag with data_gap_flag = TRUE
  PHASE 6: PERSIST AND NOTIFY
  - Insert/update voyage records
  - Trigger Compliance Engine validation on new voyages
  - Trigger BDN reconciliation check for any unmatched fuel deliveries
    in the voyage date range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11.4  AIS Data Gap Handling</w:t>
      </w:r>
    </w:p>
    <w:p>
      <w:pPr>
        <w:spacing w:after="100" w:before="0"/>
        <w:jc w:val="both"/>
      </w:pPr>
      <w:r>
        <w:rPr>
          <w:rFonts w:ascii="Arial" w:cs="Arial" w:eastAsia="Arial" w:hAnsi="Arial"/>
          <w:color w:val="1A2332"/>
          <w:sz w:val="19"/>
          <w:szCs w:val="19"/>
        </w:rPr>
        <w:t xml:space="preserve">Data gaps are expected, particularly for vessels operating in areas with limited terrestrial AIS coverage or during offshore passages. The system handles gaps in a way that is defensible to a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GAP DURATION</w:t>
            </w:r>
          </w:p>
        </w:tc>
        <w:tc>
          <w:tcPr>
            <w:tcW w:type="dxa" w:w="3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HANDLING</w:t>
            </w:r>
          </w:p>
        </w:tc>
        <w:tc>
          <w:tcPr>
            <w:tcW w:type="dxa" w:w="3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VERIFIER DEFENSIBILITY</w:t>
            </w:r>
          </w:p>
        </w:tc>
      </w:tr>
      <w:tr>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&lt; 30 minutes</w:t>
            </w:r>
          </w:p>
        </w:tc>
        <w:tc>
          <w:tcPr>
            <w:tcW w:type="dxa" w:w="3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Interpolate position linearly. Calculate estimated distance for gap period.</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 — minor gaps common and accepted by verifiers.</w:t>
            </w:r>
          </w:p>
        </w:tc>
      </w:tr>
      <w:tr>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30 min – 6 hours</w:t>
            </w:r>
          </w:p>
        </w:tc>
        <w:tc>
          <w:tcPr>
            <w:tcW w:type="dxa" w:w="3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Flag gap in voyage record (data_gap_flag = TRUE). Use last-known port or sea position. Do not fabricate positions.</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 — must be documented in Monitoring Plan data gap procedure.</w:t>
            </w:r>
          </w:p>
        </w:tc>
      </w:tr>
      <w:tr>
        <w:tc>
          <w:tcPr>
            <w:tcW w:type="dxa" w:w="1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6 – 48 hours</w:t>
            </w:r>
          </w:p>
        </w:tc>
        <w:tc>
          <w:tcPr>
            <w:tcW w:type="dxa" w:w="3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Create explicit data_gap record. Alert compliance manager. Offer manual voyage entry to bridge gap. Apply conservative emissions estimate based on vessel consumption rate.</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 — verifier will query. Manual entry with captain log required.</w:t>
            </w:r>
          </w:p>
        </w:tc>
      </w:tr>
      <w:tr>
        <w:tc>
          <w:tcPr>
            <w:tcW w:type="dxa" w:w="1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&gt; 48 hours</w:t>
            </w:r>
          </w:p>
        </w:tc>
        <w:tc>
          <w:tcPr>
            <w:tcW w:type="dxa" w:w="3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Major gap flag. Compliance Engine raises ERROR severity violation. Escalation notification to Admin. Require captain log or alternative data source.</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 verifier will reject without documented alternative data source.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11.5  MarineTraffic API Integration — Technical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Endpoint: GET /exportvessels/v:8/timespan/:from/:to/usertype:1/
// Auth: API-KEY header
// Rate limit: varies by plan. Expected: 1,000 calls/day on mid-tier plan
// Example voyage history request
GET https://services.marinetraffic.com/api/exportvessels/v:8
  /timespan:2026-06-01T00:00:00/2026-06-30T23:59:59
  /period:hourly/imo:{imo_number}/
// Response fields used:
// MMSI, IMO, LAT, LON, SPEED, HEADING, STATUS, TIMESTAMP, PORTNAME, PORTID
// Error handling:
// 429 Too Many Requests → exponential backoff: 1s, 2s, 4s, 8s, max 3 retries
// 403 Forbidden → check API key, alert admin
// 404 Vessel Not Found → check IMO number, alert user
// 5xx Server Error → retry with backoff, alert if persistent
// Cost optimisation:
// Only request positions for vessels with ets_scope = TRUE or green_zone_monitor = TRUE
// Cache responses in ais_positions — never re-request already-fetched periods
// Use hourly intervals for historical pulls (sufficient for port detection)
// Use 10-minute intervals for real-time tracking (when active season feature built)</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12.  Complete User Journeys</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12.1  Journey 1 — Fleet Manager Onboarding (New Customer)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c>
          <w:tcPr>
            <w:tcW w:type="dxa" w:w="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USER ACTION</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SYSTEM RESPONSE</w:t>
            </w:r>
          </w:p>
        </w:tc>
        <w:tc>
          <w:tcPr>
            <w:tcW w:type="dxa" w:w="2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SCREEN</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Receives invitation email with magic link.</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Magic link validated. User account created. Org context set.</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Login screen</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2</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Completes organisation profile: company name, country, MOHA account number, verifier preference.</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Organisation record created. Billing trial started.</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Onboarding wizard — Step 1</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Adds first fleet: 'Monaco Fleet' or 'Western Med Fleet'.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record created.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Onboarding wizard — Step 2</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4</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Adds first vessel: enters IMO number. System pre-fills vessel name and GT from IMO registry lookup.</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record created. AIS sync scheduled. Ingest email generated: imo{imo}@docs.poseidonledger.com. Historical AIS backfill queued (3 years).</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Onboarding wizard — Step 3</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5</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Uploads current Monitoring Plan PDF.</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 stored. OCR classification: 'monitoring_plan'. Gap analysis run. Gaps displayed.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Monitoring Plan setup</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6</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Uploads first BDN.</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queued. Processing indicator shown.</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 upload / Document library</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7</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completes. User reviews extracted fields. Confirms or corrects.</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 delivery record created. BDN-to-voyage reconciliation run. Compliance Engine validation triggered.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 review screen</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8</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Views fleet compliance dashboard.</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Dashboard shows: data coverage %, EUA exposure estimate, open violations, upcoming deadlines.</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overview dashboard</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12.2  Journey 2 — Annual THETIS-MRV Report Generation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c>
          <w:tcPr>
            <w:tcW w:type="dxa" w:w="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USER ACTION</w:t>
            </w:r>
          </w:p>
        </w:tc>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SYSTEM RESPONSE</w:t>
            </w:r>
          </w:p>
        </w:tc>
        <w:tc>
          <w:tcPr>
            <w:tcW w:type="dxa" w:w="2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Navigates to EU ETS → 2025 Annual Report.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 checks data completeness for 2025: voyage coverage %, BDN coverage %, open violations.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Should be done in Jan-Feb, not March.</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2</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Reviews completeness report. Sees 3 data gaps flagged.</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Gaps listed with date range, affected vessel, recommended action.</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Resolves gaps: uploads missing BDNs, confirms manual voyage entry for AIS gap.</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Gaps cleared from completeness report. Compliance Engine re-validates.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4</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Runs final compliance validation.</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vessels show 'Valid' or 'Warning' status. No Errors outstanding.</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 not generate report with Error violations.</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5</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Clicks 'Generate THETIS-MRV Report' for selected year.</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XML report generated. Pre-submission checklist displayed: all fields populated, methodology consistent, no unresolved errors.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6</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Downloads XML report.</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Signed download URL. Audit log entry: report generated.</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7</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Uploads XML to THETIS-MRV portal manually (EMSA has no API).</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User marks report as 'Submitted' in Poseidon. thetis_submitted_at recorded.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Future: direct API when EMSA opens it.</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8</w:t>
            </w:r>
          </w:p>
        </w:tc>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Verifier requests data package.</w:t>
            </w:r>
          </w:p>
        </w:tc>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 generates verifier package: XML report + all BDN source PDFs + AIS data export + discrepancy resolution notes.</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9</w:t>
            </w:r>
          </w:p>
        </w:tc>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Verifier approves report.</w:t>
            </w:r>
          </w:p>
        </w:tc>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User records approval: verification_completed, document_of_conformity_no. ETS record status → 'verified'.</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12.3  Journey 3 — BDN Forwarded by Email (Captain Workflow)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000"/>
        <w:gridCol w:w="4160"/>
      </w:tblGrid>
      <w:tr>
        <w:tc>
          <w:tcPr>
            <w:tcW w:type="dxa" w:w="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ACTOR</w:t>
            </w:r>
          </w:p>
        </w:tc>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SYSTEM RESPONSE</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1</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Captain</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Receives BDN from bunker supplier (email attachment).</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2</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Captain</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Forwards email to imo9876543@docs.poseidonledger.com</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Resend inbound webhook receives email. Vessel identified from ingest email address. Attachments extracted.</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3</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Duplicate check. Virus scan. File stored. OCR job created.</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4</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System</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processes BDN. Confidence scores computed. If all critical fields high-confidence: fuel delivery auto-created. Notification to compliance manager: 'New BDN processed: 45.2 MT VLSFO, Palma, 15 Jun 2026'.</w:t>
            </w:r>
          </w:p>
        </w:tc>
      </w:tr>
      <w:tr>
        <w:tc>
          <w:tcPr>
            <w:tcW w:type="dxa" w:w="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5</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Reviews notification in dashboard or email.</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 delivery appears in BDN queue, pre-filled from OCR. Ready for review.</w:t>
            </w:r>
          </w:p>
        </w:tc>
      </w:tr>
      <w:tr>
        <w:tc>
          <w:tcPr>
            <w:tcW w:type="dxa" w:w="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6</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Confirms or corrects extracted fields. Clicks 'Accept'.</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 delivery status → 'confirmed'. BDN-voyage reconciliation run. CO2 calculation updated. EUA exposure figure updated.</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13.  Application Screens &amp; UX Specification</w:t>
      </w:r>
    </w:p>
    <w:p>
      <w:pPr>
        <w:spacing w:after="60" w:before="0"/>
      </w:pPr>
      <w:r>
        <w:t xml:space="preserve"/>
      </w:r>
    </w:p>
    <w:p>
      <w:pPr>
        <w:spacing w:after="100" w:before="0"/>
        <w:jc w:val="both"/>
      </w:pPr>
      <w:r>
        <w:rPr>
          <w:rFonts w:ascii="Arial" w:cs="Arial" w:eastAsia="Arial" w:hAnsi="Arial"/>
          <w:color w:val="1A2332"/>
          <w:sz w:val="19"/>
          <w:szCs w:val="19"/>
        </w:rPr>
        <w:t xml:space="preserve">This section specifies every screen in the application: its purpose, key data displayed, user actions available, and edge cases to handle. This is the brief for the frontend engineering team — not a visual design document, but a functional specification.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13.1  Dashboard — Fleet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ELEMENT</w:t>
            </w:r>
          </w:p>
        </w:tc>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DATA SOURCE</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DETAIL</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 compliance score</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 fleet-summary endpoint</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Overall risk score 0–100 with colour coding (Green/Amber/Red). Breakdown by vessel count per tier.</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Deadline countdown</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calendar</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Next 3 upcoming deadlines: date, type (ETS submission, surrender, FuelEU), days remaining. Red if &lt; 30 days.</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EUA exposure estimate</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ets_records (current year)</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Fleet-total indicative EUA obligation in tonnes. Current EUA price from market feed. Estimated cost in euros. Updated daily.</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Vessels at risk</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Count and list of vessels with Error-severity violations. Click-through to vessel compliance page.</w:t>
            </w:r>
          </w:p>
        </w:tc>
      </w:tr>
      <w:tr>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Recent activity</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Audit log</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Last 5 events: BDN processed, voyage imported, report generated, violation raised.</w:t>
            </w:r>
          </w:p>
        </w:tc>
      </w:tr>
      <w:tr>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Documents pending review</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jobs</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Count of BDNs awaiting human review. Click-through to BDN review queue.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13.2  Vessel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TAB</w:t>
            </w:r>
          </w:p>
        </w:tc>
        <w:tc>
          <w:tcPr>
            <w:tcW w:type="dxa" w:w="4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KEY CONTENT</w:t>
            </w:r>
          </w:p>
        </w:tc>
        <w:tc>
          <w:tcPr>
            <w:tcW w:type="dxa" w:w="3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KEY ACTIONS</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Overview</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metadata. Current Monitoring Plan status. Compliance risk score. AIS sync status and last sync time.</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Edit vessel. Trigger AIS sync. View ingest email address.</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Voyages</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Chronological list of all voyage records. Columns: departure port, arrival port, departure date, arrival date, distance nm, CO2 (TtW), voyage type (intra-EU/third-country), validation status.</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Filter by year/status. Add manual voyage. View voyage detail (position map, associated fuel deliveries). Re-run validation.</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 Deliveries</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BDN records. Columns: date, port, fuel type, quantity MT, CO2 TtW, CO2 WtW, ISCC status, linked voyage, source (OCR/manual), validation status.</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 BDN. Add manual delivery. Review OCR result. Link to voyage. Link ISCC certificate.</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ETS</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Year-selector tabs (2024, 2025, 2026...). Per-year: total CO2 TtW, covered CO2, EUA obligation, EUA surrendered, penalty exposure, THETIS submission status, verifier status.</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Recalculate. Generate THETIS-MRV report. Mark as submitted. Mark as verified. Record surrender.</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Per-year: GHG intensity (gCO2e/MJ), target, compliance balance, ISCC gaps flagged, OPS events.</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Review ISCC gaps. Generate FuelEU report. Record submission.</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Monitoring Plan</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Current active plan. Version history. Gap analysis results: per-rule status with severity and remediation text.</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 new plan. Run gap analysis. View version diff.</w:t>
            </w:r>
          </w:p>
        </w:tc>
      </w:tr>
      <w:tr>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Green Zone</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Season itinerary map. Upcoming port calls with compliance status per port. Current season history.</w:t>
            </w:r>
          </w:p>
        </w:tc>
        <w:tc>
          <w:tcPr>
            <w:tcW w:type="dxa" w:w="3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View port requirements. Add planned port call. Download Green Zone compliance log.</w:t>
            </w:r>
          </w:p>
        </w:tc>
      </w:tr>
      <w:tr>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Documents</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documents for this vessel: BDNs, monitoring plans, certificates, reports. Columns: date, type, filename, OCR status, uploaded by.</w:t>
            </w:r>
          </w:p>
        </w:tc>
        <w:tc>
          <w:tcPr>
            <w:tcW w:type="dxa" w:w="3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Upload document. Download. Re-run OCR. Delete (soft).</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13.3  BDN Review Queue</w:t>
      </w:r>
    </w:p>
    <w:p>
      <w:pPr>
        <w:spacing w:after="100" w:before="0"/>
        <w:jc w:val="both"/>
      </w:pPr>
      <w:r>
        <w:rPr>
          <w:rFonts w:ascii="Arial" w:cs="Arial" w:eastAsia="Arial" w:hAnsi="Arial"/>
          <w:color w:val="1A2332"/>
          <w:sz w:val="19"/>
          <w:szCs w:val="19"/>
        </w:rPr>
        <w:t xml:space="preserve">This screen is the primary daily-use interface for the compliance manager. It shows all BDNs awaiting review, in order of priority (highest risk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ELEMENT</w:t>
            </w:r>
          </w:p>
        </w:tc>
        <w:tc>
          <w:tcPr>
            <w:tcW w:type="dxa" w:w="6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DETAIL</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Queue list</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BDNs with status 'pending_review' or 'review_advised'. Sorted by: (1) human_review_required, (2) upload date desc. Columns: vessel name, document date, fuel type, quantity, confidence score, issue summary.</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Review panel</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Right-panel or modal showing: original BDN image (rendered from PDF), extracted fields with confidence indicators (green/amber/red per field), editable form fields pre-filled from OCR.</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Confidence display</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Each field shows: extracted value, confidence percentage, yellow highlight if &lt; 0.8, red highlight if &lt; 0.6. Hovering shows raw OCR text before normalisation.</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Actions</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Accept All (confirm all fields as correct), Edit and Accept (modify fields then confirm), Reject (discard OCR result, mark for manual entry), Escalate (flag for admin review).</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Bulk actions</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Select multiple high-confidence BDNs (all fields &gt; 0.85) and bulk-accept. Reduces review time for straightforward documents.</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14.  Notification System — Full Specification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14.1  Notification Types and Triggers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200"/>
        <w:gridCol w:w="13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NOTIFICATION TYPE</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RECIPIENT</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CHANNEL</w:t>
            </w:r>
          </w:p>
        </w:tc>
        <w:tc>
          <w:tcPr>
            <w:tcW w:type="dxa" w:w="1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URGENCY</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Deadline: ETS submission</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60, 30, 14, 7, 3, 1 days before 31 March</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at 7 days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Deadline: EUA surrender</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60, 30, 14, 7, 3, 1 days before 30 September</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at 14 days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Deadline: FuelEU confirmation</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30, 14, 7 days before 30 April</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processed — auto-accepted</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job completes with all fields high-confidence</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Info</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processed — review required</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job completes with low-confidence fields</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OCR failed</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OCR job fails after 3 retries</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violation: Error</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raises ERROR severity violation</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violation: Warning</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raises WARNING severity violation</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data gap</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Gap &gt; 6 hours detected in AIS stream</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sync failed</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provider returns error for a vessel</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Green Zone: port alert</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scheduled to arrive at port with unresolved compliance gaps (7 days, 48 hours before)</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ISCC certificate expiring</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30 and 7 days before ISCC valid_to date</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ISCC certificate missing</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Biofuel delivery without ISCC certificate detected</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Mgr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 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New user invited</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sends invitation</w:t>
            </w:r>
          </w:p>
        </w:tc>
        <w:tc>
          <w:tcPr>
            <w:tcW w:type="dxa" w:w="1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Invitee</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w:t>
            </w:r>
          </w:p>
        </w:tc>
        <w:tc>
          <w:tcPr>
            <w:tcW w:type="dxa" w:w="1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Info</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Report generated</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THETIS-MRV or ESG report generated</w:t>
            </w:r>
          </w:p>
        </w:tc>
        <w:tc>
          <w:tcPr>
            <w:tcW w:type="dxa" w:w="1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Generator</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w:t>
            </w:r>
          </w:p>
        </w:tc>
        <w:tc>
          <w:tcPr>
            <w:tcW w:type="dxa" w:w="1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Info</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14.2  Notification Delivery Architecture</w:t>
      </w:r>
    </w:p>
    <w:p>
      <w:pPr>
        <w:spacing w:after="100" w:before="0"/>
        <w:jc w:val="both"/>
      </w:pPr>
      <w:r>
        <w:rPr>
          <w:rFonts w:ascii="Arial" w:cs="Arial" w:eastAsia="Arial" w:hAnsi="Arial"/>
          <w:color w:val="1A2332"/>
          <w:sz w:val="19"/>
          <w:szCs w:val="19"/>
        </w:rPr>
        <w:t xml:space="preserve">Notifications are delivered via two channels: email (Resend) and in-app real-time alerts (Supabase Realtime). User preferences control which notification types trigger email vs. in-app only.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Notification creation flow:
trigger_event(type, org_id, vessel_id, data):
  1. Create notification record in notifications table
  2. Evaluate user preferences: which users in org receive this type?
  3. For each recipient:
     a. Create in-app notification (real-time via Supabase Realtime channel)
     b. If email_enabled for this type:
        → Queue email job (Inngest)
        → Email job calls Resend API with template
// Email templates (React Email components):
// - deadline-countdown.tsx    (ETS and FuelEU deadlines)
// - bdn-review-required.tsx   (OCR review queue alert)
// - violation-error.tsx       (critical compliance error)
// - green-zone-alert.tsx      (port arrival compliance gap)
// - weekly-digest.tsx         (weekly fleet status summary)
// In-app notifications:
// Supabase Realtime subscription on notifications table (filtered by org_id)
// Frontend shows badge count on bell icon, notification panel on click
// Mark as read: PATCH /api/v1/notifications/:id/read
// Mark all read: POST /api/v1/notifications/mark-all-read</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15.  Audit Trail — Full Specification</w:t>
      </w:r>
    </w:p>
    <w:p>
      <w:pPr>
        <w:spacing w:after="60" w:before="0"/>
      </w:pPr>
      <w:r>
        <w:t xml:space="preserve"/>
      </w:r>
    </w:p>
    <w:p>
      <w:pPr>
        <w:spacing w:after="100" w:before="0"/>
        <w:jc w:val="both"/>
      </w:pPr>
      <w:r>
        <w:rPr>
          <w:rFonts w:ascii="Arial" w:cs="Arial" w:eastAsia="Arial" w:hAnsi="Arial"/>
          <w:color w:val="1A2332"/>
          <w:sz w:val="19"/>
          <w:szCs w:val="19"/>
        </w:rPr>
        <w:t xml:space="preserve">The audit trail is a regulatory requirement, not a product feature. EU ETS verifiers may request evidence of who entered specific data and when. The audit trail must be immutable, complete, and exportable. A compliance system without a defensible audit trail is not a compliance system.</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15.1  What Is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EVENT CATEGORY</w:t>
            </w:r>
          </w:p>
        </w:tc>
        <w:tc>
          <w:tcPr>
            <w:tcW w:type="dxa" w:w="6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SPECIFIC EVENTS LOGGED</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Authentication</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Login success, login failure (IP, timestamp), MFA success/failure, password change, user invited, user deactivated, API key created/revoked.</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 data</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created, vessel metadata changed (before/after diff), vessel deleted (soft), vessel reactivated.</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Voyage data</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 imported from AIS (source, confidence), voyage created manually (user), voyage edited (before/after), voyage deleted.</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 deliveries</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Fuel delivery created from OCR (job_id reference), fuel delivery created manually (user), field values overridden (which fields, before/after, user), fuel delivery deleted.</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Documents</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Document uploaded (user, channel, filename, checksum), OCR job started, OCR job completed (confidence scores), document downloaded, document deleted.</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Monitoring Plans</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Plan created, plan version superseded, gap analysis run (results), plan submitted to verifier, plan approved.</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records</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ETS record calculated/recalculated (inputs used), ETS report generated (year, vessel_ids), report downloaded, EUAs marked as surrendered (amount, date), verification status changed.</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User management</w:t>
            </w:r>
          </w:p>
        </w:tc>
        <w:tc>
          <w:tcPr>
            <w:tcW w:type="dxa" w:w="6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User role changed (by whom, from/to), user permissions changed.</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System</w:t>
            </w:r>
          </w:p>
        </w:tc>
        <w:tc>
          <w:tcPr>
            <w:tcW w:type="dxa" w:w="6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Compliance Engine validation run (vessels included, violations found), AIS sync job run (vessels, records retrieved), background job failures.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15.2  Audit Log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USE CASE</w:t>
            </w:r>
          </w:p>
        </w:tc>
        <w:tc>
          <w:tcPr>
            <w:tcW w:type="dxa" w:w="2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INTERFACE</w:t>
            </w:r>
          </w:p>
        </w:tc>
        <w:tc>
          <w:tcPr>
            <w:tcW w:type="dxa" w:w="43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FILTER CAPABILITIES</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manager reviews their own changes</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 Activity Log page</w:t>
            </w:r>
          </w:p>
        </w:tc>
        <w:tc>
          <w:tcPr>
            <w:tcW w:type="dxa" w:w="4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Filter by date range, action type, entity type. Paginated list with diff view for update events.</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Admin reviews all org activity</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In-app: Organisation Activity Log (Admin only)</w:t>
            </w:r>
          </w:p>
        </w:tc>
        <w:tc>
          <w:tcPr>
            <w:tcW w:type="dxa" w:w="4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Filter by user, date, entity. Export as CSV.</w:t>
            </w:r>
          </w:p>
        </w:tc>
      </w:tr>
      <w:tr>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Verifier data package</w:t>
            </w:r>
          </w:p>
        </w:tc>
        <w:tc>
          <w:tcPr>
            <w:tcW w:type="dxa" w:w="2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Export: GET /api/v1/audit-log/export?vessel_id=&amp;year=2025</w:t>
            </w:r>
          </w:p>
        </w:tc>
        <w:tc>
          <w:tcPr>
            <w:tcW w:type="dxa" w:w="43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Returns all audit events for specified vessel and year, as JSON or CSV. Used to demonstrate data provenance to class society verifier.</w:t>
            </w:r>
          </w:p>
        </w:tc>
      </w:tr>
      <w:tr>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Regulatory investigation</w:t>
            </w:r>
          </w:p>
        </w:tc>
        <w:tc>
          <w:tcPr>
            <w:tcW w:type="dxa" w:w="2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Admin export or Supabase direct query (founder only)</w:t>
            </w:r>
          </w:p>
        </w:tc>
        <w:tc>
          <w:tcPr>
            <w:tcW w:type="dxa" w:w="43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audit_log table access for a specified organisation and date range.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15.3  Audit Log Integrity</w:t>
      </w:r>
    </w:p>
    <w:p>
      <w:pPr>
        <w:pStyle w:val="ListParagraph"/>
        <w:numPr>
          <w:ilvl w:val="0"/>
          <w:numId w:val="2"/>
        </w:numPr>
        <w:spacing w:after="60" w:before="20"/>
      </w:pPr>
      <w:r>
        <w:rPr>
          <w:rFonts w:ascii="Arial" w:cs="Arial" w:eastAsia="Arial" w:hAnsi="Arial"/>
          <w:color w:val="1A2332"/>
          <w:sz w:val="19"/>
          <w:szCs w:val="19"/>
        </w:rPr>
        <w:t xml:space="preserve">Database: REVOKE UPDATE, DELETE ON audit_log FROM poseidon_app_role — application cannot modify or delete log entries.</w:t>
      </w:r>
    </w:p>
    <w:p>
      <w:pPr>
        <w:pStyle w:val="ListParagraph"/>
        <w:numPr>
          <w:ilvl w:val="0"/>
          <w:numId w:val="2"/>
        </w:numPr>
        <w:spacing w:after="60" w:before="20"/>
      </w:pPr>
      <w:r>
        <w:rPr>
          <w:rFonts w:ascii="Arial" w:cs="Arial" w:eastAsia="Arial" w:hAnsi="Arial"/>
          <w:color w:val="1A2332"/>
          <w:sz w:val="19"/>
          <w:szCs w:val="19"/>
        </w:rPr>
        <w:t xml:space="preserve">Append-only: all audit entries are INSERT operations only, never updates.</w:t>
      </w:r>
    </w:p>
    <w:p>
      <w:pPr>
        <w:pStyle w:val="ListParagraph"/>
        <w:numPr>
          <w:ilvl w:val="0"/>
          <w:numId w:val="2"/>
        </w:numPr>
        <w:spacing w:after="60" w:before="20"/>
      </w:pPr>
      <w:r>
        <w:rPr>
          <w:rFonts w:ascii="Arial" w:cs="Arial" w:eastAsia="Arial" w:hAnsi="Arial"/>
          <w:color w:val="1A2332"/>
          <w:sz w:val="19"/>
          <w:szCs w:val="19"/>
        </w:rPr>
        <w:t xml:space="preserve">Checksums: each audit row includes a SHA-256 hash of the row content (excluding the hash field itself), for tamper detection.</w:t>
      </w:r>
    </w:p>
    <w:p>
      <w:pPr>
        <w:pStyle w:val="ListParagraph"/>
        <w:numPr>
          <w:ilvl w:val="0"/>
          <w:numId w:val="2"/>
        </w:numPr>
        <w:spacing w:after="60" w:before="20"/>
      </w:pPr>
      <w:r>
        <w:rPr>
          <w:rFonts w:ascii="Arial" w:cs="Arial" w:eastAsia="Arial" w:hAnsi="Arial"/>
          <w:color w:val="1A2332"/>
          <w:sz w:val="19"/>
          <w:szCs w:val="19"/>
        </w:rPr>
        <w:t xml:space="preserve">Backups: audit_log included in nightly database backups. Backups retained for 7 years.</w:t>
      </w:r>
    </w:p>
    <w:p>
      <w:pPr>
        <w:pStyle w:val="ListParagraph"/>
        <w:numPr>
          <w:ilvl w:val="0"/>
          <w:numId w:val="2"/>
        </w:numPr>
        <w:spacing w:after="60" w:before="20"/>
      </w:pPr>
      <w:r>
        <w:rPr>
          <w:rFonts w:ascii="Arial" w:cs="Arial" w:eastAsia="Arial" w:hAnsi="Arial"/>
          <w:color w:val="1A2332"/>
          <w:sz w:val="19"/>
          <w:szCs w:val="19"/>
        </w:rPr>
        <w:t xml:space="preserve">Immutability proof (future): Merkle tree hash of daily audit log batch, stored to a public blockchain or timestamping service (RFC 3161). Provides cryptographic proof of log integrity for regulatory disputes.</w:t>
      </w:r>
    </w:p>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16.  Internal AI Assistant Architecture</w:t>
      </w:r>
    </w:p>
    <w:p>
      <w:pPr>
        <w:spacing w:after="60" w:before="0"/>
      </w:pPr>
      <w:r>
        <w:t xml:space="preserve"/>
      </w:r>
    </w:p>
    <w:p>
      <w:pPr>
        <w:spacing w:after="100" w:before="0"/>
        <w:jc w:val="both"/>
      </w:pPr>
      <w:r>
        <w:rPr>
          <w:rFonts w:ascii="Arial" w:cs="Arial" w:eastAsia="Arial" w:hAnsi="Arial"/>
          <w:color w:val="1A2332"/>
          <w:sz w:val="19"/>
          <w:szCs w:val="19"/>
        </w:rPr>
        <w:t xml:space="preserve">The Poseidon Ledger AI Assistant is a compliance-aware conversational interface that allows fleet managers to ask questions about their compliance status, regulatory requirements, and specific vessel data in plain language. It is not a replacement for the structured UI — it is a supplementary power-user tool.</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16.1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Architecture: Retrieval-Augmented Generation (RAG) + Tool-Calling
Components:
1. REGULATORY KNOWLEDGE BASE
   - Source documents: EU ETS Directive, FuelEU Regulation 2023/1805,
     THETIS-MRV submission guide, MARPOL Annex VI, FuelEU Guidance (Oct 2025)
   - Chunked and embedded via text-embedding-3-large (OpenAI)
   - Stored in pgvector extension on Supabase PostgreSQL
   - Updated quarterly when regulatory documents are revised
2. VESSEL DATA TOOLS (function calling)
   - get_vessel_compliance_score(vessel_id, year)
   - get_fleet_ets_summary(org_id, year)
   - get_open_violations(vessel_id)
   - get_fuel_deliveries(vessel_id, year)
   - get_voyage_log(vessel_id, from_date, to_date)
   - get_monitoring_plan_gaps(vessel_id)
3. LLM (Anthropic Claude claude-sonnet-4-6 or GPT-4o)
   - System prompt: role definition, safety constraints, compliance context
   - Tool definitions for vessel data functions
   - RAG context injection: relevant regulatory chunks prepended
4. SAFETY LAYER
   - All LLM outputs are advisory only — never drive compliance calculations
   - Disclaimer injected in all responses: "This is for guidance only. All
     compliance figures and regulatory deadlines should be verified against
     official sources."
   - No LLM output is written to the database without explicit user confirmation</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16.2  Example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USER QUERY</w:t>
            </w:r>
          </w:p>
        </w:tc>
        <w:tc>
          <w:tcPr>
            <w:tcW w:type="dxa" w:w="6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ASSISTANT BEHAVIOUR</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'What is my EUA obligation for vessel SERENITY this year?'</w:t>
            </w:r>
          </w:p>
        </w:tc>
        <w:tc>
          <w:tcPr>
            <w:tcW w:type="dxa" w:w="6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Calls get_vessel_ets_summary('vessel_uuid', 2026). Returns: 'Based on reconciled voyage data through 18 June 2026, SERENITY has an estimated EUA obligation of 487 tonnes for 2026 (100% coverage year). At current EUA prices of €79/tonne, this represents an estimated cost of €38,473. Note: 23% of the year's voyages are still pending BDN reconciliation, so this figure will change.' Appends disclaimer.</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'What happens if I don't surrender EUAs by 30 September?'</w:t>
            </w:r>
          </w:p>
        </w:tc>
        <w:tc>
          <w:tcPr>
            <w:tcW w:type="dxa" w:w="6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Retrieves regulatory chunk from EU ETS Directive on penalties. Returns plain-language explanation: penalty of €100/tonne + retroactive surrender obligation + potential port expulsion under Article 25 after two consecutive non-compliance years. Cites source document and section.</w:t>
            </w:r>
          </w:p>
        </w:tc>
      </w:tr>
      <w:tr>
        <w:tc>
          <w:tcPr>
            <w:tcW w:type="dxa" w:w="3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'My verifier says my monitoring plan is missing the FuelEU risk assessment chapter. How do I fix this?'</w:t>
            </w:r>
          </w:p>
        </w:tc>
        <w:tc>
          <w:tcPr>
            <w:tcW w:type="dxa" w:w="6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Retrieves FuelEU Guidance Section 8.2.1 on risk assessment requirements. Explains required additions: OPS chapter, ZET data, WtT emissions. Offers to run gap analysis on current monitoring plan: 'Shall I show you the gap analysis for your vessel SERENITY?'</w:t>
            </w:r>
          </w:p>
        </w:tc>
      </w:tr>
      <w:tr>
        <w:tc>
          <w:tcPr>
            <w:tcW w:type="dxa" w:w="3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'What is the WtW emission factor for B10 biofuel?'</w:t>
            </w:r>
          </w:p>
        </w:tc>
        <w:tc>
          <w:tcPr>
            <w:tcW w:type="dxa" w:w="6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Looks up emission_factors table via tool + retrieves FuelEU Annex II reference. Returns: 'The default WtW factor for B10 (10% FAME biofuel blend with VLSFO) is... Note: if your fuel has an ISCC certificate with a declared WtW factor, that figure takes precedence over the default.'</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17.  MVP Roadmap — Phase-by-Phase Build Plan</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17.1  Phase 1 — Compliance Core (Weeks 1–12)</w:t>
      </w:r>
    </w:p>
    <w:p>
      <w:pPr>
        <w:spacing w:after="100" w:before="0"/>
        <w:jc w:val="both"/>
      </w:pPr>
      <w:r>
        <w:rPr>
          <w:rFonts w:ascii="Arial" w:cs="Arial" w:eastAsia="Arial" w:hAnsi="Arial"/>
          <w:color w:val="1A2332"/>
          <w:sz w:val="19"/>
          <w:szCs w:val="19"/>
        </w:rPr>
        <w:t xml:space="preserve">The minimum viable product is the automated EU ETS MRV compliance workflow. Everything else is secondary. Phase 1 must be production-ready before any Phase 2 work begins.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MODULE</w:t>
            </w:r>
          </w:p>
        </w:tc>
        <w:tc>
          <w:tcPr>
            <w:tcW w:type="dxa" w:w="4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WHAT TO BUILD</w:t>
            </w:r>
          </w:p>
        </w:tc>
        <w:tc>
          <w:tcPr>
            <w:tcW w:type="dxa" w:w="3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WHAT TO SKIP</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Authentication</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Email/password + magic link via Supabase Auth. Admin and Compliance Manager roles only.</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MFA (add Phase 2). OAuth (add Phase 2).</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Organisation setup</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Basic org profile. Fleet and vessel creation. IMO number as vessel key.</w:t>
            </w:r>
          </w:p>
        </w:tc>
        <w:tc>
          <w:tcPr>
            <w:tcW w:type="dxa" w:w="3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Billing integration. Advanced user management.</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integration</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MarineTraffic API integration. Daily polling job. Historical backfill on vessel add. Voyage derivation algorithm (port detection, distance calc, voyage type).</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VesselFinder fallback. Real-time tracking. Map visualisation (add Phase 2).</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BDN upload</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Web upload only. Google Document AI OCR. BDN field extraction. Manual review UI. Fuel delivery record creation. Emission factor application (TtW only for Phase 1).</w:t>
            </w:r>
          </w:p>
        </w:tc>
        <w:tc>
          <w:tcPr>
            <w:tcW w:type="dxa" w:w="3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Email ingest (add Phase 2). FuelEU WtW calculations. ISCC certificate tracking.</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Compliance Engine</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Voyage consistency rules (VCR-01 to 05). Fuel quantity rules (FQR-01, 02, 04). Monitoring Plan rules (MPR-01, 02). Risk score. Violation logging.</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rule set. Anomaly detection ML.</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THETIS-MRV export</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Annual emissions report generation. XML export. Pre-submission checklist.</w:t>
            </w:r>
          </w:p>
        </w:tc>
        <w:tc>
          <w:tcPr>
            <w:tcW w:type="dxa" w:w="3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 THETIS API (not available). Verifier data package (Phase 2).</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ETS module</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 obligation calculation. Basic deadline alerts (30 Sep, 31 Mar).</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EUA price feed integration (Phase 2). Cost estimate display.</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Audit trail</w:t>
            </w:r>
          </w:p>
        </w:tc>
        <w:tc>
          <w:tcPr>
            <w:tcW w:type="dxa" w:w="4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from day one. Non-negotiable. All writes logged.</w:t>
            </w:r>
          </w:p>
        </w:tc>
        <w:tc>
          <w:tcPr>
            <w:tcW w:type="dxa" w:w="3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Nothing — audit trail is never optional.</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Notifications</w:t>
            </w:r>
          </w:p>
        </w:tc>
        <w:tc>
          <w:tcPr>
            <w:tcW w:type="dxa" w:w="4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Critical deadline emails only (Resend). In-app alerts: week 8+.</w:t>
            </w:r>
          </w:p>
        </w:tc>
        <w:tc>
          <w:tcPr>
            <w:tcW w:type="dxa" w:w="3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Weekly digest. Green Zone alerts. ISCC expiry.</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17.2  Phase 2 — Operational Depth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Email BDN ingestion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Reduces captain friction dramatically. Resend inbound webhook. Highest user-experience impact for lowest engineering effort.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MFA and OAuth</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Enterprise clients require MFA. Google Workspace OAuth reduces friction for fleet management company staff.</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FuelEU module</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First FuelEU penalty cycle (June 2026) creates urgency. Add WtW calculations, GHG intensity tracking, ISCC certificate management.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Green Zone module</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database build. Green Zone alerts. ESG credential pack generation.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Verifier data package</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Automatically generate the complete file set for class society verifier: report + source BDNs + AIS data + gap resolution notes.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EUA price feed</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ICE or broker API integration. EUA cost estimate in real time. Surrender countdown with cost display.</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Fleet-level reporting</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Fleet summary dashboard. Multi-vessel THETIS-MRV batch generation. ESG benchmark report.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Map visualisation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track map (Mapbox). Port call timeline. Green Zone port overlays.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Billing integration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Stripe. Per-vessel monthly subscription. Trial to paid conversion.</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17.3  Phase 3 — Platform &amp; Integrations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Insurance data export</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ESG risk data export for Pantaenius and other marine insurers. Enables the insurance partnership channel.</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 compliance assistant</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RAG-based chatbot over regulatory documents + vessel data. Reduces support volume. Differentiates from spreadsheet alternatives.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Webhook outbound events</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Allows integration with IDEA Yacht, Sealogical, and other fleet management systems via event notifications.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White-label API</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Charter platforms and fleet management software can embed Poseidon compliance data in their own interfaces via the API.</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Port authority API (Antibes / Porto Cervo pilot)</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 data feed to port authority berth management systems. Poseidon data as required berth compliance proof. Phase 3 strategic objective.</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Spire Maritime integration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Satellite AIS for offshore vessels. Needed for clients with vessels operating beyond Mediterranean coastal waters.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Advanced Compliance Engine</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Full rule set including anomaly detection ML. Methane slip tracking (CH4/N2O in ETS scope from 2026). FuelEU pooling management.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Caribbean expansion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database expansion to Gustavia, BVI, Nassau. Sales materials using Mediterranean case studies.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17.4  Phase 4 — Market Expansion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65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Argos Intelligence integration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Propulsion telemetry bridge. Real-time CO2 per voyage from hybrid/electric vessel propulsion systems. Premium tier for modern vessels.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Verifier API integration</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Direct data submission to DNV or Lloyd's Register verification platform. Removes manual packaging step. Reduces verifier cost per vessel by €3,000–8,000.</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Fleet emissions benchmark dataset</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Anonymised, aggregated Mediterranean fleet emissions benchmark. Sold to port authorities, marine insurers, and the EU Commission.</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Vessel financing data export</w:t>
            </w:r>
          </w:p>
        </w:tc>
        <w:tc>
          <w:tcPr>
            <w:tcW w:type="dxa" w:w="65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Poseidon Principles alignment documentation for BNP Paribas Maritime, Crédit Agricole CIB and other superyacht lenders.</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IMO DCS integration</w:t>
            </w:r>
          </w:p>
        </w:tc>
        <w:tc>
          <w:tcPr>
            <w:tcW w:type="dxa" w:w="65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International Maritime Organization Data Collection System. For vessels entering global shipping scope. Extends beyond Mediterranean.</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18.  GitHub Strategy — Open Source Components</w:t>
      </w:r>
    </w:p>
    <w:p>
      <w:pPr>
        <w:spacing w:after="60" w:before="0"/>
      </w:pPr>
      <w:r>
        <w:t xml:space="preserve"/>
      </w:r>
    </w:p>
    <w:p>
      <w:pPr>
        <w:spacing w:after="100" w:before="0"/>
        <w:jc w:val="both"/>
      </w:pPr>
      <w:r>
        <w:rPr>
          <w:rFonts w:ascii="Arial" w:cs="Arial" w:eastAsia="Arial" w:hAnsi="Arial"/>
          <w:color w:val="1A2332"/>
          <w:sz w:val="19"/>
          <w:szCs w:val="19"/>
        </w:rPr>
        <w:t xml:space="preserve">Building on proven open-source components saves months of engineering time. The following libraries and tools are recommended for integration rather than rebuilding from scratch. All are actively maintained as of June 2026.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COMPONENT</w:t>
            </w:r>
          </w:p>
        </w:tc>
        <w:tc>
          <w:tcPr>
            <w:tcW w:type="dxa" w:w="2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LIBRARY / REPO</w:t>
            </w:r>
          </w:p>
        </w:tc>
        <w:tc>
          <w:tcPr>
            <w:tcW w:type="dxa" w:w="2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PURPOSE</w:t>
            </w:r>
          </w:p>
        </w:tc>
        <w:tc>
          <w:tcPr>
            <w:tcW w:type="dxa" w:w="2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INTEGRATION NOTES</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Port boundary polygons</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github.com/datasets/geo-countries + custom port polygon dataset from OpenStreetMap</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Port detection in voyage derivation. Determine if AIS lat/lon is 'inside' a port.</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Extract port polygons for 500+ ports from OSM Overpass API. Store as PostGIS geometry in a ports table. Use ST_Within() for port detection queries.</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Haversine distance</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geolib (npm) or custom 10-line implementation</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Great-circle distance between two AIS positions. Used for voyage distance and speed calculation.</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No external library needed for this — implement directly in the voyage derivation service.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UN/LOCODE port database</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github.com/datasets/un-locode (official UN dataset)</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Master port list with country codes, coordinates, and LOCODE identifiers. Used to classify voyage types (intra-EU vs third-country).</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Import full LOCODE dataset into ports table. Enrich with EU/EEA membership flag per country code.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ISO 8217 fuel types</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MARPOL Annex VI official documentation — no GitHub repo needed</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Reference list of ISO 8217 fuel grades and their MARPOL default emission factors.</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Hardcode in emission_factors table from official MARPOL source. Update when IMO revises.</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PDF rendering (BDN preview)</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pdf.js (Mozilla, npm: pdfjs-dist)</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Render BDN PDF in browser for the review UI. Display alongside extracted fields.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Client-side rendering. No server processing needed.</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Email templates</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react-email (github.com/resend/react-email)</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Build notification emails as React components. Preview in browser.</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Already in Resend ecosystem. Use with Resend for delivery.</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Background jobs</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Inngest (inngest.com, open-source client)</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Durable workflows for OCR processing, AIS polling, report generation. Critical: job must not be silently lost.</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Self-host or use Inngest Cloud (free tier adequate for MVP). Define each job as an Inngest function with retry policy.</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Map tiles</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Mapbox GL JS + OpenSeaMap overlay</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Vessel track visualisation. Port locations. Green Zone overlays.</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Mapbox free tier (50,000 map loads/month) sufficient for MVP. OpenSeaMap nautical chart overlay for maritime context.</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Schema validation</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Zod (npm: zod)</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TypeScript-first runtime schema validation for all API inputs and OCR output parsing.</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 for API request bodies, OCR output parsing, and database insert validation.</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ORM</w:t>
            </w:r>
          </w:p>
        </w:tc>
        <w:tc>
          <w:tcPr>
            <w:tcW w:type="dxa" w:w="2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Prisma (prisma.io)</w:t>
            </w:r>
          </w:p>
        </w:tc>
        <w:tc>
          <w:tcPr>
            <w:tcW w:type="dxa" w:w="2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Type-safe database queries. Enforces parameterised queries. Migration management.</w:t>
            </w:r>
          </w:p>
        </w:tc>
        <w:tc>
          <w:tcPr>
            <w:tcW w:type="dxa" w:w="2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Use Prisma with Supabase Postgres. Note: disable Prisma connection pooling when using Supabase's built-in connection pooler (PgBouncer).</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EU ETS regulation text</w:t>
            </w:r>
          </w:p>
        </w:tc>
        <w:tc>
          <w:tcPr>
            <w:tcW w:type="dxa" w:w="2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EUR-Lex official repository (eur-lex.europa.eu)</w:t>
            </w:r>
          </w:p>
        </w:tc>
        <w:tc>
          <w:tcPr>
            <w:tcW w:type="dxa" w:w="2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Source documents for AI assistant RAG knowledge base. Always use official EUR-Lex PDFs, not third-party summaries.</w:t>
            </w:r>
          </w:p>
        </w:tc>
        <w:tc>
          <w:tcPr>
            <w:tcW w:type="dxa" w:w="2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Download: Directive 2003/87/EC as amended, Regulation 2016/1928, Regulation 2023/1805 (FuelEU). Re-download quarterly for amendment tracking.</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19.  Deployment Architecture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19.1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14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REGION</w:t>
            </w:r>
          </w:p>
        </w:tc>
        <w:tc>
          <w:tcPr>
            <w:tcW w:type="dxa" w:w="39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RATIONALE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Frontend (Next.js)</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Vercel</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(Frankfurt)</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Already chosen (vercel.json present). Edge network. Automatic SSL. Zero-config deployments. EU region for GDPR compliance.</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Backend API</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Fly.io or Railway</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(Amsterdam)</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Low-latency API. Persistent server (needed for AIS polling scheduler). Docker-based. EU region for data residency. Alternative: Railway is simpler for solo founder.</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Database</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(managed Postgres)</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(Frankfurt)</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ACID compliance. TimescaleDB extension for AIS. Built-in auth. Row-level security. Automatic backups. Free tier for dev.</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Document storage</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Storage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S3-compatible. Integrated with Supabase auth for access control. Signed URLs for downloads.</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Background jobs</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Inngest Cloud or co-located with API</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Durable job execution. Retry logic. Dead letter queue. Observability dashboard.</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Email delivery</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Resend</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Global</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Already in package.json. Excellent deliverability. EU sending available.</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OCR processing</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Google Cloud Document AI</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 (eu)</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GDPR-compliant EU processing available. BDN documents processed in EU region.</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Logging</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Axiom</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Structured logs. Vercel integration. Queried via API for debugging.</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Error tracking</w:t>
            </w:r>
          </w:p>
        </w:tc>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Sentry</w:t>
            </w:r>
          </w:p>
        </w:tc>
        <w:tc>
          <w:tcPr>
            <w:tcW w:type="dxa" w:w="14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EU</w:t>
            </w:r>
          </w:p>
        </w:tc>
        <w:tc>
          <w:tcPr>
            <w:tcW w:type="dxa" w:w="39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Error aggregation. Performance monitoring. Alerting on critical errors.</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CDN / DDoS</w:t>
            </w:r>
          </w:p>
        </w:tc>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Cloudflare (free)</w:t>
            </w:r>
          </w:p>
        </w:tc>
        <w:tc>
          <w:tcPr>
            <w:tcW w:type="dxa" w:w="14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Global</w:t>
            </w:r>
          </w:p>
        </w:tc>
        <w:tc>
          <w:tcPr>
            <w:tcW w:type="dxa" w:w="39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DNS, DDoS protection, WAF rules for common attack patterns.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19.2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ENVIRONMENT</w:t>
            </w:r>
          </w:p>
        </w:tc>
        <w:tc>
          <w:tcPr>
            <w:tcW w:type="dxa" w:w="36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PURPOSE</w:t>
            </w:r>
          </w:p>
        </w:tc>
        <w:tc>
          <w:tcPr>
            <w:tcW w:type="dxa" w:w="37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DATA POLICY</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Development (local)</w:t>
            </w:r>
          </w:p>
        </w:tc>
        <w:tc>
          <w:tcPr>
            <w:tcW w:type="dxa" w:w="3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Engineer's local machine. Docker Compose for Postgres + Redis. Supabase CLI for local Supabase emulation.</w:t>
            </w:r>
          </w:p>
        </w:tc>
        <w:tc>
          <w:tcPr>
            <w:tcW w:type="dxa" w:w="3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Synthetic data only. Never production data locally.</w:t>
            </w:r>
          </w:p>
        </w:tc>
      </w:tr>
      <w:tr>
        <w:tc>
          <w:tcPr>
            <w:tcW w:type="dxa" w:w="2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Staging</w:t>
            </w:r>
          </w:p>
        </w:tc>
        <w:tc>
          <w:tcPr>
            <w:tcW w:type="dxa" w:w="36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Mirrors production infrastructure. Used for pre-deployment testing, QA, and demo accounts. Connected to MarineTraffic test credentials.</w:t>
            </w:r>
          </w:p>
        </w:tc>
        <w:tc>
          <w:tcPr>
            <w:tcW w:type="dxa" w:w="37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Anonymised copy of production data. Refreshed monthly.</w:t>
            </w:r>
          </w:p>
        </w:tc>
      </w:tr>
      <w:tr>
        <w:tc>
          <w:tcPr>
            <w:tcW w:type="dxa" w:w="2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Production</w:t>
            </w:r>
          </w:p>
        </w:tc>
        <w:tc>
          <w:tcPr>
            <w:tcW w:type="dxa" w:w="36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Live system serving paying customers.</w:t>
            </w:r>
          </w:p>
        </w:tc>
        <w:tc>
          <w:tcPr>
            <w:tcW w:type="dxa" w:w="37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Real customer data. GDPR in scope. Access restricted to production deploy role.</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19.3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0F4F8" w:val="clear"/>
            <w:tcMar>
              <w:top w:type="dxa" w:w="100"/>
              <w:left w:type="dxa" w:w="160"/>
              <w:bottom w:type="dxa" w:w="100"/>
              <w:right w:type="dxa" w:w="160"/>
            </w:tcMar>
          </w:tcPr>
          <w:p>
            <w:r>
              <w:rPr>
                <w:rFonts w:ascii="Courier New" w:cs="Courier New" w:eastAsia="Courier New" w:hAnsi="Courier New"/>
                <w:color w:val="1A4B8C"/>
                <w:sz w:val="17"/>
                <w:szCs w:val="17"/>
              </w:rPr>
              <w:t xml:space="preserve">// GitHub Actions workflow:
on: [push to main, pull_request to main]
jobs:
  test:
    - npm run type-check          # TypeScript compilation
    - npm run lint                # ESLint
    - npm run test                # Jest unit tests
    - npm run test:integration    # Supabase local + integration tests
  build:
    - npm run build               # Next.js production build
  deploy-staging:
    if: branch == 'main'
    - Deploy to Vercel staging preview
    - Deploy backend to Fly.io staging
    - Run smoke tests against staging
  deploy-production:
    if: branch == 'main' AND all tests pass AND manual approval
    - Deploy to Vercel production
    - Deploy backend to Fly.io production
    - Run post-deploy health checks
    - Alert on Slack if health check fails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19.4  Development Timeline Estimates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PHASE</w:t>
            </w:r>
          </w:p>
        </w:tc>
        <w:tc>
          <w:tcPr>
            <w:tcW w:type="dxa" w:w="2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SOLO FOUNDER + CLAUDE CODE</w:t>
            </w:r>
          </w:p>
        </w:tc>
        <w:tc>
          <w:tcPr>
            <w:tcW w:type="dxa" w:w="21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SMALL TEAM (2–3 ENGINEERS)</w:t>
            </w:r>
          </w:p>
        </w:tc>
        <w:tc>
          <w:tcPr>
            <w:tcW w:type="dxa" w:w="2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VENTURE-BACKED (5+ ENGINEERS)</w:t>
            </w:r>
          </w:p>
        </w:tc>
      </w:tr>
      <w:tr>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Phase 1 (MVP — Compliance Core)</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14–20 weeks</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6–9 weeks</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3–4 weeks</w:t>
            </w:r>
          </w:p>
        </w:tc>
      </w:tr>
      <w:tr>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Phase 2 (Operational Depth)</w:t>
            </w:r>
          </w:p>
        </w:tc>
        <w:tc>
          <w:tcPr>
            <w:tcW w:type="dxa" w:w="2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12–16 weeks</w:t>
            </w:r>
          </w:p>
        </w:tc>
        <w:tc>
          <w:tcPr>
            <w:tcW w:type="dxa" w:w="2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6–8 weeks</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3–4 weeks</w:t>
            </w:r>
          </w:p>
        </w:tc>
      </w:tr>
      <w:tr>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Phase 3 (Platform &amp; Integrations)</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16–20 weeks</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8–12 weeks</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4–6 weeks</w:t>
            </w:r>
          </w:p>
        </w:tc>
      </w:tr>
      <w:tr>
        <w:tc>
          <w:tcPr>
            <w:tcW w:type="dxa" w:w="30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Phase 4 (Market Expansion)</w:t>
            </w:r>
          </w:p>
        </w:tc>
        <w:tc>
          <w:tcPr>
            <w:tcW w:type="dxa" w:w="2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20–30 weeks</w:t>
            </w:r>
          </w:p>
        </w:tc>
        <w:tc>
          <w:tcPr>
            <w:tcW w:type="dxa" w:w="21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10–16 weeks</w:t>
            </w:r>
          </w:p>
        </w:tc>
        <w:tc>
          <w:tcPr>
            <w:tcW w:type="dxa" w:w="2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6–8 weeks</w:t>
            </w:r>
          </w:p>
        </w:tc>
      </w:tr>
      <w:tr>
        <w:tc>
          <w:tcPr>
            <w:tcW w:type="dxa" w:w="30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Total to Phase 3 complete</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~42–56 weeks (10–14 months)</w:t>
            </w:r>
          </w:p>
        </w:tc>
        <w:tc>
          <w:tcPr>
            <w:tcW w:type="dxa" w:w="21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~20–29 weeks (5–7 months)</w:t>
            </w:r>
          </w:p>
        </w:tc>
        <w:tc>
          <w:tcPr>
            <w:tcW w:type="dxa" w:w="2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~10–14 weeks (3–4 months)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B87A00" w:sz="14"/>
              <w:bottom w:val="single" w:color="C5CDD8" w:sz="1"/>
              <w:right w:val="single" w:color="C5CDD8" w:sz="1"/>
            </w:tcBorders>
            <w:shd w:fill="FFF8E8" w:val="clear"/>
            <w:tcMar>
              <w:top w:type="dxa" w:w="120"/>
              <w:left w:type="dxa" w:w="180"/>
              <w:bottom w:type="dxa" w:w="120"/>
              <w:right w:type="dxa" w:w="180"/>
            </w:tcMar>
          </w:tcPr>
          <w:p>
            <w:pPr>
              <w:spacing w:after="50" w:before="0"/>
            </w:pPr>
            <w:r>
              <w:rPr>
                <w:rFonts w:ascii="Arial" w:cs="Arial" w:eastAsia="Arial" w:hAnsi="Arial"/>
                <w:b/>
                <w:bCs/>
                <w:color w:val="B87A00"/>
                <w:sz w:val="18"/>
                <w:szCs w:val="18"/>
              </w:rPr>
              <w:t xml:space="preserve">SOLO FOUNDER NOTE</w:t>
            </w:r>
          </w:p>
          <w:p>
            <w:pPr>
              <w:spacing w:after="0" w:before="0"/>
              <w:jc w:val="both"/>
            </w:pPr>
            <w:r>
              <w:rPr>
                <w:rFonts w:ascii="Arial" w:cs="Arial" w:eastAsia="Arial" w:hAnsi="Arial"/>
                <w:color w:val="1A2332"/>
                <w:sz w:val="18"/>
                <w:szCs w:val="18"/>
              </w:rPr>
              <w:t xml:space="preserve">The 'Solo Founder + Claude Code' timeline assumes full use of Claude Code for scaffolding, boilerplate, and first-draft implementations. The bottleneck is not code generation speed — it is understanding the compliance domain deeply enough to make correct engineering decisions. Budget 20–30% of total time for regulatory research, compliance rule definition, and verifier consultation. The compliance rules in Section 6 are where the real complexity lives, not the infrastructure.</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20.  Risk Register</w:t>
      </w:r>
    </w:p>
    <w:p>
      <w:pPr>
        <w:spacing w:after="60" w:before="0"/>
      </w:pPr>
      <w:r>
        <w:t xml:space="preserve"/>
      </w:r>
    </w:p>
    <w:p>
      <w:pPr>
        <w:pStyle w:val="Heading2"/>
        <w:spacing w:after="80" w:before="280"/>
      </w:pPr>
      <w:r>
        <w:rPr>
          <w:rFonts w:ascii="Arial" w:cs="Arial" w:eastAsia="Arial" w:hAnsi="Arial"/>
          <w:b/>
          <w:bCs/>
          <w:color w:val="0D7D7E"/>
          <w:sz w:val="24"/>
          <w:szCs w:val="24"/>
        </w:rPr>
        <w:t xml:space="preserve">20.1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RISK</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LIKELIHOOD</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IMPACT</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MITIGATION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AIS provider rate limit or pricing change</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Multi-provider architecture (MarineTraffic + VesselFinder). Aggressive caching of AIS data. Position data stored locally — re-query only for new date ranges.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Google Document AI OCR accuracy insufficient for non-standard BDNs</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Human review queue catches errors before they enter compliance records. Custom BDN processor training after 50+ sample collection. Manual entry fallback always available.</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THETIS-MRV report format changes (EMSA updates requirements)</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Monitor EMSA developer documentation quarterly. Subscribe to EMSA newsletter. Allow 4–6 weeks to adapt export format after regulatory change announcement.</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Supabase outage</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Supabase SLA 99.9%. Offline-capable read cache for dashboard data (React Query stale-while-revalidate). For compliance calculations: Supabase is not accessed in real-time during verifier submission.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Silent OCR failure (incorrect data accepted without review)</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Very High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Quality gate is mandatory — all records go through validation rules after OCR. Compliance Engine catches implausible fuel quantities and unmatched BDNs. Audit trail shows OCR confidence scores.</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20.2  Commercial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RISK</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LIKELIHOOD</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IMPACT</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MITIGATION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IDEA Yacht or Sealogical builds emissions module natively</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25-year incumbents have not built this in 10 years of EU MRV obligation. Speed to market and data moat are the defences. Target 35+ clients in 12 months before incumbent responds.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Regulatory timeline slips — enforcement weaker than expected</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Two of three ROI items (insurance premium reduction, Green Zone berth access) are enforcement-independent. Product has value regardless of ETS penalty timeline.</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Market too concentrated — top 5 clients = 80% of revenue</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At €890/vessel/month, 70 fleet clients (1,000 vessels) = €10.7M ARR with no client above 40 vessels. Revenue concentration risk is manageable if client acquisition is diversified.</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Sales cycle too long to reach 10 clients before cash runs out</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High</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Very High</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Free audit tool radically compresses trust-building phase. Target 3–5 week average cycle. September 2026 deadline urgency is the forcing function. The compliance breakfast events in Monaco and Palma are the primary acquisition strategy.</w:t>
            </w:r>
          </w:p>
        </w:tc>
      </w:tr>
    </w:tbl>
    <w:p>
      <w:pPr>
        <w:spacing w:after="80" w:before="0"/>
      </w:pPr>
      <w:r>
        <w:t xml:space="preserve"/>
      </w:r>
    </w:p>
    <w:p>
      <w:pPr>
        <w:pStyle w:val="Heading2"/>
        <w:spacing w:after="80" w:before="280"/>
      </w:pPr>
      <w:r>
        <w:rPr>
          <w:rFonts w:ascii="Arial" w:cs="Arial" w:eastAsia="Arial" w:hAnsi="Arial"/>
          <w:b/>
          <w:bCs/>
          <w:color w:val="0D7D7E"/>
          <w:sz w:val="24"/>
          <w:szCs w:val="24"/>
        </w:rPr>
        <w:t xml:space="preserve">20.3  Regulatory and Legal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RISK</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LIKELIHOOD</w:t>
            </w:r>
          </w:p>
        </w:tc>
        <w:tc>
          <w:tcPr>
            <w:tcW w:type="dxa" w:w="120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IMPACT</w:t>
            </w:r>
          </w:p>
        </w:tc>
        <w:tc>
          <w:tcPr>
            <w:tcW w:type="dxa" w:w="4160"/>
            <w:tcBorders>
              <w:top w:val="single" w:color="C5CDD8" w:sz="1"/>
              <w:left w:val="single" w:color="C5CDD8" w:sz="1"/>
              <w:bottom w:val="single" w:color="C5CDD8" w:sz="1"/>
              <w:right w:val="single" w:color="C5CDD8" w:sz="1"/>
            </w:tcBorders>
            <w:shd w:fill="0A2342" w:val="clear"/>
            <w:tcMar>
              <w:top w:type="dxa" w:w="80"/>
              <w:left w:type="dxa" w:w="100"/>
              <w:bottom w:type="dxa" w:w="80"/>
              <w:right w:type="dxa" w:w="100"/>
            </w:tcMar>
          </w:tcPr>
          <w:p>
            <w:r>
              <w:rPr>
                <w:rFonts w:ascii="Arial" w:cs="Arial" w:eastAsia="Arial" w:hAnsi="Arial"/>
                <w:b/>
                <w:bCs/>
                <w:color w:val="FFFFFF"/>
                <w:sz w:val="17"/>
                <w:szCs w:val="17"/>
              </w:rPr>
              <w:t xml:space="preserve">MITIGATION</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Poseidon Ledger data used as basis for EUA surrender challenge</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High</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All outputs explicitly labelled 'operational reference figures' not 'verified figures'. Formal verification is performed by accredited class society. Disclaimer on all reports.</w:t>
            </w:r>
          </w:p>
        </w:tc>
      </w:tr>
      <w:tr>
        <w:tc>
          <w:tcPr>
            <w:tcW w:type="dxa" w:w="28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GDPR: AIS position data classified as personal data</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Medium</w:t>
            </w:r>
          </w:p>
        </w:tc>
        <w:tc>
          <w:tcPr>
            <w:tcW w:type="dxa" w:w="4160"/>
            <w:tcBorders>
              <w:top w:val="single" w:color="C5CDD8" w:sz="1"/>
              <w:left w:val="single" w:color="C5CDD8" w:sz="1"/>
              <w:bottom w:val="single" w:color="C5CDD8" w:sz="1"/>
              <w:right w:val="single" w:color="C5CDD8" w:sz="1"/>
            </w:tcBorders>
            <w:shd w:fill="F4F6F8"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AIS data is vessel-level, not person-level. IMO numbers and vessel names are public data (AIS is a public broadcast protocol). Legal basis: legitimate interest for compliance management. Take legal advice on EU GDPR applicability before launch.</w:t>
            </w:r>
          </w:p>
        </w:tc>
      </w:tr>
      <w:tr>
        <w:tc>
          <w:tcPr>
            <w:tcW w:type="dxa" w:w="28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bCs/>
                <w:color w:val="1A2332"/>
                <w:sz w:val="17"/>
                <w:szCs w:val="17"/>
              </w:rPr>
              <w:t xml:space="preserve">OCR of BDN extracts third-party supplier data without consent</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120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Low</w:t>
            </w:r>
          </w:p>
        </w:tc>
        <w:tc>
          <w:tcPr>
            <w:tcW w:type="dxa" w:w="4160"/>
            <w:tcBorders>
              <w:top w:val="single" w:color="C5CDD8" w:sz="1"/>
              <w:left w:val="single" w:color="C5CDD8" w:sz="1"/>
              <w:bottom w:val="single" w:color="C5CDD8" w:sz="1"/>
              <w:right w:val="single" w:color="C5CDD8" w:sz="1"/>
            </w:tcBorders>
            <w:shd w:fill="FFFFFF" w:val="clear"/>
            <w:tcMar>
              <w:top w:type="dxa" w:w="70"/>
              <w:left w:type="dxa" w:w="100"/>
              <w:bottom w:type="dxa" w:w="70"/>
              <w:right w:type="dxa" w:w="100"/>
            </w:tcMar>
            <w:vAlign w:val="top"/>
          </w:tcPr>
          <w:p>
            <w:pPr>
              <w:jc w:val="both"/>
            </w:pPr>
            <w:r>
              <w:rPr>
                <w:rFonts w:ascii="Arial" w:cs="Arial" w:eastAsia="Arial" w:hAnsi="Arial"/>
                <w:b w:val="false"/>
                <w:bCs w:val="false"/>
                <w:color w:val="1A2332"/>
                <w:sz w:val="17"/>
                <w:szCs w:val="17"/>
              </w:rPr>
              <w:t xml:space="preserve">BDN is delivered by supplier to operator — operator owns the document and may process it for their own compliance purposes. No third-party consent required for operational data processing.</w:t>
            </w:r>
          </w:p>
        </w:tc>
      </w:tr>
    </w:tbl>
    <w:p>
      <w:pPr>
        <w:spacing w:after="80" w:before="0"/>
      </w:pPr>
      <w:r>
        <w:t xml:space="preserve"/>
      </w:r>
    </w:p>
    <w:p>
      <w:r>
        <w:br w:type="page"/>
      </w:r>
    </w:p>
    <w:p>
      <w:pPr>
        <w:pStyle w:val="Heading1"/>
        <w:pBdr>
          <w:bottom w:val="single" w:color="0D7D7E" w:sz="10" w:space="4"/>
        </w:pBdr>
        <w:spacing w:after="120" w:before="400"/>
      </w:pPr>
      <w:r>
        <w:rPr>
          <w:rFonts w:ascii="Arial" w:cs="Arial" w:eastAsia="Arial" w:hAnsi="Arial"/>
          <w:b/>
          <w:bCs/>
          <w:color w:val="0A2342"/>
          <w:sz w:val="30"/>
          <w:szCs w:val="30"/>
        </w:rPr>
        <w:t xml:space="preserve">21.  Five-Year Vision — Poseidon Ledger as Maritime Compliance Infrastructure</w:t>
      </w:r>
    </w:p>
    <w:p>
      <w:pPr>
        <w:spacing w:after="60" w:before="0"/>
      </w:pPr>
      <w:r>
        <w:t xml:space="preserve"/>
      </w:r>
    </w:p>
    <w:p>
      <w:pPr>
        <w:spacing w:after="100" w:before="0"/>
        <w:jc w:val="both"/>
      </w:pPr>
      <w:r>
        <w:rPr>
          <w:rFonts w:ascii="Arial" w:cs="Arial" w:eastAsia="Arial" w:hAnsi="Arial"/>
          <w:color w:val="1A2332"/>
          <w:sz w:val="19"/>
          <w:szCs w:val="19"/>
        </w:rPr>
        <w:t xml:space="preserve">By 2031, the maritime compliance landscape will be fundamentally different from today. EU ETS coverage will extend to smaller vessels and a wider range of gas types. FuelEU intensity targets will have tightened to 6% reduction. The shipping sector will be navigating the transition to LNG, bio-methanol, and hydrogen fuels — each with increasingly complex Well-to-Wake documentation requirements. The compliance burden will not decrease. It will compound.</w:t>
      </w:r>
    </w:p>
    <w:p>
      <w:pPr>
        <w:spacing w:after="100" w:before="0"/>
        <w:jc w:val="both"/>
      </w:pPr>
      <w:r>
        <w:rPr>
          <w:rFonts w:ascii="Arial" w:cs="Arial" w:eastAsia="Arial" w:hAnsi="Arial"/>
          <w:color w:val="1A2332"/>
          <w:sz w:val="19"/>
          <w:szCs w:val="19"/>
        </w:rPr>
        <w:t xml:space="preserve">Poseidon Ledger's five-year opportunity is to become the compliance data infrastructure layer that the Mediterranean maritime ecosystem — ports, insurers, fleet managers, verifiers, and lenders — relies on as a shared standard. This is not about building a bigger SaaS product. It is about becoming infrastructure.</w:t>
      </w:r>
    </w:p>
    <w:p>
      <w:pPr>
        <w:spacing w:after="60" w:before="0"/>
      </w:pPr>
      <w:r>
        <w:t xml:space="preserve"/>
      </w:r>
    </w:p>
    <w:p>
      <w:pPr>
        <w:pStyle w:val="Heading2"/>
        <w:spacing w:after="80" w:before="280"/>
      </w:pPr>
      <w:r>
        <w:rPr>
          <w:rFonts w:ascii="Arial" w:cs="Arial" w:eastAsia="Arial" w:hAnsi="Arial"/>
          <w:b/>
          <w:bCs/>
          <w:color w:val="0D7D7E"/>
          <w:sz w:val="24"/>
          <w:szCs w:val="24"/>
        </w:rPr>
        <w:t xml:space="preserve">Year 1 (2026): First-Mover Compliance Platform</w:t>
      </w:r>
    </w:p>
    <w:p>
      <w:pPr>
        <w:spacing w:after="100" w:before="0"/>
        <w:jc w:val="both"/>
      </w:pPr>
      <w:r>
        <w:rPr>
          <w:rFonts w:ascii="Arial" w:cs="Arial" w:eastAsia="Arial" w:hAnsi="Arial"/>
          <w:color w:val="1A2332"/>
          <w:sz w:val="19"/>
          <w:szCs w:val="19"/>
        </w:rPr>
        <w:t xml:space="preserve">Ship the Phase 1 MVP. Close first 10 clients by September 2026 deadline. Build proprietary Mediterranean fleet emissions dataset. Establish Pantaenius insurance partnership channel. Target: €161k MRR, 180 vessels.</w:t>
      </w:r>
    </w:p>
    <w:p>
      <w:pPr>
        <w:pStyle w:val="Heading2"/>
        <w:spacing w:after="80" w:before="280"/>
      </w:pPr>
      <w:r>
        <w:rPr>
          <w:rFonts w:ascii="Arial" w:cs="Arial" w:eastAsia="Arial" w:hAnsi="Arial"/>
          <w:b/>
          <w:bCs/>
          <w:color w:val="0D7D7E"/>
          <w:sz w:val="24"/>
          <w:szCs w:val="24"/>
        </w:rPr>
        <w:t xml:space="preserve">Year 2 (2027): Platform and Ecosystem Lock-In</w:t>
      </w:r>
    </w:p>
    <w:p>
      <w:pPr>
        <w:spacing w:after="100" w:before="0"/>
        <w:jc w:val="both"/>
      </w:pPr>
      <w:r>
        <w:rPr>
          <w:rFonts w:ascii="Arial" w:cs="Arial" w:eastAsia="Arial" w:hAnsi="Arial"/>
          <w:color w:val="1A2332"/>
          <w:sz w:val="19"/>
          <w:szCs w:val="19"/>
        </w:rPr>
        <w:t xml:space="preserve">Port authority API partnerships (Antibes, Porto Cervo, Piraeus). Verifier API integration (DNV or Lloyd's Register direct submission). Caribbean expansion using Mediterranean case studies. Series A raise targeting €6–10M. Target: €990k MRR, 1,000+ vessels.</w:t>
      </w:r>
    </w:p>
    <w:p>
      <w:pPr>
        <w:pStyle w:val="Heading2"/>
        <w:spacing w:after="80" w:before="280"/>
      </w:pPr>
      <w:r>
        <w:rPr>
          <w:rFonts w:ascii="Arial" w:cs="Arial" w:eastAsia="Arial" w:hAnsi="Arial"/>
          <w:b/>
          <w:bCs/>
          <w:color w:val="0D7D7E"/>
          <w:sz w:val="24"/>
          <w:szCs w:val="24"/>
        </w:rPr>
        <w:t xml:space="preserve">Year 3 (2028): Data Asset Monetisation</w:t>
      </w:r>
    </w:p>
    <w:p>
      <w:pPr>
        <w:spacing w:after="100" w:before="0"/>
        <w:jc w:val="both"/>
      </w:pPr>
      <w:r>
        <w:rPr>
          <w:rFonts w:ascii="Arial" w:cs="Arial" w:eastAsia="Arial" w:hAnsi="Arial"/>
          <w:color w:val="1A2332"/>
          <w:sz w:val="19"/>
          <w:szCs w:val="19"/>
        </w:rPr>
        <w:t xml:space="preserve">The proprietary Mediterranean fleet emissions dataset — now covering 2,000+ vessels across multiple compliance cycles — becomes the most valuable asset. Use cases: port authority planning tools, marine insurance underwriting models, EU Commission ESG reporting, vessel financing due diligence for superyacht lenders. White-label the dataset as a separate data product.</w:t>
      </w:r>
    </w:p>
    <w:p>
      <w:pPr>
        <w:pStyle w:val="Heading2"/>
        <w:spacing w:after="80" w:before="280"/>
      </w:pPr>
      <w:r>
        <w:rPr>
          <w:rFonts w:ascii="Arial" w:cs="Arial" w:eastAsia="Arial" w:hAnsi="Arial"/>
          <w:b/>
          <w:bCs/>
          <w:color w:val="0D7D7E"/>
          <w:sz w:val="24"/>
          <w:szCs w:val="24"/>
        </w:rPr>
        <w:t xml:space="preserve">Year 4 (2029): Regulatory Standard Integration</w:t>
      </w:r>
    </w:p>
    <w:p>
      <w:pPr>
        <w:spacing w:after="100" w:before="0"/>
        <w:jc w:val="both"/>
      </w:pPr>
      <w:r>
        <w:rPr>
          <w:rFonts w:ascii="Arial" w:cs="Arial" w:eastAsia="Arial" w:hAnsi="Arial"/>
          <w:color w:val="1A2332"/>
          <w:sz w:val="19"/>
          <w:szCs w:val="19"/>
        </w:rPr>
        <w:t xml:space="preserve">As EU ETS scope expands to vessels below 5,000 GT (under discussion), Poseidon Ledger's existing client base is already in scope. The regulatory change that competitors must scramble to address is one Poseidon has been preparing for operationally since launch. IMO DCS integration expands platform to global shipping context.</w:t>
      </w:r>
    </w:p>
    <w:p>
      <w:pPr>
        <w:pStyle w:val="Heading2"/>
        <w:spacing w:after="80" w:before="280"/>
      </w:pPr>
      <w:r>
        <w:rPr>
          <w:rFonts w:ascii="Arial" w:cs="Arial" w:eastAsia="Arial" w:hAnsi="Arial"/>
          <w:b/>
          <w:bCs/>
          <w:color w:val="0D7D7E"/>
          <w:sz w:val="24"/>
          <w:szCs w:val="24"/>
        </w:rPr>
        <w:t xml:space="preserve">Year 5 (2031): Operating System for Maritime Compliance</w:t>
      </w:r>
    </w:p>
    <w:p>
      <w:pPr>
        <w:spacing w:after="100" w:before="0"/>
        <w:jc w:val="both"/>
      </w:pPr>
      <w:r>
        <w:rPr>
          <w:rFonts w:ascii="Arial" w:cs="Arial" w:eastAsia="Arial" w:hAnsi="Arial"/>
          <w:color w:val="1A2332"/>
          <w:sz w:val="19"/>
          <w:szCs w:val="19"/>
        </w:rPr>
        <w:t xml:space="preserve">The five-year destination is a platform that functions like Xero or QuickBooks does for accounting — every yacht management company in the Mediterranean runs their compliance through it, verifiers trust its output format, port authorities accept its credentials, and insurers use its risk scores. The product is no longer sold; it is required. The compliance data standard Poseidon established in 2026 is the industry standard in 2031.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1A6B3A" w:sz="14"/>
              <w:bottom w:val="single" w:color="C5CDD8" w:sz="1"/>
              <w:right w:val="single" w:color="C5CDD8" w:sz="1"/>
            </w:tcBorders>
            <w:shd w:fill="EAF5EE" w:val="clear"/>
            <w:tcMar>
              <w:top w:type="dxa" w:w="120"/>
              <w:left w:type="dxa" w:w="180"/>
              <w:bottom w:type="dxa" w:w="120"/>
              <w:right w:type="dxa" w:w="180"/>
            </w:tcMar>
          </w:tcPr>
          <w:p>
            <w:pPr>
              <w:spacing w:after="50" w:before="0"/>
            </w:pPr>
            <w:r>
              <w:rPr>
                <w:rFonts w:ascii="Arial" w:cs="Arial" w:eastAsia="Arial" w:hAnsi="Arial"/>
                <w:b/>
                <w:bCs/>
                <w:color w:val="1A6B3A"/>
                <w:sz w:val="18"/>
                <w:szCs w:val="18"/>
              </w:rPr>
              <w:t xml:space="preserve">CLOSING ENGINEERING THESIS</w:t>
            </w:r>
          </w:p>
          <w:p>
            <w:pPr>
              <w:spacing w:after="0" w:before="0"/>
              <w:jc w:val="both"/>
            </w:pPr>
            <w:r>
              <w:rPr>
                <w:rFonts w:ascii="Arial" w:cs="Arial" w:eastAsia="Arial" w:hAnsi="Arial"/>
                <w:color w:val="1A2332"/>
                <w:sz w:val="18"/>
                <w:szCs w:val="18"/>
              </w:rPr>
              <w:t xml:space="preserve">The most defensible moat in this market is not the software — it is the emissions dataset and the port authority API relationships that accumulate with every vessel onboarded. The software can be rebuilt. The dataset cannot. Every engineering decision in the first 24 months should be evaluated against one question: does this decision help us build the dataset faster, or does it distract from that goal?</w:t>
            </w:r>
          </w:p>
        </w:tc>
      </w:tr>
    </w:tbl>
    <w:p>
      <w:pPr>
        <w:spacing w:after="80" w:before="0"/>
      </w:pPr>
      <w:r>
        <w:t xml:space="preserve"/>
      </w:r>
    </w:p>
    <w:p>
      <w:pPr>
        <w:pBdr>
          <w:top w:val="single" w:color="0D7D7E" w:sz="8" w:space="8"/>
        </w:pBdr>
        <w:spacing w:after="0" w:before="120"/>
      </w:pPr>
      <w:r>
        <w:rPr>
          <w:rFonts w:ascii="Arial" w:cs="Arial" w:eastAsia="Arial" w:hAnsi="Arial"/>
          <w:i/>
          <w:iCs/>
          <w:color w:val="5A6475"/>
          <w:sz w:val="18"/>
          <w:szCs w:val="18"/>
        </w:rPr>
        <w:t xml:space="preserve">End of Poseidon Ledger Product Architecture &amp; Technical Roadmap  —  v1.0  —  June 2026</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8" w:sz="4" w:space="4"/>
      </w:pBdr>
      <w:spacing w:after="0" w:before="0"/>
    </w:pPr>
    <w:r>
      <w:rPr>
        <w:rFonts w:ascii="Arial" w:cs="Arial" w:eastAsia="Arial" w:hAnsi="Arial"/>
        <w:color w:val="5A6475"/>
        <w:sz w:val="14"/>
        <w:szCs w:val="14"/>
      </w:rPr>
      <w:t xml:space="preserve">Poseidon Ledger  |  Internal Product Specification  |  v1.0     </w:t>
    </w:r>
    <w:r>
      <w:rPr>
        <w:rFonts w:ascii="Arial" w:cs="Arial" w:eastAsia="Arial" w:hAnsi="Arial"/>
        <w:color w:val="5A6475"/>
        <w:sz w:val="14"/>
        <w:szCs w:val="14"/>
      </w:rPr>
      <w:t xml:space="preserve">Page </w:t>
    </w:r>
    <w:r>
      <w:rPr>
        <w:rFonts w:ascii="Arial" w:cs="Arial" w:eastAsia="Arial" w:hAnsi="Arial"/>
        <w:color w:val="5A647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6" w:space="4"/>
      </w:pBdr>
      <w:spacing w:after="0" w:before="0"/>
    </w:pPr>
    <w:r>
      <w:rPr>
        <w:rFonts w:ascii="Arial" w:cs="Arial" w:eastAsia="Arial" w:hAnsi="Arial"/>
        <w:b/>
        <w:bCs/>
        <w:color w:val="0A2342"/>
        <w:sz w:val="15"/>
        <w:szCs w:val="15"/>
      </w:rPr>
      <w:t xml:space="preserve">POSEIDON LEDGER  </w:t>
    </w:r>
    <w:r>
      <w:rPr>
        <w:rFonts w:ascii="Arial" w:cs="Arial" w:eastAsia="Arial" w:hAnsi="Arial"/>
        <w:color w:val="5A6475"/>
        <w:sz w:val="15"/>
        <w:szCs w:val="15"/>
      </w:rPr>
      <w:t xml:space="preserve">Product Architecture &amp; Technical Roadmap  |  Part 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2342"/>
      <w:sz w:val="30"/>
      <w:szCs w:val="30"/>
    </w:rPr>
  </w:style>
  <w:style w:type="paragraph" w:styleId="Heading2">
    <w:name w:val="Heading 2"/>
    <w:basedOn w:val="Normal"/>
    <w:next w:val="Normal"/>
    <w:qFormat/>
    <w:pPr>
      <w:spacing w:after="80" w:before="280"/>
      <w:outlineLvl w:val="1"/>
    </w:pPr>
    <w:rPr>
      <w:rFonts w:ascii="Arial" w:cs="Arial" w:eastAsia="Arial" w:hAnsi="Arial"/>
      <w:b/>
      <w:bCs/>
      <w:color w:val="0D7D7E"/>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A233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2026-06-29T20:23:23.152Z</dcterms:created>
  <dcterms:modified xsi:type="dcterms:W3CDTF">2026-06-29T20:23:23.200Z</dcterms:modified>
</cp:coreProperties>
</file>

<file path=docProps/custom.xml><?xml version="1.0" encoding="utf-8"?>
<Properties xmlns="http://schemas.openxmlformats.org/officeDocument/2006/custom-properties" xmlns:vt="http://schemas.openxmlformats.org/officeDocument/2006/docPropsVTypes"/>
</file>