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0D7D7E" w:sz="10" w:space="4"/>
        </w:pBdr>
        <w:spacing w:after="120" w:before="400"/>
      </w:pPr>
      <w:r>
        <w:rPr>
          <w:rFonts w:ascii="Arial" w:cs="Arial" w:eastAsia="Arial" w:hAnsi="Arial"/>
          <w:b/>
          <w:bCs/>
          <w:color w:val="0A2342"/>
          <w:sz w:val="30"/>
          <w:szCs w:val="30"/>
        </w:rPr>
        <w:t xml:space="preserve">22.  Compliance Engine — Extended Rule Set</w:t>
      </w:r>
    </w:p>
    <w:p>
      <w:pPr>
        <w:spacing w:after="60" w:before="0"/>
      </w:pPr>
      <w:r>
        <w:t xml:space="preserve"/>
      </w:r>
    </w:p>
    <w:p>
      <w:pPr>
        <w:spacing w:after="100" w:before="0"/>
        <w:jc w:val="both"/>
      </w:pPr>
      <w:r>
        <w:rPr>
          <w:rFonts w:ascii="Arial" w:cs="Arial" w:eastAsia="Arial" w:hAnsi="Arial"/>
          <w:color w:val="1A2332"/>
          <w:sz w:val="19"/>
          <w:szCs w:val="19"/>
        </w:rPr>
        <w:t xml:space="preserve">Sections 6 and earlier defined the foundational validation rules. This section completes the Compliance Engine specification with the full set of rules required for production operation, including FuelEU-specific rules, port matching rules, reporting completeness checks, and the multi-year proration logic required for vessels with voyages spanning calendar years. Every rule references its regulatory source so that the engineering team can validate the logic against the primary legislation.</w:t>
      </w:r>
    </w:p>
    <w:p>
      <w:pPr>
        <w:spacing w:after="60" w:before="0"/>
      </w:pPr>
      <w:r>
        <w:t xml:space="preserve"/>
      </w:r>
    </w:p>
    <w:p>
      <w:pPr>
        <w:pStyle w:val="Heading2"/>
        <w:spacing w:after="80" w:before="280"/>
      </w:pPr>
      <w:r>
        <w:rPr>
          <w:rFonts w:ascii="Arial" w:cs="Arial" w:eastAsia="Arial" w:hAnsi="Arial"/>
          <w:b/>
          <w:bCs/>
          <w:color w:val="0D7D7E"/>
          <w:sz w:val="24"/>
          <w:szCs w:val="24"/>
        </w:rPr>
        <w:t xml:space="preserve">22.1  Timestamp Reconciliation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1100"/>
        <w:gridCol w:w="1860"/>
      </w:tblGrid>
      <w:tr>
        <w:tc>
          <w:tcPr>
            <w:tcW w:type="dxa" w:w="1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RULE ID</w:t>
            </w:r>
          </w:p>
        </w:tc>
        <w:tc>
          <w:tcPr>
            <w:tcW w:type="dxa" w:w="3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REGULATORY BASIS</w:t>
            </w:r>
          </w:p>
        </w:tc>
        <w:tc>
          <w:tcPr>
            <w:tcW w:type="dxa" w:w="11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SEVERITY</w:t>
            </w:r>
          </w:p>
        </w:tc>
        <w:tc>
          <w:tcPr>
            <w:tcW w:type="dxa" w:w="18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IMPLEMENTATION NOTE</w:t>
            </w:r>
          </w:p>
        </w:tc>
      </w:tr>
      <w:tr>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TSR-01</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BDN delivery timestamp must fall within the vessel's declared port call window (departure_time - tolerance to arrival_time + tolerance), where tolerance is ±4 hours for operational variation.</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THETIS-MRV requires fuel records to be traceable to specific port calls.</w:t>
            </w:r>
          </w:p>
        </w:tc>
        <w:tc>
          <w:tcPr>
            <w:tcW w:type="dxa" w:w="11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Warning</w:t>
            </w:r>
          </w:p>
        </w:tc>
        <w:tc>
          <w:tcPr>
            <w:tcW w:type="dxa" w:w="1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Join fuel_deliveries.delivery_date against voyages.departure_time / arrival_time. Flag if delivery falls outside any port call window ± 4h.</w:t>
            </w:r>
          </w:p>
        </w:tc>
      </w:tr>
      <w:tr>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TSR-02</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THETIS-MRV requires timestamps in UTC. All AIS timestamps are stored UTC. Any manual voyage entry must convert local time to UTC at the point of entry.</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EMSA THETIS-MRV technical specification.</w:t>
            </w:r>
          </w:p>
        </w:tc>
        <w:tc>
          <w:tcPr>
            <w:tcW w:type="dxa" w:w="11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Error</w:t>
            </w:r>
          </w:p>
        </w:tc>
        <w:tc>
          <w:tcPr>
            <w:tcW w:type="dxa" w:w="18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Frontend enforces UTC on manual entry. Backend validates all timestamps are timezone-aware.</w:t>
            </w:r>
          </w:p>
        </w:tc>
      </w:tr>
      <w:tr>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TSR-03</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 multi-year voyage (departure in December, arrival in January) must be prorated. Emissions accrued before 31 December 23:59:59 UTC are assigned to the prior reporting year. Emissions accrued from 01 January 00:00:00 UTC are assigned to the new reporting year.</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 MRV Regulation Article 11 — annual reporting periods.</w:t>
            </w:r>
          </w:p>
        </w:tc>
        <w:tc>
          <w:tcPr>
            <w:tcW w:type="dxa" w:w="11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Error</w:t>
            </w:r>
          </w:p>
        </w:tc>
        <w:tc>
          <w:tcPr>
            <w:tcW w:type="dxa" w:w="1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Voyage derivation job detects voyages spanning year boundary. Creates two partial voyage records with proration flag. Fuel consumption allocated proportionally by duration.</w:t>
            </w:r>
          </w:p>
        </w:tc>
      </w:tr>
      <w:tr>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TSR-04</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The gap between consecutive AIS position broadcasts must not exceed 6 hours without triggering a data gap flag. Gaps &gt; 6 hours must have an associated data gap procedure applied per the vessel's Monitoring Plan.</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 MRV Regulation Annex I — data gap procedures.</w:t>
            </w:r>
          </w:p>
        </w:tc>
        <w:tc>
          <w:tcPr>
            <w:tcW w:type="dxa" w:w="11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Warning (&gt;6h) / Error (&gt;48h)</w:t>
            </w:r>
          </w:p>
        </w:tc>
        <w:tc>
          <w:tcPr>
            <w:tcW w:type="dxa" w:w="18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Evaluated during voyage derivation. Gap duration stored in data_gap record alongside the gap procedure applied.</w:t>
            </w:r>
          </w:p>
        </w:tc>
      </w:tr>
      <w:tr>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TSR-05</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The reporting period must begin on or after the vessel's THETIS-MRV Monitoring Plan approval date. Emissions data before the plan approval date cannot be submitted.</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THETIS-MRV submission requirements.</w:t>
            </w:r>
          </w:p>
        </w:tc>
        <w:tc>
          <w:tcPr>
            <w:tcW w:type="dxa" w:w="11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Warning</w:t>
            </w:r>
          </w:p>
        </w:tc>
        <w:tc>
          <w:tcPr>
            <w:tcW w:type="dxa" w:w="1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Validate monitoring_plan.ets_approval_date against earliest voyage in reporting year.</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22.2  Port Matching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1100"/>
        <w:gridCol w:w="1860"/>
      </w:tblGrid>
      <w:tr>
        <w:tc>
          <w:tcPr>
            <w:tcW w:type="dxa" w:w="1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RULE ID</w:t>
            </w:r>
          </w:p>
        </w:tc>
        <w:tc>
          <w:tcPr>
            <w:tcW w:type="dxa" w:w="3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REGULATORY BASIS</w:t>
            </w:r>
          </w:p>
        </w:tc>
        <w:tc>
          <w:tcPr>
            <w:tcW w:type="dxa" w:w="11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SEVERITY</w:t>
            </w:r>
          </w:p>
        </w:tc>
        <w:tc>
          <w:tcPr>
            <w:tcW w:type="dxa" w:w="18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IMPLEMENTATION NOTE</w:t>
            </w:r>
          </w:p>
        </w:tc>
      </w:tr>
      <w:tr>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PMR-01</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Every voyage must have a valid UN/LOCODE for both departure and arrival port. 'Unknown' or empty port codes are not acceptable in THETIS-MRV reports.</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THETIS-MRV field requirements.</w:t>
            </w:r>
          </w:p>
        </w:tc>
        <w:tc>
          <w:tcPr>
            <w:tcW w:type="dxa" w:w="11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Error</w:t>
            </w:r>
          </w:p>
        </w:tc>
        <w:tc>
          <w:tcPr>
            <w:tcW w:type="dxa" w:w="1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AIS-derived voyages use port polygon matching to assign LOCODE. Manual voyages require user to select from port database. Free-text port entry blocked.</w:t>
            </w:r>
          </w:p>
        </w:tc>
      </w:tr>
      <w:tr>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PMR-02</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 ETS voyage type determination depends on whether departure and arrival country are EU/EEA members. Country classification must use the port's UN/LOCODE country prefix, not the vessel's flag state.</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 ETS Directive Article 3(b) — voyage scope definition.</w:t>
            </w:r>
          </w:p>
        </w:tc>
        <w:tc>
          <w:tcPr>
            <w:tcW w:type="dxa" w:w="11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Error</w:t>
            </w:r>
          </w:p>
        </w:tc>
        <w:tc>
          <w:tcPr>
            <w:tcW w:type="dxa" w:w="18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Country EU/EEA membership flag stored in ports table. Voyage type auto-derived. Manual override requires Admin role and audit log entry.</w:t>
            </w:r>
          </w:p>
        </w:tc>
      </w:tr>
      <w:tr>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PMR-03</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Port calls at anchorage (nav_status: 'at anchor' without berthing) must be recorded separately from port calls with physical berthing. Fuel consumed at anchorage is in scope for EU ETS if within EU/EEA waters.</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 MRV Regulation — coverage applies in EU/EEA waters regardless of berthing status.</w:t>
            </w:r>
          </w:p>
        </w:tc>
        <w:tc>
          <w:tcPr>
            <w:tcW w:type="dxa" w:w="11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Warning</w:t>
            </w:r>
          </w:p>
        </w:tc>
        <w:tc>
          <w:tcPr>
            <w:tcW w:type="dxa" w:w="1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AIS nav_status classification. If vessel at anchor in EU/EEA waters for &gt; 1 hour, create anchorage event record.</w:t>
            </w:r>
          </w:p>
        </w:tc>
      </w:tr>
      <w:tr>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PMR-04</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Shore power (OPS) consumption at port must be recorded as zero-emission energy under FuelEU Maritime, reducing the vessel's reported GHG intensity. The port must be a designated Ten-T core port (for mandatory OPS from 2030) or the vessel must have OPS capability documentation.</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 Maritime Regulation 2023/1805 Article 6 — Onshore Power Supply.</w:t>
            </w:r>
          </w:p>
        </w:tc>
        <w:tc>
          <w:tcPr>
            <w:tcW w:type="dxa" w:w="11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Info (if OPS available) / Warning (if OPS available but not connected)</w:t>
            </w:r>
          </w:p>
        </w:tc>
        <w:tc>
          <w:tcPr>
            <w:tcW w:type="dxa" w:w="18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OPS events tracked via shore power consumption records. Port database includes OPS availability flag per port.</w:t>
            </w:r>
          </w:p>
        </w:tc>
      </w:tr>
      <w:tr>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PMR-05</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Any port call at a Green Zone port triggers a Green Zone compliance check. The check evaluates the vessel's current documentation against that port's requirements and sets the green_zone_event status (Green/Amber/Red).</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Port-level environmental framework — varies by port.</w:t>
            </w:r>
          </w:p>
        </w:tc>
        <w:tc>
          <w:tcPr>
            <w:tcW w:type="dxa" w:w="11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Critical (Red) / Warning (Amber)</w:t>
            </w:r>
          </w:p>
        </w:tc>
        <w:tc>
          <w:tcPr>
            <w:tcW w:type="dxa" w:w="1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Triggered on voyage arrival event. Evaluates vessel documents against green_zone_ports requirements table. Result stored in green_zone_events.</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22.3  FuelEU-Specific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1100"/>
        <w:gridCol w:w="1860"/>
      </w:tblGrid>
      <w:tr>
        <w:tc>
          <w:tcPr>
            <w:tcW w:type="dxa" w:w="1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RULE ID</w:t>
            </w:r>
          </w:p>
        </w:tc>
        <w:tc>
          <w:tcPr>
            <w:tcW w:type="dxa" w:w="3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REGULATORY BASIS</w:t>
            </w:r>
          </w:p>
        </w:tc>
        <w:tc>
          <w:tcPr>
            <w:tcW w:type="dxa" w:w="11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SEVERITY</w:t>
            </w:r>
          </w:p>
        </w:tc>
        <w:tc>
          <w:tcPr>
            <w:tcW w:type="dxa" w:w="18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IMPLEMENTATION NOTE</w:t>
            </w:r>
          </w:p>
        </w:tc>
      </w:tr>
      <w:tr>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FEU-01</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The Monitoring Plan must include a dedicated FuelEU section covering: monitoring method, WtW emission factors per fuel type used on board, OPS documentation procedure, and data gap procedure for WtW data gaps. Plans that merely reference EU ETS monitoring are insufficient.</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 Maritime Regulation 2023/1805 Article 8 and Annex I.</w:t>
            </w:r>
          </w:p>
        </w:tc>
        <w:tc>
          <w:tcPr>
            <w:tcW w:type="dxa" w:w="11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Error</w:t>
            </w:r>
          </w:p>
        </w:tc>
        <w:tc>
          <w:tcPr>
            <w:tcW w:type="dxa" w:w="1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Monitoring Plan gap analysis checks for fueleu_included, wtw_factors_included, ops_chapter_included flags.</w:t>
            </w:r>
          </w:p>
        </w:tc>
      </w:tr>
      <w:tr>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FEU-02</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For any voyage using biofuels with an ISCC sustainability certificate, the WtW emission factor from the ISCC certificate must be used in preference to the Annex II default factor. If ISCC certificate is absent for a biofuel delivery, the default fossil WtW factor must be applied (resulting in higher GHG intensity) AND the missing certificate must be flagged.</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 Regulation Annex II Section 3 — fuel-origin documentation.</w:t>
            </w:r>
          </w:p>
        </w:tc>
        <w:tc>
          <w:tcPr>
            <w:tcW w:type="dxa" w:w="11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Error (missing ISCC) / Info (ISCC present)</w:t>
            </w:r>
          </w:p>
        </w:tc>
        <w:tc>
          <w:tcPr>
            <w:tcW w:type="dxa" w:w="18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iscc_missing_flag set on fuel delivery record. Emission factor selection logic: if is_biofuel AND iscc_cert_id NOT NULL → use ISCC WtW factor; else → use Annex II default.</w:t>
            </w:r>
          </w:p>
        </w:tc>
      </w:tr>
      <w:tr>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FEU-03</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The FuelEU annual report must cover all voyages from 1 January to 31 December of the reporting year. The GHG intensity is a fleet-level annual average, not a per-voyage figure. The report deadline is 31 January of the following year (to verifiers); compliance confirmation deadline is 30 April.</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 Regulation Article 9 and Article 20.</w:t>
            </w:r>
          </w:p>
        </w:tc>
        <w:tc>
          <w:tcPr>
            <w:tcW w:type="dxa" w:w="11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Error (if incomplete year)</w:t>
            </w:r>
          </w:p>
        </w:tc>
        <w:tc>
          <w:tcPr>
            <w:tcW w:type="dxa" w:w="1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 module aggregates all fuel_deliveries for the year. Completeness check: are there any months with zero fuel records for an active vessel?</w:t>
            </w:r>
          </w:p>
        </w:tc>
      </w:tr>
      <w:tr>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FEU-04</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 vessel participating in FuelEU pooling must have a documented pooling agreement on file. The pool administrator (lead company) is responsible for the aggregate compliance of the pool. Individual vessel records must reflect their contribution to the pool.</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 Regulation Article 19 — pooling mechanism.</w:t>
            </w:r>
          </w:p>
        </w:tc>
        <w:tc>
          <w:tcPr>
            <w:tcW w:type="dxa" w:w="11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Warning (pooling without documentation)</w:t>
            </w:r>
          </w:p>
        </w:tc>
        <w:tc>
          <w:tcPr>
            <w:tcW w:type="dxa" w:w="18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pool_id and pool_role fields on fueleu_records. Document upload required for pooling agreement.</w:t>
            </w:r>
          </w:p>
        </w:tc>
      </w:tr>
      <w:tr>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FEU-05</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Norwegian and Icelandic ports are treated as third-country ports for FuelEU purposes until EEA incorporation is confirmed. Voyages to/from these ports must use 50% coverage, not 100%, for FuelEU GHG intensity calculations.</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EEA Agreement — delayed incorporation of FuelEU Regulation for Norway/Iceland.</w:t>
            </w:r>
          </w:p>
        </w:tc>
        <w:tc>
          <w:tcPr>
            <w:tcW w:type="dxa" w:w="11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Warning</w:t>
            </w:r>
          </w:p>
        </w:tc>
        <w:tc>
          <w:tcPr>
            <w:tcW w:type="dxa" w:w="1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Norway (NO) and Iceland (IS) flagged in ports table as fueleu_third_country = TRUE until regulatory status changes.</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22.4  Reporting Completeness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1100"/>
        <w:gridCol w:w="1860"/>
      </w:tblGrid>
      <w:tr>
        <w:tc>
          <w:tcPr>
            <w:tcW w:type="dxa" w:w="1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RULE ID</w:t>
            </w:r>
          </w:p>
        </w:tc>
        <w:tc>
          <w:tcPr>
            <w:tcW w:type="dxa" w:w="3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REGULATORY BASIS</w:t>
            </w:r>
          </w:p>
        </w:tc>
        <w:tc>
          <w:tcPr>
            <w:tcW w:type="dxa" w:w="11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SEVERITY</w:t>
            </w:r>
          </w:p>
        </w:tc>
        <w:tc>
          <w:tcPr>
            <w:tcW w:type="dxa" w:w="18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IMPLEMENTATION NOTE</w:t>
            </w:r>
          </w:p>
        </w:tc>
      </w:tr>
      <w:tr>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RCR-01</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Before THETIS-MRV report generation, all voyages in the reporting year must have a validation_status of 'valid' or 'warning'. Any voyage with status 'error' or 'pending' blocks report generation.</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THETIS-MRV verifier requirements — unresolved data issues trigger verifier revision.</w:t>
            </w:r>
          </w:p>
        </w:tc>
        <w:tc>
          <w:tcPr>
            <w:tcW w:type="dxa" w:w="11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Blocker</w:t>
            </w:r>
          </w:p>
        </w:tc>
        <w:tc>
          <w:tcPr>
            <w:tcW w:type="dxa" w:w="1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Pre-generation check. Report generation endpoint returns 400 error listing unresolved violations if any Error-severity violations exist.</w:t>
            </w:r>
          </w:p>
        </w:tc>
      </w:tr>
      <w:tr>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RCR-02</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The BDN coverage ratio must be ≥ 80% of vessel operational days (days at sea). If less than 80% of sea days have an associated fuel delivery record, the system flags low fuel documentation coverage.</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Verifier expectation — unexplained fuel gaps trigger investigation.</w:t>
            </w:r>
          </w:p>
        </w:tc>
        <w:tc>
          <w:tcPr>
            <w:tcW w:type="dxa" w:w="11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Warning (&lt;80%) / Error (&lt;50%)</w:t>
            </w:r>
          </w:p>
        </w:tc>
        <w:tc>
          <w:tcPr>
            <w:tcW w:type="dxa" w:w="18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Calculated as: (days with BDN records) / (total sea days from AIS) × 100. Displayed on vessel compliance overview.</w:t>
            </w:r>
          </w:p>
        </w:tc>
      </w:tr>
      <w:tr>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RCR-03</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The AIS data coverage ratio must be ≥ 95% of reporting year days. Days where no AIS position is available for an in-scope vessel must be covered by either a data gap procedure or a manually entered voyage record.</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 MRV Regulation — data gap procedures mandatory for missing monitoring data.</w:t>
            </w:r>
          </w:p>
        </w:tc>
        <w:tc>
          <w:tcPr>
            <w:tcW w:type="dxa" w:w="11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Warning (&lt;95%) / Error (&lt;85%)</w:t>
            </w:r>
          </w:p>
        </w:tc>
        <w:tc>
          <w:tcPr>
            <w:tcW w:type="dxa" w:w="1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Calculated daily. Displayed as coverage percentage per vessel per reporting year.</w:t>
            </w:r>
          </w:p>
        </w:tc>
      </w:tr>
      <w:tr>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RCR-04</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The MOHA (Maritime Operator Holding Account) must be registered and active for any vessel with EU ETS EUA surrender obligations. MOHA registration details (account number, registry) must be entered in the organisation profile.</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 ETS Directive — EUA surrender requires active Union Registry MOHA.</w:t>
            </w:r>
          </w:p>
        </w:tc>
        <w:tc>
          <w:tcPr>
            <w:tcW w:type="dxa" w:w="11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Error</w:t>
            </w:r>
          </w:p>
        </w:tc>
        <w:tc>
          <w:tcPr>
            <w:tcW w:type="dxa" w:w="18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organisations.moha_account NOT NULL validation. Alert raised 90 days before surrender deadline if MOHA field empty.</w:t>
            </w:r>
          </w:p>
        </w:tc>
      </w:tr>
      <w:tr>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RCR-05</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The THETIS-MRV report must reference the Monitoring Plan version that was in effect during the reporting year. If the plan was updated mid-year, the report must specify which plan version applied to which portion of the year.</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THETIS-MRV technical requirements.</w:t>
            </w:r>
          </w:p>
        </w:tc>
        <w:tc>
          <w:tcPr>
            <w:tcW w:type="dxa" w:w="11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Warning</w:t>
            </w:r>
          </w:p>
        </w:tc>
        <w:tc>
          <w:tcPr>
            <w:tcW w:type="dxa" w:w="1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Monitoring plan effective_from and effective_to dates tracked. Report generation references active plan version(s) for the reporting year.</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22.5  Compliance Engine Execution Model</w:t>
      </w:r>
    </w:p>
    <w:p>
      <w:pPr>
        <w:spacing w:after="100" w:before="0"/>
        <w:jc w:val="both"/>
      </w:pPr>
      <w:r>
        <w:rPr>
          <w:rFonts w:ascii="Arial" w:cs="Arial" w:eastAsia="Arial" w:hAnsi="Arial"/>
          <w:color w:val="1A2332"/>
          <w:sz w:val="19"/>
          <w:szCs w:val="19"/>
        </w:rPr>
        <w:t xml:space="preserve">The Compliance Engine runs in two modes: incremental (triggered on every data write) and full-fleet (nightly or on-demand for report preparation).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 Incremental run — triggered after every write to voyages, fuel_deliveries, or monitoring_plans
async function runIncrementalValidation(entityType, entityId) {
  const affectedRules = getRulesForEntity(entityType);  // e.g. voyage → VCR-01 to VCR-05, TSR-01 to TSR-03
  const violations = [];
  for (const rule of affectedRules) {
    const result = await rule.evaluate(entityId);
    if (result.failed) {
      violations.push({
        rule_id: rule.id,
        entity_type: entityType,
        entity_id: entityId,
        severity: rule.severity,
        message: result.message,
        remediation: rule.remediationText,
      });
    }
  }
  // Upsert violations (replace previous results for same rule + entity)
  await db.upsertViolations(violations);
  // Update entity validation_status
  const maxSeverity = getMaxSeverity(violations);
  await db.updateValidationStatus(entityType, entityId, maxSeverity);
  // Update vessel risk score
  await recalculateVesselRiskScore(getVesselId(entityType, entityId));
}
// Full-fleet run — nightly or pre-report-generation
async function runFullFleetValidation(orgId, reportingYear) {
  const vessels = await db.getActiveVessels(orgId);
  const results = await Promise.all(vessels.map(v =&gt; runVesselValidation(v.id, reportingYear)));
  return aggregateFleetResults(results);
}
// Risk score calculation
function calculateRiskScore(vessel, year) {
  const weights = {
    ais_coverage_below_95: 15,
    bdn_coverage_below_80: 20,
    monitoring_plan_gap_error: 25,
    open_error_violations: 30,    // per violation
    open_warning_violations: 5,   // per violation, max 20
    moha_not_registered: 25,
    iscc_missing: 10,             // per instance, max 20
  };
  // Returns 0 (clean) to 100 (critical)
}</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23.  THETIS-MRV Export — Detailed Technical Specification</w:t>
      </w:r>
    </w:p>
    <w:p>
      <w:pPr>
        <w:spacing w:after="60" w:before="0"/>
      </w:pPr>
      <w:r>
        <w:t xml:space="preserve"/>
      </w:r>
    </w:p>
    <w:p>
      <w:pPr>
        <w:spacing w:after="100" w:before="0"/>
        <w:jc w:val="both"/>
      </w:pPr>
      <w:r>
        <w:rPr>
          <w:rFonts w:ascii="Arial" w:cs="Arial" w:eastAsia="Arial" w:hAnsi="Arial"/>
          <w:color w:val="1A2332"/>
          <w:sz w:val="19"/>
          <w:szCs w:val="19"/>
        </w:rPr>
        <w:t xml:space="preserve">The THETIS-MRV Annual Emissions Report is the primary regulatory output of the Poseidon Ledger platform. It is the document that must survive verifier scrutiny and satisfy EMSA's submission requirements. The engineering team must implement this export with exact field mappings, correct aggregation logic, and a pre-submission validation gate that prevents defective reports from being presented to a verifier.</w:t>
      </w:r>
    </w:p>
    <w:p>
      <w:pPr>
        <w:spacing w:after="60" w:before="0"/>
      </w:pPr>
      <w:r>
        <w:t xml:space="preserve"/>
      </w:r>
    </w:p>
    <w:p>
      <w:pPr>
        <w:pStyle w:val="Heading2"/>
        <w:spacing w:after="80" w:before="280"/>
      </w:pPr>
      <w:r>
        <w:rPr>
          <w:rFonts w:ascii="Arial" w:cs="Arial" w:eastAsia="Arial" w:hAnsi="Arial"/>
          <w:b/>
          <w:bCs/>
          <w:color w:val="0D7D7E"/>
          <w:sz w:val="24"/>
          <w:szCs w:val="24"/>
        </w:rPr>
        <w:t xml:space="preserve">23.1  Report Structure (EMSA THETIS-MRV Format)</w:t>
      </w:r>
    </w:p>
    <w:p>
      <w:pPr>
        <w:spacing w:after="100" w:before="0"/>
        <w:jc w:val="both"/>
      </w:pPr>
      <w:r>
        <w:rPr>
          <w:rFonts w:ascii="Arial" w:cs="Arial" w:eastAsia="Arial" w:hAnsi="Arial"/>
          <w:color w:val="1A2332"/>
          <w:sz w:val="19"/>
          <w:szCs w:val="19"/>
        </w:rPr>
        <w:t xml:space="preserve">The THETIS-MRV report is submitted as an XML file following EMSA's schema. As of 2026, the required schema includes both EU ETS MRV fields and FuelEU Maritime fields in a combined submission. The following table maps Poseidon Ledger database fields to THETIS-MRV XML elements.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THETIS XML ELEMENT</w:t>
            </w:r>
          </w:p>
        </w:tc>
        <w:tc>
          <w:tcPr>
            <w:tcW w:type="dxa" w:w="3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POSEIDON SOURCE</w:t>
            </w:r>
          </w:p>
        </w:tc>
        <w:tc>
          <w:tcPr>
            <w:tcW w:type="dxa" w:w="35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CALCULATION / LOGIC</w:t>
            </w:r>
          </w:p>
        </w:tc>
      </w:tr>
      <w:tr>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&lt;Company&gt;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organisations.name, organisations.country, organisations.moha_account</w:t>
            </w:r>
          </w:p>
        </w:tc>
        <w:tc>
          <w:tcPr>
            <w:tcW w:type="dxa" w:w="3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Direct mapping. Displayed as responsible shipping company under EU ETS.</w:t>
            </w:r>
          </w:p>
        </w:tc>
      </w:tr>
      <w:tr>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&lt;Vessel&gt;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vessels.name, vessels.imo_number, vessels.flag_state, vessels.gross_tonnage, vessels.vessel_type</w:t>
            </w:r>
          </w:p>
        </w:tc>
        <w:tc>
          <w:tcPr>
            <w:tcW w:type="dxa" w:w="3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Direct mapping. IMO number is the primary vessel identifier in THETIS.</w:t>
            </w:r>
          </w:p>
        </w:tc>
      </w:tr>
      <w:tr>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&lt;MonitoringPlan&gt;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monitoring_plans.thetis_plan_id, monitoring_plans.monitoring_method, monitoring_plans.version</w:t>
            </w:r>
          </w:p>
        </w:tc>
        <w:tc>
          <w:tcPr>
            <w:tcW w:type="dxa" w:w="3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References the EMSA-approved plan on file. Version used during reporting year.</w:t>
            </w:r>
          </w:p>
        </w:tc>
      </w:tr>
      <w:tr>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&lt;ReportingPeriod&gt;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Derived: 01 January to 31 December of reporting year</w:t>
            </w:r>
          </w:p>
        </w:tc>
        <w:tc>
          <w:tcPr>
            <w:tcW w:type="dxa" w:w="3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Fixed annual period.</w:t>
            </w:r>
          </w:p>
        </w:tc>
      </w:tr>
      <w:tr>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&lt;TotalCO2&gt;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SUM(fuel_deliveries.co2_ttw_tonnes) WHERE reporting_year = X AND vessel_id = Y</w:t>
            </w:r>
          </w:p>
        </w:tc>
        <w:tc>
          <w:tcPr>
            <w:tcW w:type="dxa" w:w="3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Total Tank-to-Wake CO2 for all fuel deliveries in the reporting year.</w:t>
            </w:r>
          </w:p>
        </w:tc>
      </w:tr>
      <w:tr>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&lt;VoyageData&gt;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voyages table — one &lt;Voyage&gt; element per voyage record</w:t>
            </w:r>
          </w:p>
        </w:tc>
        <w:tc>
          <w:tcPr>
            <w:tcW w:type="dxa" w:w="3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Each voyage includes: departure port LOCODE, arrival port LOCODE, departure datetime UTC, arrival datetime UTC, distance NM, time in port hours, CO2 for voyage (allocated fuel deliveries).</w:t>
            </w:r>
          </w:p>
        </w:tc>
      </w:tr>
      <w:tr>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&lt;EUAObligation&gt;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ets_records.eua_obligation</w:t>
            </w:r>
          </w:p>
        </w:tc>
        <w:tc>
          <w:tcPr>
            <w:tcW w:type="dxa" w:w="3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covered_co2 × ets_coverage_rate. Displayed as informational — final obligation determined by EMSA.</w:t>
            </w:r>
          </w:p>
        </w:tc>
      </w:tr>
      <w:tr>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&lt;FuelEU_GHGIntensity&gt;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fueleu_records.ghg_intensity_gco2e_mj</w:t>
            </w:r>
          </w:p>
        </w:tc>
        <w:tc>
          <w:tcPr>
            <w:tcW w:type="dxa" w:w="3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Total WtW gCO2e / total energy content MJ × 1,000,000 for all fuels used in year.</w:t>
            </w:r>
          </w:p>
        </w:tc>
      </w:tr>
      <w:tr>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&lt;DataGaps&gt;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data_gap records for vessel and year</w:t>
            </w:r>
          </w:p>
        </w:tc>
        <w:tc>
          <w:tcPr>
            <w:tcW w:type="dxa" w:w="3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Each gap: start datetime, end datetime, gap duration hours, procedure applied per Monitoring Plan.</w:t>
            </w:r>
          </w:p>
        </w:tc>
      </w:tr>
      <w:tr>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&lt;MethodUsed&gt;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monitoring_plans.monitoring_method</w:t>
            </w:r>
          </w:p>
        </w:tc>
        <w:tc>
          <w:tcPr>
            <w:tcW w:type="dxa" w:w="3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 B, C, or D. Must be consistent throughout reporting year. If method changed mid-year, both versions declared with applicable date ranges.</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23.2  Voyage CO2 Allocation Logic</w:t>
      </w:r>
    </w:p>
    <w:p>
      <w:pPr>
        <w:spacing w:after="100" w:before="0"/>
        <w:jc w:val="both"/>
      </w:pPr>
      <w:r>
        <w:rPr>
          <w:rFonts w:ascii="Arial" w:cs="Arial" w:eastAsia="Arial" w:hAnsi="Arial"/>
          <w:color w:val="1A2332"/>
          <w:sz w:val="19"/>
          <w:szCs w:val="19"/>
        </w:rPr>
        <w:t xml:space="preserve">The THETIS-MRV report requires CO2 figures at the voyage level, not just the annual total. Fuel deliveries are not always directly associated with a single voyage — a vessel may bunker once and complete three voyages before the next delivery. The allocation logic must be defensible.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 Voyage CO2 allocation method:
//
// PRIMARY: Direct linkage (preferred)
//   If a fuel delivery has voyage_id set → all CO2 from that delivery assigned to that voyage
//   This is the case when BDN delivery date falls within a specific voyage's port call window
//
// FALLBACK: Tank-based proportional allocation
//   If fuel deliveries span multiple voyages without direct linkage:
//   1. Build a fuel consumption timeline for the vessel
//   2. For each voyage, calculate: CO2_voyage = (voyage_distance_nm / total_distance_nm_in_period) × total_CO2_in_period
//   3. This approximates Method B (fuel tank monitoring) when direct BDN linkage is unavailable
//   4. Flag voyages using proportional allocation in the report (validation_flags: 'CO2_PROPORTIONALLY_ALLOCATED')
//
// NOTES:
//   - Both methods are acceptable to verifiers when documented in the Monitoring Plan
//   - Direct linkage is always preferred and must be documented as Method A
//   - If no fuel deliveries exist for a voyage period, CO2 = 0 is flagged as suspicious (BDN_COVERAGE_GAP)
//   - All allocation decisions are logged to the audit trail for verifier review</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23.3  Pre-Submission Validation Gate</w:t>
      </w:r>
    </w:p>
    <w:p>
      <w:pPr>
        <w:spacing w:after="100" w:before="0"/>
        <w:jc w:val="both"/>
      </w:pPr>
      <w:r>
        <w:rPr>
          <w:rFonts w:ascii="Arial" w:cs="Arial" w:eastAsia="Arial" w:hAnsi="Arial"/>
          <w:color w:val="1A2332"/>
          <w:sz w:val="19"/>
          <w:szCs w:val="19"/>
        </w:rPr>
        <w:t xml:space="preserve">Before the THETIS-MRV XML export is generated, the system runs a final pre-submission validation gate. The gate returns PASS, PASS_WITH_WARNINGS, or FAIL. Only PASS and PASS_WITH_WARNINGS allow report generation (with appropriate user acknowledgement for warnings).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000"/>
        <w:gridCol w:w="1960"/>
      </w:tblGrid>
      <w:tr>
        <w:tc>
          <w:tcPr>
            <w:tcW w:type="dxa" w:w="4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CHECK</w:t>
            </w:r>
          </w:p>
        </w:tc>
        <w:tc>
          <w:tcPr>
            <w:tcW w:type="dxa" w:w="3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RESULT IF FAILED</w:t>
            </w:r>
          </w:p>
        </w:tc>
        <w:tc>
          <w:tcPr>
            <w:tcW w:type="dxa" w:w="19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BLOCKS GENERATION?</w:t>
            </w:r>
          </w:p>
        </w:tc>
      </w:tr>
      <w:tr>
        <w:tc>
          <w:tcPr>
            <w:tcW w:type="dxa" w:w="4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No Error-severity violations outstanding for any vessel in report</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FAIL — list of Error violations displayed</w:t>
            </w:r>
          </w:p>
        </w:tc>
        <w:tc>
          <w:tcPr>
            <w:tcW w:type="dxa" w:w="1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Yes</w:t>
            </w:r>
          </w:p>
        </w:tc>
      </w:tr>
      <w:tr>
        <w:tc>
          <w:tcPr>
            <w:tcW w:type="dxa" w:w="4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AIS data coverage ≥ 85% for all vessels in report</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FAIL — vessels below threshold listed</w:t>
            </w:r>
          </w:p>
        </w:tc>
        <w:tc>
          <w:tcPr>
            <w:tcW w:type="dxa" w:w="1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Yes</w:t>
            </w:r>
          </w:p>
        </w:tc>
      </w:tr>
      <w:tr>
        <w:tc>
          <w:tcPr>
            <w:tcW w:type="dxa" w:w="4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MOHA account registered in Organisation profile</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FAIL</w:t>
            </w:r>
          </w:p>
        </w:tc>
        <w:tc>
          <w:tcPr>
            <w:tcW w:type="dxa" w:w="1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Yes (for ETS-scope vessels)</w:t>
            </w:r>
          </w:p>
        </w:tc>
      </w:tr>
      <w:tr>
        <w:tc>
          <w:tcPr>
            <w:tcW w:type="dxa" w:w="4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Active Monitoring Plan exists for all vessels covering the reporting year</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FAIL — vessels without plan listed</w:t>
            </w:r>
          </w:p>
        </w:tc>
        <w:tc>
          <w:tcPr>
            <w:tcW w:type="dxa" w:w="1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Yes</w:t>
            </w:r>
          </w:p>
        </w:tc>
      </w:tr>
      <w:tr>
        <w:tc>
          <w:tcPr>
            <w:tcW w:type="dxa" w:w="4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BDN coverage ≥ 50% of operational days for all vessels</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FAIL — vessels below threshold listed</w:t>
            </w:r>
          </w:p>
        </w:tc>
        <w:tc>
          <w:tcPr>
            <w:tcW w:type="dxa" w:w="1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Yes</w:t>
            </w:r>
          </w:p>
        </w:tc>
      </w:tr>
      <w:tr>
        <w:tc>
          <w:tcPr>
            <w:tcW w:type="dxa" w:w="4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FuelEU: All biofuel deliveries have ISCC certificates (if FuelEU scope)</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WARNING — list of missing ISCC certs. Report can be generated with user acknowledgement.</w:t>
            </w:r>
          </w:p>
        </w:tc>
        <w:tc>
          <w:tcPr>
            <w:tcW w:type="dxa" w:w="1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No (Warning only)</w:t>
            </w:r>
          </w:p>
        </w:tc>
      </w:tr>
      <w:tr>
        <w:tc>
          <w:tcPr>
            <w:tcW w:type="dxa" w:w="4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BDN coverage 50%–80% (below recommended threshold)</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WARNING — low coverage noted in report</w:t>
            </w:r>
          </w:p>
        </w:tc>
        <w:tc>
          <w:tcPr>
            <w:tcW w:type="dxa" w:w="1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No (Warning only)</w:t>
            </w:r>
          </w:p>
        </w:tc>
      </w:tr>
      <w:tr>
        <w:tc>
          <w:tcPr>
            <w:tcW w:type="dxa" w:w="4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Any Warning-severity violations outstanding</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WARNING — listed for user review</w:t>
            </w:r>
          </w:p>
        </w:tc>
        <w:tc>
          <w:tcPr>
            <w:tcW w:type="dxa" w:w="1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No (Warning only)</w:t>
            </w:r>
          </w:p>
        </w:tc>
      </w:tr>
      <w:tr>
        <w:tc>
          <w:tcPr>
            <w:tcW w:type="dxa" w:w="4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Report year matches Monitoring Plan effective dates</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WARNING — plan date mismatch noted</w:t>
            </w:r>
          </w:p>
        </w:tc>
        <w:tc>
          <w:tcPr>
            <w:tcW w:type="dxa" w:w="1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No (Warning only)</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24.  Monitoring Plan Module — Extended Specification</w:t>
      </w:r>
    </w:p>
    <w:p>
      <w:pPr>
        <w:spacing w:after="60" w:before="0"/>
      </w:pPr>
      <w:r>
        <w:t xml:space="preserve"/>
      </w:r>
    </w:p>
    <w:p>
      <w:pPr>
        <w:spacing w:after="100" w:before="0"/>
        <w:jc w:val="both"/>
      </w:pPr>
      <w:r>
        <w:rPr>
          <w:rFonts w:ascii="Arial" w:cs="Arial" w:eastAsia="Arial" w:hAnsi="Arial"/>
          <w:color w:val="1A2332"/>
          <w:sz w:val="19"/>
          <w:szCs w:val="19"/>
        </w:rPr>
        <w:t xml:space="preserve">The Monitoring Plan is the foundational document for EU ETS and FuelEU compliance. It defines the methodology by which the operator monitors and reports emissions. A plan that fails verifier review blocks the entire compliance cycle. This section specifies the gap analysis logic, version management, and the comparison algorithm between plan versions.</w:t>
      </w:r>
    </w:p>
    <w:p>
      <w:pPr>
        <w:spacing w:after="60" w:before="0"/>
      </w:pPr>
      <w:r>
        <w:t xml:space="preserve"/>
      </w:r>
    </w:p>
    <w:p>
      <w:pPr>
        <w:pStyle w:val="Heading2"/>
        <w:spacing w:after="80" w:before="280"/>
      </w:pPr>
      <w:r>
        <w:rPr>
          <w:rFonts w:ascii="Arial" w:cs="Arial" w:eastAsia="Arial" w:hAnsi="Arial"/>
          <w:b/>
          <w:bCs/>
          <w:color w:val="0D7D7E"/>
          <w:sz w:val="24"/>
          <w:szCs w:val="24"/>
        </w:rPr>
        <w:t xml:space="preserve">24.1  Gap Analysis — Full Rule Evaluation</w:t>
      </w:r>
    </w:p>
    <w:p>
      <w:pPr>
        <w:spacing w:after="100" w:before="0"/>
        <w:jc w:val="both"/>
      </w:pPr>
      <w:r>
        <w:rPr>
          <w:rFonts w:ascii="Arial" w:cs="Arial" w:eastAsia="Arial" w:hAnsi="Arial"/>
          <w:color w:val="1A2332"/>
          <w:sz w:val="19"/>
          <w:szCs w:val="19"/>
        </w:rPr>
        <w:t xml:space="preserve">The gap analysis engine evaluates the uploaded Monitoring Plan document against the current regulatory requirement checklist. It produces a per-requirement status (Present / Absent / Outdated) with a remediation action for each gap.</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960"/>
      </w:tblGrid>
      <w:tr>
        <w:tc>
          <w:tcPr>
            <w:tcW w:type="dxa" w:w="2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REQUIREMENT</w:t>
            </w:r>
          </w:p>
        </w:tc>
        <w:tc>
          <w:tcPr>
            <w:tcW w:type="dxa" w:w="2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CHECKED HOW</w:t>
            </w:r>
          </w:p>
        </w:tc>
        <w:tc>
          <w:tcPr>
            <w:tcW w:type="dxa" w:w="1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STATUS OPTIONS</w:t>
            </w:r>
          </w:p>
        </w:tc>
        <w:tc>
          <w:tcPr>
            <w:tcW w:type="dxa" w:w="29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REMEDIATION IF ABSENT</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Monitoring method declared (A/B/C/D)</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OCR extraction from plan document. User must also confirm method in structured form at plan creation.</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Present / Absent</w:t>
            </w:r>
          </w:p>
        </w:tc>
        <w:tc>
          <w:tcPr>
            <w:tcW w:type="dxa" w:w="2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Add monitoring method declaration to Section 3 of plan. Method must match actual BDN collection approach.</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Data gap procedure documented</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Text search for 'data gap' or 'alternative method' in OCR'd plan text, cross-referenced with structured monitoring_plan.data_gap_procedure field.</w:t>
            </w:r>
          </w:p>
        </w:tc>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Present / Absent / Insufficient</w:t>
            </w:r>
          </w:p>
        </w:tc>
        <w:tc>
          <w:tcPr>
            <w:tcW w:type="dxa" w:w="2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Add data gap chapter specifying alternative method when primary data source unavailable (e.g. flowmeter data unavailable → use BDN Method A as fallback).</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WtW emission factors per fuel type (FuelEU, required from 2025)</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Structured field: monitoring_plan.wtw_factors_included = TRUE/FALSE. Verified by checking if plan document references 'Well-to-Wake' or 'WtW' in context of emission factors.</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Present / Absent</w:t>
            </w:r>
          </w:p>
        </w:tc>
        <w:tc>
          <w:tcPr>
            <w:tcW w:type="dxa" w:w="2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Add Annex table of WtW emission factors per fuel type used on vessel, citing FuelEU Regulation 2023/1805 Annex II as source.</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OPS documentation chapter (FuelEU, from 2025)</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Structured field: monitoring_plan.ops_chapter_included. OCR text search for 'Onshore Power Supply' or 'OPS'.</w:t>
            </w:r>
          </w:p>
        </w:tc>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Present / Absent / Not Applicable (if no OPS capability)</w:t>
            </w:r>
          </w:p>
        </w:tc>
        <w:tc>
          <w:tcPr>
            <w:tcW w:type="dxa" w:w="2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Add OPS chapter specifying how shore power consumption is metered and recorded. If vessel has no OPS capability, declare this explicitly in plan with vessel specification reference.</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Risk assessment (updated for FuelEU additions)</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Structured field: monitoring_plan.risk_assessment_updated. Plan must address data gaps in WtW documentation and OPS metering.</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Present / Absent / Outdated</w:t>
            </w:r>
          </w:p>
        </w:tc>
        <w:tc>
          <w:tcPr>
            <w:tcW w:type="dxa" w:w="2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Update risk assessment section to include: WtW data gap risk, ISCC certificate procurement risk, OPS metering failure risk. FuelEU Guidance Section 8.2.1 provides standard risk assessment template.</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Vessel identification fields (IMO, flag, GT)</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Cross-check OCR'd plan header fields against vessel record in database.</w:t>
            </w:r>
          </w:p>
        </w:tc>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Match / Mismatch</w:t>
            </w:r>
          </w:p>
        </w:tc>
        <w:tc>
          <w:tcPr>
            <w:tcW w:type="dxa" w:w="2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Update plan header if vessel details changed (flag transfer, refit affecting GT). Mismatch blocks THETIS-MRV submission.</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Signatory and company details</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OCR extraction from plan footer/signature block.</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Present / Absent</w:t>
            </w:r>
          </w:p>
        </w:tc>
        <w:tc>
          <w:tcPr>
            <w:tcW w:type="dxa" w:w="2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THETIS-MRV Monitoring Plans must be signed by the responsible company's authorised representative.</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24.2  Version Management</w:t>
      </w:r>
    </w:p>
    <w:p>
      <w:pPr>
        <w:spacing w:after="100" w:before="0"/>
        <w:jc w:val="both"/>
      </w:pPr>
      <w:r>
        <w:rPr>
          <w:rFonts w:ascii="Arial" w:cs="Arial" w:eastAsia="Arial" w:hAnsi="Arial"/>
          <w:color w:val="1A2332"/>
          <w:sz w:val="19"/>
          <w:szCs w:val="19"/>
        </w:rPr>
        <w:t xml:space="preserve">Monitoring Plans are versioned. When a significant change occurs (new vessel, new fuel type, change of monitoring method, FuelEU addition), a new plan version must be created and submitted to THETIS-MRV. The system tracks plan versions and ensures the correct version is referenced in each annual report.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 Plan versioning events that trigger a new version requirement:
TRIGGERS_FOR_NEW_PLAN_VERSION = [
  'vessel_added_to_fleet',
  'new_fuel_type_used',          // e.g. first biofuel delivery for vessel
  'monitoring_method_changed',
  'fueleu_scope_entered',        // vessel crosses 5,000 GT threshold or commercial charter starts
  'ops_capability_installed',
  'risk_assessment_material_change',
  'verifier_requested_revision',
]
// When trigger fires:
// 1. Create new monitoring_plan record with version = current_version + 1
// 2. Set current plan's effective_to = today
// 3. Alert compliance manager: "A plan update is required. Reason: [trigger reason]"
// 4. New plan status = 'draft' until submitted to THETIS-MRV
// ANNUAL REVIEW:
// Even without a trigger event, Monitoring Plans must be reviewed annually
// before the next reporting year begins. System sends annual review reminder
// every 1 October (start of pre-reporting preparation window).</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25.  Green Zone Module — Port Database and Alert Logic</w:t>
      </w:r>
    </w:p>
    <w:p>
      <w:pPr>
        <w:spacing w:after="60" w:before="0"/>
      </w:pPr>
      <w:r>
        <w:t xml:space="preserve"/>
      </w:r>
    </w:p>
    <w:p>
      <w:pPr>
        <w:spacing w:after="100" w:before="0"/>
        <w:jc w:val="both"/>
      </w:pPr>
      <w:r>
        <w:rPr>
          <w:rFonts w:ascii="Arial" w:cs="Arial" w:eastAsia="Arial" w:hAnsi="Arial"/>
          <w:color w:val="1A2332"/>
          <w:sz w:val="19"/>
          <w:szCs w:val="19"/>
        </w:rPr>
        <w:t xml:space="preserve">The Green Zone Module maintains a continuously updated database of Mediterranean port environmental requirements and evaluates each vessel's compliance status before every port call. This section specifies the port database structure, the compliance evaluation logic, and the data maintenance process.</w:t>
      </w:r>
    </w:p>
    <w:p>
      <w:pPr>
        <w:spacing w:after="60" w:before="0"/>
      </w:pPr>
      <w:r>
        <w:t xml:space="preserve"/>
      </w:r>
    </w:p>
    <w:p>
      <w:pPr>
        <w:pStyle w:val="Heading2"/>
        <w:spacing w:after="80" w:before="280"/>
      </w:pPr>
      <w:r>
        <w:rPr>
          <w:rFonts w:ascii="Arial" w:cs="Arial" w:eastAsia="Arial" w:hAnsi="Arial"/>
          <w:b/>
          <w:bCs/>
          <w:color w:val="0D7D7E"/>
          <w:sz w:val="24"/>
          <w:szCs w:val="24"/>
        </w:rPr>
        <w:t xml:space="preserve">25.1  Port Environmental Requirements — Current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4000"/>
        <w:gridCol w:w="1360"/>
      </w:tblGrid>
      <w:tr>
        <w:tc>
          <w:tcPr>
            <w:tcW w:type="dxa" w:w="1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PORT</w:t>
            </w:r>
          </w:p>
        </w:tc>
        <w:tc>
          <w:tcPr>
            <w:tcW w:type="dxa" w:w="1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LOCODE</w:t>
            </w:r>
          </w:p>
        </w:tc>
        <w:tc>
          <w:tcPr>
            <w:tcW w:type="dxa" w:w="1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ENFORCEMENT</w:t>
            </w:r>
          </w:p>
        </w:tc>
        <w:tc>
          <w:tcPr>
            <w:tcW w:type="dxa" w:w="4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KEY REQUIREMENTS</w:t>
            </w:r>
          </w:p>
        </w:tc>
        <w:tc>
          <w:tcPr>
            <w:tcW w:type="dxa" w:w="13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2026 STATUS</w:t>
            </w:r>
          </w:p>
        </w:tc>
      </w:tr>
      <w:tr>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Barcelona</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ESBCN</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HIGH — active municipal enforcement</w:t>
            </w:r>
          </w:p>
        </w:tc>
        <w:tc>
          <w:tcPr>
            <w:tcW w:type="dxa" w:w="4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ISO 14001 / EMAS certification preferred. City-wide low-emission zone extends to port area. Environmental fee for non-compliant vessels (€0.10/GT for large vessels). Strict SOx 0.1% limit. ETS reporting documentary evidence required at port check.</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Active. Enforcement increasing Q2 2026.</w:t>
            </w:r>
          </w:p>
        </w:tc>
      </w:tr>
      <w:tr>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Palma de Mallorca</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ESPMH</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HIGH — Balearic regional government</w:t>
            </w:r>
          </w:p>
        </w:tc>
        <w:tc>
          <w:tcPr>
            <w:tcW w:type="dxa" w:w="4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ESG credentials required at Puerto Portals and Club de Mar premium marinas. Palma IBOS show has required certified CO2 offsets since 2025. Progressive marina environmental standards. Shore power available at some berths.</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Active. Green Zone framework formally adopted March 2026.</w:t>
            </w:r>
          </w:p>
        </w:tc>
      </w:tr>
      <w:tr>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Monaco (Port Hercule)</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MCMON</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VERY HIGH — Principality-level enforcement</w:t>
            </w:r>
          </w:p>
        </w:tc>
        <w:tc>
          <w:tcPr>
            <w:tcW w:type="dxa" w:w="4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New Monaco-flagged vessels require sustainability assessment. Port Hercule actively monitors ETS compliance. Superyacht ESG credentials expected for long-stay berths. Monaco YCA (Yacht Club de Monaco) Green Flag certification for event vessels.</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Active. Most mature Green Zone framework in Mediterranean.</w:t>
            </w:r>
          </w:p>
        </w:tc>
      </w:tr>
      <w:tr>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Antibes (Port Vauban)</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FRABI</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MEDIUM-HIGH — escalating</w:t>
            </w:r>
          </w:p>
        </w:tc>
        <w:tc>
          <w:tcPr>
            <w:tcW w:type="dxa" w:w="4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French coastal emission regulations (TICPE energy tax applies). Shore power available and expected for winter lay-up vessels. ISO 14001 working toward green marina certification. French government coastal emission enforcement escalating through 2026-2027.</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Active. French enforcement tightening 2026.</w:t>
            </w:r>
          </w:p>
        </w:tc>
      </w:tr>
      <w:tr>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Cannes</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FRCNN</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MEDIUM — reputational risk high</w:t>
            </w:r>
          </w:p>
        </w:tc>
        <w:tc>
          <w:tcPr>
            <w:tcW w:type="dxa" w:w="4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Cannes Film Festival charter season creates peak compliance scrutiny. ESG certification increasingly expected for media-facing charter vessels. Enforcement inconsistent but reputational damage from non-compliance high.</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Escalating. Festival enforcement events twice yearly.</w:t>
            </w:r>
          </w:p>
        </w:tc>
      </w:tr>
      <w:tr>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Porto Cervo (Sardinia)</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ITPCV</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LOW-MEDIUM (now) / HIGH (2027 horizon)</w:t>
            </w:r>
          </w:p>
        </w:tc>
        <w:tc>
          <w:tcPr>
            <w:tcW w:type="dxa" w:w="4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Aga Khan-developed luxury marina pursuing green marina certification (Blue Flag, Green Award). Costa Smeralda Consortium promoting sustainable yachting. No formal hard enforcement yet but green credentials increasingly requested by marina.</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Phase 3 target for port API partnership.</w:t>
            </w:r>
          </w:p>
        </w:tc>
      </w:tr>
      <w:tr>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Piraeus</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GRPIR</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MEDIUM — EU ETS enforcement active</w:t>
            </w:r>
          </w:p>
        </w:tc>
        <w:tc>
          <w:tcPr>
            <w:tcW w:type="dxa" w:w="4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Gateway to Greek islands. Port authority investing in green infrastructure. Greek Ministry of Shipping implementing EU ETS obligations. Shore power limited but expanding. Greek ETS enforcement historically lagged EU average but 2026 sees increased activity.</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Active. Greek island charter routes create high-compliance-volume use case.</w:t>
            </w:r>
          </w:p>
        </w:tc>
      </w:tr>
      <w:tr>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Palermo</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ITPMO</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LOW-MEDIUM</w:t>
            </w:r>
          </w:p>
        </w:tc>
        <w:tc>
          <w:tcPr>
            <w:tcW w:type="dxa" w:w="4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Italian ETS implementation active. Shore power expanding. Sicilian port authority beginning environmental documentation requests.</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Emerging.</w:t>
            </w:r>
          </w:p>
        </w:tc>
      </w:tr>
      <w:tr>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Split</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HRSPU</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LOW</w:t>
            </w:r>
          </w:p>
        </w:tc>
        <w:tc>
          <w:tcPr>
            <w:tcW w:type="dxa" w:w="4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Croatian Adriatic charter hub. Croatian EU membership means EU ETS applies. Green Zone framework not yet formally adopted but EU monitoring requirements in place.</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Monitoring only in Phase 1.</w:t>
            </w:r>
          </w:p>
        </w:tc>
      </w:tr>
      <w:tr>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Dubrovnik</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HRDUB</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MEDIUM — overtourism regulation link</w:t>
            </w:r>
          </w:p>
        </w:tc>
        <w:tc>
          <w:tcPr>
            <w:tcW w:type="dxa" w:w="4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Croatian government imposing strict vessel access controls in Dubrovnik area (overtourism). Environmental credentials increasingly relevant to access permission.</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Watch. Access restriction enforcement increasing.</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25.2  Green Zone Event Evaluation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 Triggered when a voyage arrival event is detected for a Green Zone port
async function evaluateGreenZoneCompliance(vesselId, portLocode, arrivalTime) {
  const port = await db.getGreenZonePort(portLocode);
  if (!port) return;  // Not a monitored Green Zone port
  const vessel = await db.getVessel(vesselId);
  const violations = [];
  // Check 1: ETS documentation
  if (port.requires_ets_docs) {
    const etsRecord = await db.getEtsRecord(vesselId, arrivalTime.getFullYear());
    if (!etsRecord || etsRecord.thetis_status === 'not_submitted') {
      violations.push({
        requirement: 'EU ETS annual report',
        status: 'MISSING',
        severity: 'RED',
        remediation: 'Submit THETIS-MRV annual emissions report before port arrival'
      });
    }
  }
  // Check 2: ESG certification
  if (port.requires_esg_cert) {
    const esgCert = await db.getLatestDocument(vesselId, 'green_zone_cert');
    if (!esgCert || isExpired(esgCert.document_date, 12)) {  // 12-month validity
      violations.push({
        requirement: 'ESG certification',
        status: 'MISSING',
        severity: 'AMBER',
        remediation: 'Generate ESG credential pack from Poseidon Ledger reporting module'
      });
    }
  }
  // Check 3: Shore power (if port has OPS and vessel has OPS capability)
  if (port.requires_shore_power &amp;&amp; vessel.has_ops_capability) {
    violations.push({
      requirement: 'Shore power connection required',
      status: 'REMINDER',
      severity: 'AMBER',
      remediation: 'Connect to shore power within 2 hours of berthing. Log OPS connection in vessel record.'
    });
  }
  // Determine overall status
  const hasRed = violations.some(v =&gt; v.severity === 'RED');
  const hasAmber = violations.some(v =&gt; v.severity === 'AMBER');
  const status = hasRed ? 'RED' : hasAmber ? 'AMBER' : 'GREEN';
  // Store result
  await db.createGreenZoneEvent({ vesselId, portLocode, arrivalTime, status, violations });
  // Alert if not GREEN
  if (status !== 'GREEN') {
    await notificationService.send({
      type: 'green_zone.alert',
      vessel_id: vesselId,
      port_locode: portLocode,
      status,
      violations
    });
  }
}</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26.  EUA Exposure Module — Market Data Integration</w:t>
      </w:r>
    </w:p>
    <w:p>
      <w:pPr>
        <w:spacing w:after="60" w:before="0"/>
      </w:pPr>
      <w:r>
        <w:t xml:space="preserve"/>
      </w:r>
    </w:p>
    <w:p>
      <w:pPr>
        <w:spacing w:after="100" w:before="0"/>
        <w:jc w:val="both"/>
      </w:pPr>
      <w:r>
        <w:rPr>
          <w:rFonts w:ascii="Arial" w:cs="Arial" w:eastAsia="Arial" w:hAnsi="Arial"/>
          <w:color w:val="1A2332"/>
          <w:sz w:val="19"/>
          <w:szCs w:val="19"/>
        </w:rPr>
        <w:t xml:space="preserve">The EUA Exposure Module calculates the fleet's indicative EU Allowance surrender obligation and presents it alongside current market pricing to give fleet managers a real-time cost estimate. This module does not execute transactions — it provides the emissions intelligence that feeds into the EUA procurement decision.</w:t>
      </w:r>
    </w:p>
    <w:p>
      <w:pPr>
        <w:spacing w:after="60" w:before="0"/>
      </w:pPr>
      <w:r>
        <w:t xml:space="preserve"/>
      </w:r>
    </w:p>
    <w:p>
      <w:pPr>
        <w:pStyle w:val="Heading2"/>
        <w:spacing w:after="80" w:before="280"/>
      </w:pPr>
      <w:r>
        <w:rPr>
          <w:rFonts w:ascii="Arial" w:cs="Arial" w:eastAsia="Arial" w:hAnsi="Arial"/>
          <w:b/>
          <w:bCs/>
          <w:color w:val="0D7D7E"/>
          <w:sz w:val="24"/>
          <w:szCs w:val="24"/>
        </w:rPr>
        <w:t xml:space="preserve">26.1  EUA Price Feed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200"/>
        <w:gridCol w:w="1960"/>
      </w:tblGrid>
      <w:tr>
        <w:tc>
          <w:tcPr>
            <w:tcW w:type="dxa" w:w="2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SOURCE</w:t>
            </w:r>
          </w:p>
        </w:tc>
        <w:tc>
          <w:tcPr>
            <w:tcW w:type="dxa" w:w="2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DATA TYPE</w:t>
            </w:r>
          </w:p>
        </w:tc>
        <w:tc>
          <w:tcPr>
            <w:tcW w:type="dxa" w:w="1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UPDATE FREQUENCY</w:t>
            </w:r>
          </w:p>
        </w:tc>
        <w:tc>
          <w:tcPr>
            <w:tcW w:type="dxa" w:w="1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COST</w:t>
            </w:r>
          </w:p>
        </w:tc>
        <w:tc>
          <w:tcPr>
            <w:tcW w:type="dxa" w:w="19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RECOMMENDED FOR</w:t>
            </w:r>
          </w:p>
        </w:tc>
      </w:tr>
      <w:tr>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ICE (Intercontinental Exchange) API</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Real-time EUA spot price. Settlement prices. Forward curves.</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Real-time (&lt; 1 second delay)</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€500–2,000/month for market data subscription.</w:t>
            </w:r>
          </w:p>
        </w:tc>
        <w:tc>
          <w:tcPr>
            <w:tcW w:type="dxa" w:w="1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Phase 2+. Required for accurate cost estimates at scale.</w:t>
            </w:r>
          </w:p>
        </w:tc>
      </w:tr>
      <w:tr>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Ember Climate (ember-climate.org)</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Daily EUA settlement price. Free API. Good accuracy.</w:t>
            </w:r>
          </w:p>
        </w:tc>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Daily (previous day settlement)</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Free.</w:t>
            </w:r>
          </w:p>
        </w:tc>
        <w:tc>
          <w:tcPr>
            <w:tcW w:type="dxa" w:w="1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MVP phase. Sufficient for daily cost estimate display. API: GET /api/v1/carbon-price</w:t>
            </w:r>
          </w:p>
        </w:tc>
      </w:tr>
      <w:tr>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Yahoo Finance (yfinance Python library)</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EUA futures price (ticker: EUAFRONT). Scraped, unofficial.</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15-minute delayed.</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Free but fragile — not suitable for production.</w:t>
            </w:r>
          </w:p>
        </w:tc>
        <w:tc>
          <w:tcPr>
            <w:tcW w:type="dxa" w:w="1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Development/testing only.</w:t>
            </w:r>
          </w:p>
        </w:tc>
      </w:tr>
      <w:tr>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Bridge Markets API (proposed partner)</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Live EUA buy price from Bridge's 3-trader aggregation. Directly actionable price.</w:t>
            </w:r>
          </w:p>
        </w:tc>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Real-time (when market open)</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TBD — partnership model.</w:t>
            </w:r>
          </w:p>
        </w:tc>
        <w:tc>
          <w:tcPr>
            <w:tcW w:type="dxa" w:w="1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Phase 3. Ideal partner integration — Poseidon shows Bridge's price, client clicks to buy.</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26.2  EUA Exposure Calculation and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 Calculated nightly and on demand (POST /vessels/:id/ets/:year/calculate)
async function calculateEuaExposure(vesselId, year) {
  // Step 1: Get all confirmed fuel deliveries for the year
  const deliveries = await db.getFuelDeliveries(vesselId, year);
  const total_co2_ttw = sum(deliveries.map(d =&gt; d.co2_ttw_tonnes));
  // Step 2: Get voyage breakdown for coverage rate
  const voyages = await db.getVoyages(vesselId, year);
  const intra_eu_co2 = calculateIntraEuCo2(voyages, deliveries);
  const third_country_co2 = total_co2_ttw - intra_eu_co2;
  // Step 3: Apply coverage rate (2026: 100%)
  const coverage_rate = getEtsCoverageRate(year);  // 0.40 (2024), 0.70 (2025), 1.00 (2026+)
  const covered_co2 = intra_eu_co2 + (third_country_co2 * 0.50);  // 50% for third-country
  const eua_obligation = covered_co2 * coverage_rate;
  // Step 4: Get current EUA price
  const eua_price = await euaPriceFeed.getCurrentPrice();  // e.g. 79.00 €/tonne
  // Step 5: Calculate cost estimate
  const cost_estimate = eua_obligation * eua_price;
  // Step 6: Penalty exposure (if not on track to surrender)
  const penalty_rate = 132.06;  // €/tonne, inflation-adjusted from €100 base
  const surrendered = await db.getEuaSurrendered(vesselId, year);
  const remaining_obligation = Math.max(0, eua_obligation - surrendered);
  const penalty_exposure = remaining_obligation &gt; 0 ? remaining_obligation * penalty_rate : 0;
  // Update ets_record
  await db.updateEtsRecord(vesselId, year, {
    total_co2_ttw, intra_eu_co2, third_country_co2, covered_co2,
    eua_obligation, eua_price_at_calc: eua_price, eua_cost_estimate: cost_estimate,
    penalty_risk_flag: remaining_obligation &gt; 0, penalty_estimate: penalty_exposure,
    calculated_at: new Date()
  });
  return { total_co2_ttw, covered_co2, eua_obligation, cost_estimate, penalty_exposure };
}</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27.  Reporting Module — Complete Output Specification</w:t>
      </w:r>
    </w:p>
    <w:p>
      <w:pPr>
        <w:spacing w:after="60" w:before="0"/>
      </w:pPr>
      <w:r>
        <w:t xml:space="preserve"/>
      </w:r>
    </w:p>
    <w:p>
      <w:pPr>
        <w:spacing w:after="100" w:before="0"/>
        <w:jc w:val="both"/>
      </w:pPr>
      <w:r>
        <w:rPr>
          <w:rFonts w:ascii="Arial" w:cs="Arial" w:eastAsia="Arial" w:hAnsi="Arial"/>
          <w:color w:val="1A2332"/>
          <w:sz w:val="19"/>
          <w:szCs w:val="19"/>
        </w:rPr>
        <w:t xml:space="preserve">The Reporting Module generates every structured output that Poseidon Ledger produces: regulatory reports for submission, compliance evidence packages for verifiers, ESG credentials for charter marketing, insurance data exports, and fleet benchmark reports for internal management. Each report type is specified below with its purpose, content structure, output format, and generation trigger.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1000"/>
        <w:gridCol w:w="1200"/>
        <w:gridCol w:w="760"/>
      </w:tblGrid>
      <w:tr>
        <w:tc>
          <w:tcPr>
            <w:tcW w:type="dxa" w:w="2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REPORT</w:t>
            </w:r>
          </w:p>
        </w:tc>
        <w:tc>
          <w:tcPr>
            <w:tcW w:type="dxa" w:w="1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PURPOSE</w:t>
            </w:r>
          </w:p>
        </w:tc>
        <w:tc>
          <w:tcPr>
            <w:tcW w:type="dxa" w:w="2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CONTENT</w:t>
            </w:r>
          </w:p>
        </w:tc>
        <w:tc>
          <w:tcPr>
            <w:tcW w:type="dxa" w:w="1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FORMAT</w:t>
            </w:r>
          </w:p>
        </w:tc>
        <w:tc>
          <w:tcPr>
            <w:tcW w:type="dxa" w:w="1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TRIGGER</w:t>
            </w:r>
          </w:p>
        </w:tc>
        <w:tc>
          <w:tcPr>
            <w:tcW w:type="dxa" w:w="7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TIER</w:t>
            </w:r>
          </w:p>
        </w:tc>
      </w:tr>
      <w:tr>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THETIS-MRV Annual Emissions Report</w:t>
            </w:r>
          </w:p>
        </w:tc>
        <w:tc>
          <w:tcPr>
            <w:tcW w:type="dxa" w:w="1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 ETS regulatory submission to EMSA via THETIS portal.</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Company details, vessel list, monitoring plan reference, voyage data by port-pair, fuel consumption by type, total CO2 TtW, data gaps, methodology declaration.</w:t>
            </w:r>
          </w:p>
        </w:tc>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XML (EMSA schema) + PDF summary</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Manual: user clicks Generate for reporting year. Must pass pre-submission gate.</w:t>
            </w:r>
          </w:p>
        </w:tc>
        <w:tc>
          <w:tcPr>
            <w:tcW w:type="dxa" w:w="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tiers</w:t>
            </w:r>
          </w:p>
        </w:tc>
      </w:tr>
      <w:tr>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FuelEU Annual GHG Intensity Report</w:t>
            </w:r>
          </w:p>
        </w:tc>
        <w:tc>
          <w:tcPr>
            <w:tcW w:type="dxa" w:w="1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 Maritime annual submission.</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 GHG intensity (gCO2e/MJ WtW), fuel consumption by type, ISCC certificate references, OPS events, compliance balance vs target.</w:t>
            </w:r>
          </w:p>
        </w:tc>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XML + PDF</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Manual: user clicks Generate. Separate from THETIS-MRV (different deadline: 31 Jan).</w:t>
            </w:r>
          </w:p>
        </w:tc>
        <w:tc>
          <w:tcPr>
            <w:tcW w:type="dxa" w:w="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Fleet, Sovereign</w:t>
            </w:r>
          </w:p>
        </w:tc>
      </w:tr>
      <w:tr>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Verifier Data Package</w:t>
            </w:r>
          </w:p>
        </w:tc>
        <w:tc>
          <w:tcPr>
            <w:tcW w:type="dxa" w:w="1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Complete evidence package for class society verifier review.</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THETIS-MRV report XML + all source BDN PDFs (signed URL bundle) + AIS voyage data CSV + data gap resolution notes + Monitoring Plan PDF + discrepancy resolution log.</w:t>
            </w:r>
          </w:p>
        </w:tc>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ZIP archive with index PDF</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Manual: user generates ahead of verifier submission.</w:t>
            </w:r>
          </w:p>
        </w:tc>
        <w:tc>
          <w:tcPr>
            <w:tcW w:type="dxa" w:w="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tiers</w:t>
            </w:r>
          </w:p>
        </w:tc>
      </w:tr>
      <w:tr>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ESG Credential Pack</w:t>
            </w:r>
          </w:p>
        </w:tc>
        <w:tc>
          <w:tcPr>
            <w:tcW w:type="dxa" w:w="1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Shareable environmental performance summary for charter clients and broker marketing.</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 name and IMO, reporting period, total CO2 per voyage (anonymised), GHG intensity benchmark vs fleet average, Green Award status, Poseidon Ledger certification badge.</w:t>
            </w:r>
          </w:p>
        </w:tc>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PDF (branded, share-ready)</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Manual: generated per vessel per charter season. Auto-generated annually.</w:t>
            </w:r>
          </w:p>
        </w:tc>
        <w:tc>
          <w:tcPr>
            <w:tcW w:type="dxa" w:w="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Fleet, Sovereign</w:t>
            </w:r>
          </w:p>
        </w:tc>
      </w:tr>
      <w:tr>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Fleet Emissions Benchmark Report</w:t>
            </w:r>
          </w:p>
        </w:tc>
        <w:tc>
          <w:tcPr>
            <w:tcW w:type="dxa" w:w="1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Management reporting. Fleet-level compliance status, year-over-year comparison, benchmarking against anonymised Mediterranean fleet average.</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Fleet risk score trend, EUA obligation total and breakdown, FuelEU GHG intensity per vessel, open violations summary, deadline compliance history.</w:t>
            </w:r>
          </w:p>
        </w:tc>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PDF</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Automated: generated quarterly. Available on demand.</w:t>
            </w:r>
          </w:p>
        </w:tc>
        <w:tc>
          <w:tcPr>
            <w:tcW w:type="dxa" w:w="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Sovereign</w:t>
            </w:r>
          </w:p>
        </w:tc>
      </w:tr>
      <w:tr>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Insurance Data Export</w:t>
            </w:r>
          </w:p>
        </w:tc>
        <w:tc>
          <w:tcPr>
            <w:tcW w:type="dxa" w:w="1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Structured fleet ESG risk data for marine insurance underwriters (Pantaenius, Gard, etc.).</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Per-vessel risk score, EUA compliance status, Green Zone event history, Monitoring Plan currency, ISCC coverage ratio.</w:t>
            </w:r>
          </w:p>
        </w:tc>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JSON (schema published to insurance partner API) + PDF</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Manual: user generates for insurance renewal cycle.</w:t>
            </w:r>
          </w:p>
        </w:tc>
        <w:tc>
          <w:tcPr>
            <w:tcW w:type="dxa" w:w="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Sovereign</w:t>
            </w:r>
          </w:p>
        </w:tc>
      </w:tr>
      <w:tr>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Compliance Deadline Calendar</w:t>
            </w:r>
          </w:p>
        </w:tc>
        <w:tc>
          <w:tcPr>
            <w:tcW w:type="dxa" w:w="1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Upcoming regulatory deadlines for the fleet.</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EU ETS and FuelEU deadlines for the next 12 months, per vessel and fleet level. Days remaining, status (on track / at risk).</w:t>
            </w:r>
          </w:p>
        </w:tc>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PDF + iCal (.ics) feed</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Available continuously. Auto-updated.</w:t>
            </w:r>
          </w:p>
        </w:tc>
        <w:tc>
          <w:tcPr>
            <w:tcW w:type="dxa" w:w="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tiers</w:t>
            </w:r>
          </w:p>
        </w:tc>
      </w:tr>
      <w:tr>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Audit Export</w:t>
            </w:r>
          </w:p>
        </w:tc>
        <w:tc>
          <w:tcPr>
            <w:tcW w:type="dxa" w:w="1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Data provenance record for verifier or regulatory investigation.</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Full audit_log entries for specified vessel and date range, showing all data entry, modification, OCR processing and validation events with user attribution.</w:t>
            </w:r>
          </w:p>
        </w:tc>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CSV + JSON</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Manual: Admin role only. On-demand.</w:t>
            </w:r>
          </w:p>
        </w:tc>
        <w:tc>
          <w:tcPr>
            <w:tcW w:type="dxa" w:w="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tiers</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27.1  Report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 Report generation is asynchronous — returns a job_id immediately
// Client polls GET /reports/jobs/:job_id or receives webhook when complete
async function generateReport(type, orgId, vesselIds, year, options) {
  // Create report job
  const job = await db.createReportJob({ type, orgId, vesselIds, year });
  // Queue to background job processor (Inngest)
  await inngest.send({
    name: 'report/generate',
    data: { jobId: job.id, type, orgId, vesselIds, year, options }
  });
  return { jobId: job.id, status: 'queued' };
}
// Background handler
inngest.createFunction(
  { id: 'generate-report', retries: 3 },
  { event: 'report/generate' },
  async ({ event, step }) =&gt; {
    const { jobId, type, orgId, vesselIds, year } = event.data;
    // Step 1: Pre-validation
    const validationResult = await step.run('validate', () =&gt;
      complianceEngine.runPreReportValidation(orgId, vesselIds, year));
    if (validationResult.hasFatalErrors) {
      await db.updateReportJob(jobId, { status: 'failed', errors: validationResult.errors });
      return;
    }
    // Step 2: Assemble data
    const reportData = await step.run('assemble-data', () =&gt;
      reportAssembler.assemble(type, orgId, vesselIds, year));
    // Step 3: Generate output (XML, PDF, ZIP)
    const output = await step.run('generate-output', () =&gt;
      reportRenderer.render(type, reportData));
    // Step 4: Store to Supabase Storage
    const storagePath = await step.run('store', () =&gt;
      storage.upload(`reports/${orgId}/${type}/${year}/${jobId}.zip`, output));
    // Step 5: Create document record and notify
    await step.run('notify', async () =&gt; {
      await db.createDocument({ orgId, doc_type: type, storage_path: storagePath });
      await db.updateReportJob(jobId, { status: 'complete', output_url: storagePath });
      await notificationService.send({ type: 'report.generated', jobId });
    });
  }
);</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28.  Billing and Subscription Architecture</w:t>
      </w:r>
    </w:p>
    <w:p>
      <w:pPr>
        <w:spacing w:after="60" w:before="0"/>
      </w:pPr>
      <w:r>
        <w:t xml:space="preserve"/>
      </w:r>
    </w:p>
    <w:p>
      <w:pPr>
        <w:spacing w:after="100" w:before="0"/>
        <w:jc w:val="both"/>
      </w:pPr>
      <w:r>
        <w:rPr>
          <w:rFonts w:ascii="Arial" w:cs="Arial" w:eastAsia="Arial" w:hAnsi="Arial"/>
          <w:color w:val="1A2332"/>
          <w:sz w:val="19"/>
          <w:szCs w:val="19"/>
        </w:rPr>
        <w:t xml:space="preserve">Poseidon Ledger's revenue model is per-vessel SaaS with three pricing tiers. Billing is managed via Stripe. The billing system must handle mid-month vessel additions, annual vs. monthly billing cycles, trial periods, and the transition from free audit lead magnet to paid subscription.</w:t>
      </w:r>
    </w:p>
    <w:p>
      <w:pPr>
        <w:spacing w:after="60" w:before="0"/>
      </w:pPr>
      <w:r>
        <w:t xml:space="preserve"/>
      </w:r>
    </w:p>
    <w:p>
      <w:pPr>
        <w:pStyle w:val="Heading2"/>
        <w:spacing w:after="80" w:before="280"/>
      </w:pPr>
      <w:r>
        <w:rPr>
          <w:rFonts w:ascii="Arial" w:cs="Arial" w:eastAsia="Arial" w:hAnsi="Arial"/>
          <w:b/>
          <w:bCs/>
          <w:color w:val="0D7D7E"/>
          <w:sz w:val="24"/>
          <w:szCs w:val="24"/>
        </w:rPr>
        <w:t xml:space="preserve">28.1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560"/>
      </w:tblGrid>
      <w:tr>
        <w:tc>
          <w:tcPr>
            <w:tcW w:type="dxa" w:w="1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TIER</w:t>
            </w:r>
          </w:p>
        </w:tc>
        <w:tc>
          <w:tcPr>
            <w:tcW w:type="dxa" w:w="2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TARGET</w:t>
            </w:r>
          </w:p>
        </w:tc>
        <w:tc>
          <w:tcPr>
            <w:tcW w:type="dxa" w:w="2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PRICE</w:t>
            </w:r>
          </w:p>
        </w:tc>
        <w:tc>
          <w:tcPr>
            <w:tcW w:type="dxa" w:w="35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KEY INCLUSIONS</w:t>
            </w:r>
          </w:p>
        </w:tc>
      </w:tr>
      <w:tr>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Navigator</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1–5 vessels, private owners, family offices</w:t>
            </w:r>
          </w:p>
        </w:tc>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€590/vessel/month</w:t>
            </w:r>
          </w:p>
        </w:tc>
        <w:tc>
          <w:tcPr>
            <w:tcW w:type="dxa" w:w="3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AIS integration, Green Zone alerts, monthly CO2 report, BDN upload (manual review), basic Monitoring Plan checks, THETIS-MRV report export. No FuelEU module. No ESG credential pack.</w:t>
            </w:r>
          </w:p>
        </w:tc>
      </w:tr>
      <w:tr>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Fleet</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6–25 vessels, management companies</w:t>
            </w:r>
          </w:p>
        </w:tc>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€890/vessel/month</w:t>
            </w:r>
          </w:p>
        </w:tc>
        <w:tc>
          <w:tcPr>
            <w:tcW w:type="dxa" w:w="3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Navigator features + FuelEU monitoring, ESG credential pack per charter, EUA exposure calculator with price feed, insurance data export, email BDN ingest, compliance AI assistant, priority support. Recommended tier.</w:t>
            </w:r>
          </w:p>
        </w:tc>
      </w:tr>
      <w:tr>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Sovereign</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26+ vessels, Tier A operators</w:t>
            </w:r>
          </w:p>
        </w:tc>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€1,350/vessel/month</w:t>
            </w:r>
          </w:p>
        </w:tc>
        <w:tc>
          <w:tcPr>
            <w:tcW w:type="dxa" w:w="3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Fleet features + dedicated compliance manager (monthly call), white-label portal option, verifier data package generation, port authority API data exports, custom report templates, SLA: 4-hour response time.</w:t>
            </w:r>
          </w:p>
        </w:tc>
      </w:tr>
      <w:tr>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Trial (lead magnet)</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Free audit tool — any visitor</w:t>
            </w:r>
          </w:p>
        </w:tc>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Free, 30 days</w:t>
            </w:r>
          </w:p>
        </w:tc>
        <w:tc>
          <w:tcPr>
            <w:tcW w:type="dxa" w:w="3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Single vessel audit. Green Zone Risk Audit PDF generated. THETIS-MRV gap analysis. No ongoing monitoring. Converts to Navigator or Fleet on sign-up.</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28.2  Stripe Integration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 Stripe objects:
// Customer → one per Organisation
// Product → Poseidon Ledger (with 3 price objects: navigator, fleet, sovereign)
// Subscription → one per Organisation, quantity = vessel count
// Subscription Item → one per pricing tier (per-vessel metered)
// Meter → tracks vessel count changes for billing period
// Subscription lifecycle:
// 1. Organisation signs up → create Stripe Customer
// 2. Trial starts → create Subscription with trial_period_days=30
// 3. User adds vessel → call Stripe: subscription.items.update(quantity++)
// 4. User removes vessel → call Stripe: subscription.items.update(quantity--)
// 5. Trial ends → Stripe sends webhook: customer.subscription.trial_will_end (3 days before)
//    → System emails "Your trial ends in 3 days. Add payment method to continue."
// 6. Trial converts → normal billing. First invoice generated.
// 7. Monthly invoice → Stripe sends webhook: invoice.paid or invoice.payment_failed
//    → On payment_failed: in-app warning, feature access degraded (read-only after 7 days)
// Webhook events to handle:
STRIPE_WEBHOOKS_HANDLED = [
  'customer.subscription.updated',      // vessel count change
  'customer.subscription.deleted',      // cancellation
  'customer.subscription.trial_will_end',
  'invoice.paid',
  'invoice.payment_failed',
  'invoice.payment_action_required',    // SCA / 3DS required
]
// Entitlement enforcement:
// Supabase function check_entitlement(org_id, feature)
// Returns TRUE/FALSE based on billing_tier in organisations table
// Called by API middleware before feature-specific endpoints</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29.  Testing Strategy</w:t>
      </w:r>
    </w:p>
    <w:p>
      <w:pPr>
        <w:spacing w:after="60" w:before="0"/>
      </w:pPr>
      <w:r>
        <w:t xml:space="preserve"/>
      </w:r>
    </w:p>
    <w:p>
      <w:pPr>
        <w:spacing w:after="100" w:before="0"/>
        <w:jc w:val="both"/>
      </w:pPr>
      <w:r>
        <w:rPr>
          <w:rFonts w:ascii="Arial" w:cs="Arial" w:eastAsia="Arial" w:hAnsi="Arial"/>
          <w:color w:val="1A2332"/>
          <w:sz w:val="19"/>
          <w:szCs w:val="19"/>
        </w:rPr>
        <w:t xml:space="preserve">A compliance platform has no tolerance for silent calculation errors. A wrong CO2 figure or a missed validation rule can result in a defective THETIS-MRV submission, a verifier rejection, or a fleet manager making an incorrect EUA procurement decision. The testing strategy must be comprehensive, automated, and specifically designed to catch compliance logic errors before they reach production.</w:t>
      </w:r>
    </w:p>
    <w:p>
      <w:pPr>
        <w:spacing w:after="60" w:before="0"/>
      </w:pPr>
      <w:r>
        <w:t xml:space="preserve"/>
      </w:r>
    </w:p>
    <w:p>
      <w:pPr>
        <w:pStyle w:val="Heading2"/>
        <w:spacing w:after="80" w:before="280"/>
      </w:pPr>
      <w:r>
        <w:rPr>
          <w:rFonts w:ascii="Arial" w:cs="Arial" w:eastAsia="Arial" w:hAnsi="Arial"/>
          <w:b/>
          <w:bCs/>
          <w:color w:val="0D7D7E"/>
          <w:sz w:val="24"/>
          <w:szCs w:val="24"/>
        </w:rPr>
        <w:t xml:space="preserve">29.1  Test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000"/>
        <w:gridCol w:w="1600"/>
        <w:gridCol w:w="1160"/>
      </w:tblGrid>
      <w:tr>
        <w:tc>
          <w:tcPr>
            <w:tcW w:type="dxa" w:w="1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LAYER</w:t>
            </w:r>
          </w:p>
        </w:tc>
        <w:tc>
          <w:tcPr>
            <w:tcW w:type="dxa" w:w="3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SCOPE</w:t>
            </w:r>
          </w:p>
        </w:tc>
        <w:tc>
          <w:tcPr>
            <w:tcW w:type="dxa" w:w="2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FRAMEWORK</w:t>
            </w:r>
          </w:p>
        </w:tc>
        <w:tc>
          <w:tcPr>
            <w:tcW w:type="dxa" w:w="1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COVERAGE TARGET</w:t>
            </w:r>
          </w:p>
        </w:tc>
        <w:tc>
          <w:tcPr>
            <w:tcW w:type="dxa" w:w="11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PRIORITY</w:t>
            </w:r>
          </w:p>
        </w:tc>
      </w:tr>
      <w:tr>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Unit tests</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 Engine rule functions. Emission factor calculations. Voyage derivation algorithm. BDN CO2 calculation. EUA obligation formula. Timestamp/proration logic.</w:t>
            </w:r>
          </w:p>
        </w:tc>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Jest (Node.js) or pytest (Python)</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 90% of calculation functions</w:t>
            </w:r>
          </w:p>
        </w:tc>
        <w:tc>
          <w:tcPr>
            <w:tcW w:type="dxa" w:w="1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Critical — build first</w:t>
            </w:r>
          </w:p>
        </w:tc>
      </w:tr>
      <w:tr>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Integration tests</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API endpoints with real database (Supabase local). OCR pipeline with fixture BDN documents. AIS processing with fixture position data. Report generation with fixture fleet data.</w:t>
            </w:r>
          </w:p>
        </w:tc>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Jest + Supabase local CLI</w:t>
            </w:r>
          </w:p>
        </w:tc>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 80% of API endpoints</w:t>
            </w:r>
          </w:p>
        </w:tc>
        <w:tc>
          <w:tcPr>
            <w:tcW w:type="dxa" w:w="1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High — build in parallel with features</w:t>
            </w:r>
          </w:p>
        </w:tc>
      </w:tr>
      <w:tr>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Compliance scenario tests</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End-to-end compliance scenarios: onboard vessel → import AIS → process BDN → run engine → generate report. Test against known correct outputs from regulatory worked examples.</w:t>
            </w:r>
          </w:p>
        </w:tc>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Jest + Playwright (E2E)</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Cover all 10 primary user journeys</w:t>
            </w:r>
          </w:p>
        </w:tc>
        <w:tc>
          <w:tcPr>
            <w:tcW w:type="dxa" w:w="1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High — critical for regulatory credibility</w:t>
            </w:r>
          </w:p>
        </w:tc>
      </w:tr>
      <w:tr>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Regression tests</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After any change to emission factor tables, compliance rules, or report generation logic, re-run full suite to detect unintended changes to outputs.</w:t>
            </w:r>
          </w:p>
        </w:tc>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CI/CD pipeline — automated on every PR</w:t>
            </w:r>
          </w:p>
        </w:tc>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100% of prior test suite</w:t>
            </w:r>
          </w:p>
        </w:tc>
        <w:tc>
          <w:tcPr>
            <w:tcW w:type="dxa" w:w="1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Critical — never skip</w:t>
            </w:r>
          </w:p>
        </w:tc>
      </w:tr>
      <w:tr>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Property-based tests</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Generate random (but valid) BDN inputs and verify that: CO2 ≥ 0, CO2 ≤ quantity_mt × max_emission_factor, WtW ≥ TtW (always), etc.</w:t>
            </w:r>
          </w:p>
        </w:tc>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fast-check (JS) or hypothesis (Python)</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Key calculation functions</w:t>
            </w:r>
          </w:p>
        </w:tc>
        <w:tc>
          <w:tcPr>
            <w:tcW w:type="dxa" w:w="1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Medium</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29.2  Compliance Calculation Test Cases</w:t>
      </w:r>
    </w:p>
    <w:p>
      <w:pPr>
        <w:spacing w:after="100" w:before="0"/>
        <w:jc w:val="both"/>
      </w:pPr>
      <w:r>
        <w:rPr>
          <w:rFonts w:ascii="Arial" w:cs="Arial" w:eastAsia="Arial" w:hAnsi="Arial"/>
          <w:color w:val="1A2332"/>
          <w:sz w:val="19"/>
          <w:szCs w:val="19"/>
        </w:rPr>
        <w:t xml:space="preserve">The following test cases must be included in the unit test suite. Each case tests a specific regulatory calculation against a known-correct output derived from the regulatory documentation.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c>
          <w:tcPr>
            <w:tcW w:type="dxa" w:w="2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TEST CASE</w:t>
            </w:r>
          </w:p>
        </w:tc>
        <w:tc>
          <w:tcPr>
            <w:tcW w:type="dxa" w:w="2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INPUT</w:t>
            </w:r>
          </w:p>
        </w:tc>
        <w:tc>
          <w:tcPr>
            <w:tcW w:type="dxa" w:w="2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EXPECTED OUTPUT</w:t>
            </w:r>
          </w:p>
        </w:tc>
        <w:tc>
          <w:tcPr>
            <w:tcW w:type="dxa" w:w="21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REGULATORY SOURCE</w:t>
            </w:r>
          </w:p>
        </w:tc>
      </w:tr>
      <w:tr>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VLSFO EU ETS TtW</w:t>
            </w:r>
          </w:p>
        </w:tc>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fuel_type: VLSFO, quantity_mt: 100</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co2_ttw_tonnes: 314.44</w:t>
            </w:r>
          </w:p>
        </w:tc>
        <w:tc>
          <w:tcPr>
            <w:tcW w:type="dxa" w:w="2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MARPOL Annex VI EF = 3.1144 tCO2/tFuel</w:t>
            </w:r>
          </w:p>
        </w:tc>
      </w:tr>
      <w:tr>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MGO EU ETS TtW</w:t>
            </w:r>
          </w:p>
        </w:tc>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fuel_type: MGO, quantity_mt: 50</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co2_ttw_tonnes: 157.15</w:t>
            </w:r>
          </w:p>
        </w:tc>
        <w:tc>
          <w:tcPr>
            <w:tcW w:type="dxa" w:w="2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MARPOL Annex VI EF = 3.1430 tCO2/tFuel</w:t>
            </w:r>
          </w:p>
        </w:tc>
      </w:tr>
      <w:tr>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LNG EU ETS TtW</w:t>
            </w:r>
          </w:p>
        </w:tc>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fuel_type: LNG, quantity_mt: 30</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co2_ttw_tonnes: 61.65</w:t>
            </w:r>
          </w:p>
        </w:tc>
        <w:tc>
          <w:tcPr>
            <w:tcW w:type="dxa" w:w="2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MARPOL Annex VI EF = 2.755 tCO2/tFuel</w:t>
            </w:r>
          </w:p>
        </w:tc>
      </w:tr>
      <w:tr>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Intra-EU voyage coverage</w:t>
            </w:r>
          </w:p>
        </w:tc>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voyage_type: intra_eu, covered_co2: 200, year: 2026</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eua_obligation: 200.00 (100% coverage from 2026)</w:t>
            </w:r>
          </w:p>
        </w:tc>
        <w:tc>
          <w:tcPr>
            <w:tcW w:type="dxa" w:w="2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 ETS Directive, 2026 phase-in schedule</w:t>
            </w:r>
          </w:p>
        </w:tc>
      </w:tr>
      <w:tr>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Third-country voyage coverage</w:t>
            </w:r>
          </w:p>
        </w:tc>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voyage_type: eu_to_third, covered_co2: 200, year: 2026</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eua_obligation: 100.00 (50% coverage)</w:t>
            </w:r>
          </w:p>
        </w:tc>
        <w:tc>
          <w:tcPr>
            <w:tcW w:type="dxa" w:w="2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 ETS Directive Article 3(b)</w:t>
            </w:r>
          </w:p>
        </w:tc>
      </w:tr>
      <w:tr>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Multi-year voyage proration</w:t>
            </w:r>
          </w:p>
        </w:tc>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departure: 2025-12-28T12:00:00Z, arrival: 2026-01-03T10:00:00Z, total_fuel_mt: 84</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fuel_2025: 42 MT (3 days / 6 days total × 84), fuel_2026: 42 MT</w:t>
            </w:r>
          </w:p>
        </w:tc>
        <w:tc>
          <w:tcPr>
            <w:tcW w:type="dxa" w:w="2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 MRV Regulation — annual proration</w:t>
            </w:r>
          </w:p>
        </w:tc>
      </w:tr>
      <w:tr>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FuelEU GHG intensity (VLSFO)</w:t>
            </w:r>
          </w:p>
        </w:tc>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fuel_type: VLSFO, quantity_mt: 100, lhv: 40.2 MJ/kg</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energy_mj: 4,020,000, ghg_intensity: 88.00 gCO2e/MJ (WtW)</w:t>
            </w:r>
          </w:p>
        </w:tc>
        <w:tc>
          <w:tcPr>
            <w:tcW w:type="dxa" w:w="2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 Annex II default WtW factor for VLSFO</w:t>
            </w:r>
          </w:p>
        </w:tc>
      </w:tr>
      <w:tr>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FuelEU compliance balance (surplus)</w:t>
            </w:r>
          </w:p>
        </w:tc>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actual_ghg_intensity: 89.00 gCO2e/MJ, target_2025: 91.16 × 0.98 = 89.34</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compliance_balance: +0.34 (surplus)</w:t>
            </w:r>
          </w:p>
        </w:tc>
        <w:tc>
          <w:tcPr>
            <w:tcW w:type="dxa" w:w="2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 Regulation Article 4 — 2% reduction 2025–2029</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30.  Performance Requirements and Scaling Architecture</w:t>
      </w:r>
    </w:p>
    <w:p>
      <w:pPr>
        <w:spacing w:after="60" w:before="0"/>
      </w:pPr>
      <w:r>
        <w:t xml:space="preserve"/>
      </w:r>
    </w:p>
    <w:p>
      <w:pPr>
        <w:spacing w:after="100" w:before="0"/>
        <w:jc w:val="both"/>
      </w:pPr>
      <w:r>
        <w:rPr>
          <w:rFonts w:ascii="Arial" w:cs="Arial" w:eastAsia="Arial" w:hAnsi="Arial"/>
          <w:color w:val="1A2332"/>
          <w:sz w:val="19"/>
          <w:szCs w:val="19"/>
        </w:rPr>
        <w:t xml:space="preserve">Poseidon Ledger is not a high-traffic consumer application. The primary performance requirements are: fast dashboard loads for compliance managers, reliable asynchronous processing of OCR and AIS jobs, and the ability to generate fleet-level reports for 100+ vessels without timeout. This section specifies performance targets and the architectural choices that achieve them.</w:t>
      </w:r>
    </w:p>
    <w:p>
      <w:pPr>
        <w:spacing w:after="60" w:before="0"/>
      </w:pPr>
      <w:r>
        <w:t xml:space="preserve"/>
      </w:r>
    </w:p>
    <w:p>
      <w:pPr>
        <w:pStyle w:val="Heading2"/>
        <w:spacing w:after="80" w:before="280"/>
      </w:pPr>
      <w:r>
        <w:rPr>
          <w:rFonts w:ascii="Arial" w:cs="Arial" w:eastAsia="Arial" w:hAnsi="Arial"/>
          <w:b/>
          <w:bCs/>
          <w:color w:val="0D7D7E"/>
          <w:sz w:val="24"/>
          <w:szCs w:val="24"/>
        </w:rPr>
        <w:t xml:space="preserve">30.1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OPERATION</w:t>
            </w:r>
          </w:p>
        </w:tc>
        <w:tc>
          <w:tcPr>
            <w:tcW w:type="dxa" w:w="2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TARGET LATENCY</w:t>
            </w:r>
          </w:p>
        </w:tc>
        <w:tc>
          <w:tcPr>
            <w:tcW w:type="dxa" w:w="39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NOTES</w:t>
            </w:r>
          </w:p>
        </w:tc>
      </w:tr>
      <w:tr>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Dashboard load (fleet overview)</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&lt; 1.5 seconds (P95)</w:t>
            </w:r>
          </w:p>
        </w:tc>
        <w:tc>
          <w:tcPr>
            <w:tcW w:type="dxa" w:w="3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Cached fleet summary. Supabase Realtime for live alerts. React Query stale-while-revalidate.</w:t>
            </w:r>
          </w:p>
        </w:tc>
      </w:tr>
      <w:tr>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Vessel detail page load</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&lt; 2 seconds (P95)</w:t>
            </w:r>
          </w:p>
        </w:tc>
        <w:tc>
          <w:tcPr>
            <w:tcW w:type="dxa" w:w="3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Voyage list paginated (20/page). BDN list paginated. ETS record single query.</w:t>
            </w:r>
          </w:p>
        </w:tc>
      </w:tr>
      <w:tr>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BDN upload → OCR complete</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&lt; 90 seconds (P95)</w:t>
            </w:r>
          </w:p>
        </w:tc>
        <w:tc>
          <w:tcPr>
            <w:tcW w:type="dxa" w:w="3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Queue to Google Document AI typically 20–60 seconds. Compliance Engine run post-OCR: &lt; 5 seconds.</w:t>
            </w:r>
          </w:p>
        </w:tc>
      </w:tr>
      <w:tr>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AIS voyage derivation (full year, 1 vessel)</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&lt; 30 seconds</w:t>
            </w:r>
          </w:p>
        </w:tc>
        <w:tc>
          <w:tcPr>
            <w:tcW w:type="dxa" w:w="3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TimescaleDB query on ais_positions hypertable + voyage derivation algorithm. Run in background.</w:t>
            </w:r>
          </w:p>
        </w:tc>
      </w:tr>
      <w:tr>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THETIS-MRV report generation (1 vessel, 1 year)</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&lt; 60 seconds</w:t>
            </w:r>
          </w:p>
        </w:tc>
        <w:tc>
          <w:tcPr>
            <w:tcW w:type="dxa" w:w="3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Background job. XML generation from pre-calculated ETS record + voyage query.</w:t>
            </w:r>
          </w:p>
        </w:tc>
      </w:tr>
      <w:tr>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THETIS-MRV report generation (30 vessels, 1 year)</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&lt; 10 minutes</w:t>
            </w:r>
          </w:p>
        </w:tc>
        <w:tc>
          <w:tcPr>
            <w:tcW w:type="dxa" w:w="3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Parallel background job per vessel. Result assembled on completion.</w:t>
            </w:r>
          </w:p>
        </w:tc>
      </w:tr>
      <w:tr>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Compliance Engine full-fleet validation (50 vessels)</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&lt; 5 minutes</w:t>
            </w:r>
          </w:p>
        </w:tc>
        <w:tc>
          <w:tcPr>
            <w:tcW w:type="dxa" w:w="3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Parallelised per vessel. Background job. Nightly run at 02:00 UTC.</w:t>
            </w:r>
          </w:p>
        </w:tc>
      </w:tr>
      <w:tr>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API endpoint (read operations)</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&lt; 200ms (P95)</w:t>
            </w:r>
          </w:p>
        </w:tc>
        <w:tc>
          <w:tcPr>
            <w:tcW w:type="dxa" w:w="3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Database queries with indexes. Connection pooling via Supabase PgBouncer.</w:t>
            </w:r>
          </w:p>
        </w:tc>
      </w:tr>
      <w:tr>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API endpoint (write operations)</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&lt; 500ms (P95)</w:t>
            </w:r>
          </w:p>
        </w:tc>
        <w:tc>
          <w:tcPr>
            <w:tcW w:type="dxa" w:w="3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Write + audit log entry + compliance trigger. Transaction-wrapped.</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30.2  Database Performance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OPTIMISATION</w:t>
            </w:r>
          </w:p>
        </w:tc>
        <w:tc>
          <w:tcPr>
            <w:tcW w:type="dxa" w:w="2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IMPLEMENTATION</w:t>
            </w:r>
          </w:p>
        </w:tc>
        <w:tc>
          <w:tcPr>
            <w:tcW w:type="dxa" w:w="41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RATIONALE</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Connection pooling</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Supabase PgBouncer in transaction mode. Pool size: 20 connections per API instance.</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Prevents connection exhaustion under load. Transaction mode required for Supabase Row Level Security.</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TimescaleDB for AIS positions</w:t>
            </w:r>
          </w:p>
        </w:tc>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ais_positions as hypertable, partitioned by 7-day chunks. Compression on chunks &gt; 30 days old.</w:t>
            </w:r>
          </w:p>
        </w:tc>
        <w:tc>
          <w:tcPr>
            <w:tcW w:type="dxa" w:w="4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AIS position table will grow to hundreds of millions of rows over 3 years. TimescaleDB compression reduces storage by 95%+ while maintaining query performance.</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Materialised views for fleet summary</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Materialised view: fleet_compliance_summary (org_id, year, vessel_count, total_co2, fleet_risk_score). Refreshed nightly.</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Fleet overview dashboard query hits the materialised view (&lt; 10ms) instead of aggregating across millions of voyage rows.</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Voyage CO2 pre-calculation</w:t>
            </w:r>
          </w:p>
        </w:tc>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CO2 figures stored on each voyage record (not calculated on-the-fly). Updated when fuel deliveries are modified.</w:t>
            </w:r>
          </w:p>
        </w:tc>
        <w:tc>
          <w:tcPr>
            <w:tcW w:type="dxa" w:w="4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Eliminates real-time aggregation from report generation. Report queries sum pre-calculated voyage CO2 values.</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Document OCR result caching</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OCR result stored in ocr_jobs.extracted_data (JSONB). Never re-runs OCR on the same document unless explicitly requested.</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OCR costs money per page. Caching prevents duplicate charges and speeds up re-processing workflows.</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31.  Internationalisation and Localisation</w:t>
      </w:r>
    </w:p>
    <w:p>
      <w:pPr>
        <w:spacing w:after="60" w:before="0"/>
      </w:pPr>
      <w:r>
        <w:t xml:space="preserve"/>
      </w:r>
    </w:p>
    <w:p>
      <w:pPr>
        <w:spacing w:after="100" w:before="0"/>
        <w:jc w:val="both"/>
      </w:pPr>
      <w:r>
        <w:rPr>
          <w:rFonts w:ascii="Arial" w:cs="Arial" w:eastAsia="Arial" w:hAnsi="Arial"/>
          <w:color w:val="1A2332"/>
          <w:sz w:val="19"/>
          <w:szCs w:val="19"/>
        </w:rPr>
        <w:t xml:space="preserve">The primary market is Mediterranean fleet management companies. Their compliance managers and office staff are predominantly French, Italian, Spanish, Greek, and English-speaking. The platform must be fully functional in at least English and French from Phase 1, with Italian, Spanish, and Greek added in Phase 2.</w:t>
      </w:r>
    </w:p>
    <w:p>
      <w:pPr>
        <w:spacing w:after="60" w:before="0"/>
      </w:pPr>
      <w:r>
        <w:t xml:space="preserve"/>
      </w:r>
    </w:p>
    <w:p>
      <w:pPr>
        <w:pStyle w:val="Heading2"/>
        <w:spacing w:after="80" w:before="280"/>
      </w:pPr>
      <w:r>
        <w:rPr>
          <w:rFonts w:ascii="Arial" w:cs="Arial" w:eastAsia="Arial" w:hAnsi="Arial"/>
          <w:b/>
          <w:bCs/>
          <w:color w:val="0D7D7E"/>
          <w:sz w:val="24"/>
          <w:szCs w:val="24"/>
        </w:rPr>
        <w:t xml:space="preserve">31.1  Language Support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LANGUAGE</w:t>
            </w:r>
          </w:p>
        </w:tc>
        <w:tc>
          <w:tcPr>
            <w:tcW w:type="dxa" w:w="1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PHASE</w:t>
            </w:r>
          </w:p>
        </w:tc>
        <w:tc>
          <w:tcPr>
            <w:tcW w:type="dxa" w:w="63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RATIONALE</w:t>
            </w:r>
          </w:p>
        </w:tc>
      </w:tr>
      <w:tr>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English</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Phase 1 (MVP)</w:t>
            </w:r>
          </w:p>
        </w:tc>
        <w:tc>
          <w:tcPr>
            <w:tcW w:type="dxa" w:w="6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International maritime language. All THETIS-MRV documentation is in English. Used by Hill Robinson, Burgess Fleet, Y.CO, and most Tier A ICP.</w:t>
            </w:r>
          </w:p>
        </w:tc>
      </w:tr>
      <w:tr>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French</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Phase 1 (MVP)</w:t>
            </w:r>
          </w:p>
        </w:tc>
        <w:tc>
          <w:tcPr>
            <w:tcW w:type="dxa" w:w="6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Monaco, Antibes, Cannes are primarily French-speaking. Camper &amp; Nicholsons Paris, CMB Monaco. French regulatory communications.</w:t>
            </w:r>
          </w:p>
        </w:tc>
      </w:tr>
      <w:tr>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Italian</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Phase 2</w:t>
            </w:r>
          </w:p>
        </w:tc>
        <w:tc>
          <w:tcPr>
            <w:tcW w:type="dxa" w:w="6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Porto Cervo, Palermo, Genova charter community. Italian is primary language for Sardinian and Sicilian operators.</w:t>
            </w:r>
          </w:p>
        </w:tc>
      </w:tr>
      <w:tr>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Spanish</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Phase 2</w:t>
            </w:r>
          </w:p>
        </w:tc>
        <w:tc>
          <w:tcPr>
            <w:tcW w:type="dxa" w:w="6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Barcelona, Palma de Mallorca, Ibiza. Large Spanish charter fleet. Growing Iberian compliance market.</w:t>
            </w:r>
          </w:p>
        </w:tc>
      </w:tr>
      <w:tr>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Greek</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Phase 2</w:t>
            </w:r>
          </w:p>
        </w:tc>
        <w:tc>
          <w:tcPr>
            <w:tcW w:type="dxa" w:w="6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Piraeus, Athens, Greek island charter operators. Greece has large superyacht management sector.</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31.2  Implementation Approach</w:t>
      </w:r>
    </w:p>
    <w:p>
      <w:pPr>
        <w:pStyle w:val="ListParagraph"/>
        <w:numPr>
          <w:ilvl w:val="0"/>
          <w:numId w:val="2"/>
        </w:numPr>
        <w:spacing w:after="60" w:before="20"/>
      </w:pPr>
      <w:r>
        <w:rPr>
          <w:rFonts w:ascii="Arial" w:cs="Arial" w:eastAsia="Arial" w:hAnsi="Arial"/>
          <w:color w:val="1A2332"/>
          <w:sz w:val="19"/>
          <w:szCs w:val="19"/>
        </w:rPr>
        <w:t xml:space="preserve">Next.js i18n routing: /en, /fr, /it, /es, /gr URL prefixes. Browser language detection for default locale.</w:t>
      </w:r>
    </w:p>
    <w:p>
      <w:pPr>
        <w:pStyle w:val="ListParagraph"/>
        <w:numPr>
          <w:ilvl w:val="0"/>
          <w:numId w:val="2"/>
        </w:numPr>
        <w:spacing w:after="60" w:before="20"/>
      </w:pPr>
      <w:r>
        <w:rPr>
          <w:rFonts w:ascii="Arial" w:cs="Arial" w:eastAsia="Arial" w:hAnsi="Arial"/>
          <w:color w:val="1A2332"/>
          <w:sz w:val="19"/>
          <w:szCs w:val="19"/>
        </w:rPr>
        <w:t xml:space="preserve">next-intl library for message formatting (plurals, number formatting, date formatting per locale).</w:t>
      </w:r>
    </w:p>
    <w:p>
      <w:pPr>
        <w:pStyle w:val="ListParagraph"/>
        <w:numPr>
          <w:ilvl w:val="0"/>
          <w:numId w:val="2"/>
        </w:numPr>
        <w:spacing w:after="60" w:before="20"/>
      </w:pPr>
      <w:r>
        <w:rPr>
          <w:rFonts w:ascii="Arial" w:cs="Arial" w:eastAsia="Arial" w:hAnsi="Arial"/>
          <w:color w:val="1A2332"/>
          <w:sz w:val="19"/>
          <w:szCs w:val="19"/>
        </w:rPr>
        <w:t xml:space="preserve">All UI strings extracted to JSON message files from day one of development. No hardcoded strings in components.</w:t>
      </w:r>
    </w:p>
    <w:p>
      <w:pPr>
        <w:pStyle w:val="ListParagraph"/>
        <w:numPr>
          <w:ilvl w:val="0"/>
          <w:numId w:val="2"/>
        </w:numPr>
        <w:spacing w:after="60" w:before="20"/>
      </w:pPr>
      <w:r>
        <w:rPr>
          <w:rFonts w:ascii="Arial" w:cs="Arial" w:eastAsia="Arial" w:hAnsi="Arial"/>
          <w:color w:val="1A2332"/>
          <w:sz w:val="19"/>
          <w:szCs w:val="19"/>
        </w:rPr>
        <w:t xml:space="preserve">Compliance report text (THETIS-MRV, ESG credentials) always generated in English (regulatory requirement) regardless of UI locale.</w:t>
      </w:r>
    </w:p>
    <w:p>
      <w:pPr>
        <w:pStyle w:val="ListParagraph"/>
        <w:numPr>
          <w:ilvl w:val="0"/>
          <w:numId w:val="2"/>
        </w:numPr>
        <w:spacing w:after="60" w:before="20"/>
      </w:pPr>
      <w:r>
        <w:rPr>
          <w:rFonts w:ascii="Arial" w:cs="Arial" w:eastAsia="Arial" w:hAnsi="Arial"/>
          <w:color w:val="1A2332"/>
          <w:sz w:val="19"/>
          <w:szCs w:val="19"/>
        </w:rPr>
        <w:t xml:space="preserve">Date formatting: EU convention (DD/MM/YYYY) for display. ISO 8601 (YYYY-MM-DDTHH:MM:SSZ) for all database storage and API communication.</w:t>
      </w:r>
    </w:p>
    <w:p>
      <w:pPr>
        <w:pStyle w:val="ListParagraph"/>
        <w:numPr>
          <w:ilvl w:val="0"/>
          <w:numId w:val="2"/>
        </w:numPr>
        <w:spacing w:after="60" w:before="20"/>
      </w:pPr>
      <w:r>
        <w:rPr>
          <w:rFonts w:ascii="Arial" w:cs="Arial" w:eastAsia="Arial" w:hAnsi="Arial"/>
          <w:color w:val="1A2332"/>
          <w:sz w:val="19"/>
          <w:szCs w:val="19"/>
        </w:rPr>
        <w:t xml:space="preserve">Number formatting: Comma decimal separator for French/Italian/Spanish/Greek (e.g. 3.145,50 tonnes CO2). Period decimal for English.</w:t>
      </w:r>
    </w:p>
    <w:p>
      <w:pPr>
        <w:pStyle w:val="ListParagraph"/>
        <w:numPr>
          <w:ilvl w:val="0"/>
          <w:numId w:val="2"/>
        </w:numPr>
        <w:spacing w:after="60" w:before="20"/>
      </w:pPr>
      <w:r>
        <w:rPr>
          <w:rFonts w:ascii="Arial" w:cs="Arial" w:eastAsia="Arial" w:hAnsi="Arial"/>
          <w:color w:val="1A2332"/>
          <w:sz w:val="19"/>
          <w:szCs w:val="19"/>
        </w:rPr>
        <w:t xml:space="preserve">Currency: Always displayed in EUR (€) with European number formatting.</w:t>
      </w:r>
    </w:p>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32.  Data Migration and Customer Onboarding</w:t>
      </w:r>
    </w:p>
    <w:p>
      <w:pPr>
        <w:spacing w:after="60" w:before="0"/>
      </w:pPr>
      <w:r>
        <w:t xml:space="preserve"/>
      </w:r>
    </w:p>
    <w:p>
      <w:pPr>
        <w:spacing w:after="100" w:before="0"/>
        <w:jc w:val="both"/>
      </w:pPr>
      <w:r>
        <w:rPr>
          <w:rFonts w:ascii="Arial" w:cs="Arial" w:eastAsia="Arial" w:hAnsi="Arial"/>
          <w:color w:val="1A2332"/>
          <w:sz w:val="19"/>
          <w:szCs w:val="19"/>
        </w:rPr>
        <w:t xml:space="preserve">Fleet managers switching to Poseidon Ledger will arrive with existing compliance data: spreadsheets with prior-year fuel records, PDF BDN archives, and partly-assembled THETIS-MRV submissions. The onboarding process must give them a path to import this historical data cleanly, without losing prior-year audit evidence.</w:t>
      </w:r>
    </w:p>
    <w:p>
      <w:pPr>
        <w:spacing w:after="60" w:before="0"/>
      </w:pPr>
      <w:r>
        <w:t xml:space="preserve"/>
      </w:r>
    </w:p>
    <w:p>
      <w:pPr>
        <w:pStyle w:val="Heading2"/>
        <w:spacing w:after="80" w:before="280"/>
      </w:pPr>
      <w:r>
        <w:rPr>
          <w:rFonts w:ascii="Arial" w:cs="Arial" w:eastAsia="Arial" w:hAnsi="Arial"/>
          <w:b/>
          <w:bCs/>
          <w:color w:val="0D7D7E"/>
          <w:sz w:val="24"/>
          <w:szCs w:val="24"/>
        </w:rPr>
        <w:t xml:space="preserve">32.1  Historical Data Import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DATA TYPE</w:t>
            </w:r>
          </w:p>
        </w:tc>
        <w:tc>
          <w:tcPr>
            <w:tcW w:type="dxa" w:w="2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IMPORT METHOD</w:t>
            </w:r>
          </w:p>
        </w:tc>
        <w:tc>
          <w:tcPr>
            <w:tcW w:type="dxa" w:w="2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PROCESSING PIPELINE</w:t>
            </w:r>
          </w:p>
        </w:tc>
        <w:tc>
          <w:tcPr>
            <w:tcW w:type="dxa" w:w="23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COMPLETENESS REQUIREMENT</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Prior-year BDNs (PDF archive)</w:t>
            </w:r>
          </w:p>
        </w:tc>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Bulk upload: drag-and-drop ZIP of PDF files. System processes each through OCR pipeline.</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Standard OCR pipeline. Review queue for low-confidence extractions. Historical fuel delivery records created.</w:t>
            </w:r>
          </w:p>
        </w:tc>
        <w:tc>
          <w:tcPr>
            <w:tcW w:type="dxa" w:w="2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Recommended: upload at least 3 years of BDNs on onboarding. Required: current year + prior year minimum.</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Spreadsheet fuel records</w:t>
            </w:r>
          </w:p>
        </w:tc>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CSV import template (provided). Fields: imo_number, delivery_date, port_locode, fuel_type_iso, quantity_mt, bdn_number.</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Validation against vessel registry and emission factor table. Creates fuel_delivery records with source='import', ocr_status='skipped'.</w:t>
            </w:r>
          </w:p>
        </w:tc>
        <w:tc>
          <w:tcPr>
            <w:tcW w:type="dxa" w:w="2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Optional: covers periods where BDN PDFs unavailable.</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AIS historical data</w:t>
            </w:r>
          </w:p>
        </w:tc>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Automatic: AIS backfill requested for 3 years on vessel add.</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Standard voyage derivation pipeline. Runs as background job on onboarding. Typically completes within 24 hours for 3-year backfill.</w:t>
            </w:r>
          </w:p>
        </w:tc>
        <w:tc>
          <w:tcPr>
            <w:tcW w:type="dxa" w:w="2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Required: full 3-year backfill for historical audit coverage.</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Prior THETIS-MRV submissions</w:t>
            </w:r>
          </w:p>
        </w:tc>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XML upload. System parses and stores historical submission reference data.</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XML parsing to extract: submission date, covered CO2, EUA obligation, verifier name. Stored in ets_records as historical reference.</w:t>
            </w:r>
          </w:p>
        </w:tc>
        <w:tc>
          <w:tcPr>
            <w:tcW w:type="dxa" w:w="2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Optional: gives verifier continuity evidence.</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Monitoring Plan (current version)</w:t>
            </w:r>
          </w:p>
        </w:tc>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PDF upload. Gap analysis run immediately.</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OCR + structured field entry. Gap analysis report generated within minutes.</w:t>
            </w:r>
          </w:p>
        </w:tc>
        <w:tc>
          <w:tcPr>
            <w:tcW w:type="dxa" w:w="2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Required: must be uploaded within 7 days of organisation creation.</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32.2  72-Hour Onboarding Guarantee (Fleet Tier)</w:t>
      </w:r>
    </w:p>
    <w:p>
      <w:pPr>
        <w:spacing w:after="100" w:before="0"/>
        <w:jc w:val="both"/>
      </w:pPr>
      <w:r>
        <w:rPr>
          <w:rFonts w:ascii="Arial" w:cs="Arial" w:eastAsia="Arial" w:hAnsi="Arial"/>
          <w:color w:val="1A2332"/>
          <w:sz w:val="19"/>
          <w:szCs w:val="19"/>
        </w:rPr>
        <w:t xml:space="preserve">The 72-hour onboarding guarantee is a key commercial commitment for Fleet tier clients. It means that within 72 hours of signing, the fleet is active in Poseidon Ledger with AIS data flowing and BDN upload capabilities live. The following is the internal procedure that makes this possible.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c>
          <w:tcPr>
            <w:tcW w:type="dxa" w:w="1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HOUR</w:t>
            </w:r>
          </w:p>
        </w:tc>
        <w:tc>
          <w:tcPr>
            <w:tcW w:type="dxa" w:w="5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ACTION</w:t>
            </w:r>
          </w:p>
        </w:tc>
        <w:tc>
          <w:tcPr>
            <w:tcW w:type="dxa" w:w="27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RESPONSIBLE</w:t>
            </w:r>
          </w:p>
        </w:tc>
      </w:tr>
      <w:tr>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0–1</w:t>
            </w:r>
          </w:p>
        </w:tc>
        <w:tc>
          <w:tcPr>
            <w:tcW w:type="dxa" w:w="5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Account created. Fleet and vessels added. IMO numbers entered. AIS sync triggered. Monitoring Plan upload requested.</w:t>
            </w:r>
          </w:p>
        </w:tc>
        <w:tc>
          <w:tcPr>
            <w:tcW w:type="dxa" w:w="2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Poseidon Ledger onboarding + customer</w:t>
            </w:r>
          </w:p>
        </w:tc>
      </w:tr>
      <w:tr>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1–6</w:t>
            </w:r>
          </w:p>
        </w:tc>
        <w:tc>
          <w:tcPr>
            <w:tcW w:type="dxa" w:w="5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AIS backfill job runs. Voyage derivation processes 3 years of position data. Initial voyage list populated in dashboard.</w:t>
            </w:r>
          </w:p>
        </w:tc>
        <w:tc>
          <w:tcPr>
            <w:tcW w:type="dxa" w:w="2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System (automated)</w:t>
            </w:r>
          </w:p>
        </w:tc>
      </w:tr>
      <w:tr>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6–24</w:t>
            </w:r>
          </w:p>
        </w:tc>
        <w:tc>
          <w:tcPr>
            <w:tcW w:type="dxa" w:w="5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Customer uploads BDN archive. OCR pipeline processes. Review queue populated. Customer reviews and approves extracted records.</w:t>
            </w:r>
          </w:p>
        </w:tc>
        <w:tc>
          <w:tcPr>
            <w:tcW w:type="dxa" w:w="2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Customer + System</w:t>
            </w:r>
          </w:p>
        </w:tc>
      </w:tr>
      <w:tr>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24–48</w:t>
            </w:r>
          </w:p>
        </w:tc>
        <w:tc>
          <w:tcPr>
            <w:tcW w:type="dxa" w:w="5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 Engine runs full fleet validation. Gap analysis on Monitoring Plan. First compliance risk score generated. First EUA exposure estimate available.</w:t>
            </w:r>
          </w:p>
        </w:tc>
        <w:tc>
          <w:tcPr>
            <w:tcW w:type="dxa" w:w="2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System (automated) + Customer review</w:t>
            </w:r>
          </w:p>
        </w:tc>
      </w:tr>
      <w:tr>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48–72</w:t>
            </w:r>
          </w:p>
        </w:tc>
        <w:tc>
          <w:tcPr>
            <w:tcW w:type="dxa" w:w="5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Onboarding call: Poseidon team reviews risk score with compliance manager. Open violations reviewed. Report generation tested with prior-year data.</w:t>
            </w:r>
          </w:p>
        </w:tc>
        <w:tc>
          <w:tcPr>
            <w:tcW w:type="dxa" w:w="2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Poseidon Ledger team + Customer</w:t>
            </w:r>
          </w:p>
        </w:tc>
      </w:tr>
      <w:tr>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72</w:t>
            </w:r>
          </w:p>
        </w:tc>
        <w:tc>
          <w:tcPr>
            <w:tcW w:type="dxa" w:w="5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Guarantee met: fleet is live, AIS flowing, BDNs processed, compliance dashboard active, open violations identified.</w:t>
            </w:r>
          </w:p>
        </w:tc>
        <w:tc>
          <w:tcPr>
            <w:tcW w:type="dxa" w:w="2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Poseidon Ledger confirms</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33.  Support and Customer Success Architecture</w:t>
      </w:r>
    </w:p>
    <w:p>
      <w:pPr>
        <w:spacing w:after="60" w:before="0"/>
      </w:pPr>
      <w:r>
        <w:t xml:space="preserve"/>
      </w:r>
    </w:p>
    <w:p>
      <w:pPr>
        <w:spacing w:after="100" w:before="0"/>
        <w:jc w:val="both"/>
      </w:pPr>
      <w:r>
        <w:rPr>
          <w:rFonts w:ascii="Arial" w:cs="Arial" w:eastAsia="Arial" w:hAnsi="Arial"/>
          <w:color w:val="1A2332"/>
          <w:sz w:val="19"/>
          <w:szCs w:val="19"/>
        </w:rPr>
        <w:t xml:space="preserve">In a compliance product, a support interaction is never just a technical question — it is often a regulatory question with a deadline attached. The support architecture must reflect this: fast response times, compliance expertise in the support team, and proactive monitoring that identifies struggling customers before they ask for help.</w:t>
      </w:r>
    </w:p>
    <w:p>
      <w:pPr>
        <w:spacing w:after="60" w:before="0"/>
      </w:pPr>
      <w:r>
        <w:t xml:space="preserve"/>
      </w:r>
    </w:p>
    <w:p>
      <w:pPr>
        <w:pStyle w:val="Heading2"/>
        <w:spacing w:after="80" w:before="280"/>
      </w:pPr>
      <w:r>
        <w:rPr>
          <w:rFonts w:ascii="Arial" w:cs="Arial" w:eastAsia="Arial" w:hAnsi="Arial"/>
          <w:b/>
          <w:bCs/>
          <w:color w:val="0D7D7E"/>
          <w:sz w:val="24"/>
          <w:szCs w:val="24"/>
        </w:rPr>
        <w:t xml:space="preserve">33.1  Support 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960"/>
      </w:tblGrid>
      <w:tr>
        <w:tc>
          <w:tcPr>
            <w:tcW w:type="dxa" w:w="1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TIER</w:t>
            </w:r>
          </w:p>
        </w:tc>
        <w:tc>
          <w:tcPr>
            <w:tcW w:type="dxa" w:w="2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SLA</w:t>
            </w:r>
          </w:p>
        </w:tc>
        <w:tc>
          <w:tcPr>
            <w:tcW w:type="dxa" w:w="3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CHANNELS</w:t>
            </w:r>
          </w:p>
        </w:tc>
        <w:tc>
          <w:tcPr>
            <w:tcW w:type="dxa" w:w="29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STAFFING</w:t>
            </w:r>
          </w:p>
        </w:tc>
      </w:tr>
      <w:tr>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Navigator</w:t>
            </w:r>
          </w:p>
        </w:tc>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48-hour response.</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In-app help widget (Crisp or Intercom). Documentation portal.</w:t>
            </w:r>
          </w:p>
        </w:tc>
        <w:tc>
          <w:tcPr>
            <w:tcW w:type="dxa" w:w="2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Async only. Documentation-first.</w:t>
            </w:r>
          </w:p>
        </w:tc>
      </w:tr>
      <w:tr>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Fleet</w:t>
            </w:r>
          </w:p>
        </w:tc>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24-hour response. 4-hour response for Critical severity.</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In-app chat. Email. Monthly onboarding call.</w:t>
            </w:r>
          </w:p>
        </w:tc>
        <w:tc>
          <w:tcPr>
            <w:tcW w:type="dxa" w:w="2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Dedicated support queue. Compliance expertise required.</w:t>
            </w:r>
          </w:p>
        </w:tc>
      </w:tr>
      <w:tr>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Sovereign</w:t>
            </w:r>
          </w:p>
        </w:tc>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4-hour response. Monthly compliance review call.</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In-app chat. Email. Direct phone. Dedicated account manager.</w:t>
            </w:r>
          </w:p>
        </w:tc>
        <w:tc>
          <w:tcPr>
            <w:tcW w:type="dxa" w:w="2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Named account manager. Quarterly business review.</w:t>
            </w:r>
          </w:p>
        </w:tc>
      </w:tr>
      <w:tr>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Critical — all tiers</w:t>
            </w:r>
          </w:p>
        </w:tc>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1-hour response if report generation blocked with active deadline (&lt; 7 days to surrender or submission deadline).</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Emergency phone line (Sovereign). Email escalation path (Fleet).</w:t>
            </w:r>
          </w:p>
        </w:tc>
        <w:tc>
          <w:tcPr>
            <w:tcW w:type="dxa" w:w="2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On-call coverage required September (EUA surrender season).</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33.2  Proactive Customer Health Monitoring</w:t>
      </w:r>
    </w:p>
    <w:p>
      <w:pPr>
        <w:spacing w:after="100" w:before="0"/>
        <w:jc w:val="both"/>
      </w:pPr>
      <w:r>
        <w:rPr>
          <w:rFonts w:ascii="Arial" w:cs="Arial" w:eastAsia="Arial" w:hAnsi="Arial"/>
          <w:color w:val="1A2332"/>
          <w:sz w:val="19"/>
          <w:szCs w:val="19"/>
        </w:rPr>
        <w:t xml:space="preserve">The customer health score is calculated weekly for each organisation and drives proactive outreach before a customer reaches a compliance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 Weekly health score calculation (0 = at-risk, 100 = healthy)
function calculateCustomerHealthScore(orgId, currentDate) {
  const metrics = {
    // Engagement signals
    last_login_days_ago:        (currentDate - org.lastLoginAt) / 86400000,
    documents_uploaded_30d:     count(documents WHERE org_id=X AND created_at &gt; 30d ago),
    bdn_review_queue_age_days:  avg(ocr_jobs WHERE org=X AND status='review_required', created_at),
    // Compliance signals
    fleet_risk_score:           org.fleetRiskScore,        // from Compliance Engine
    open_error_violations:      count(violations WHERE org=X AND severity='error'),
    days_to_next_deadline:      getNextDeadlineDays(orgId),
    // Product adoption signals
    vessels_with_ais_active:    count(vessels WHERE ais_sync_enabled=TRUE),
    reports_generated:          count(reports WHERE org=X AND created_at &gt; 90d ago),
  };
  // Scoring weights (sum to 100)
  const score =
    (metrics.last_login_days_ago &lt; 7 ? 15 : metrics.last_login_days_ago &lt; 14 ? 8 : 0) +
    (metrics.documents_uploaded_30d &gt; 5 ? 20 : metrics.documents_uploaded_30d &gt; 1 ? 10 : 0) +
    (metrics.fleet_risk_score &lt; 30 ? 25 : metrics.fleet_risk_score &lt; 60 ? 12 : 0) +
    (metrics.open_error_violations === 0 ? 20 : metrics.open_error_violations &lt; 3 ? 8 : 0) +
    (metrics.days_to_next_deadline &gt; 30 ? 20 : metrics.days_to_next_deadline &gt; 14 ? 10 : 0);
  // Trigger outreach if score &lt; 50
  if (score &lt; 50) {
    await crm.createTask({
      type: 'proactive_outreach',
      org_id: orgId,
      reason: identifyPrimaryRiskFactor(metrics),
      priority: score &lt; 30 ? 'urgent' : 'normal'
    });
  }
  return score;
}</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34.  Future Expansion Modules — Detailed Specifications</w:t>
      </w:r>
    </w:p>
    <w:p>
      <w:pPr>
        <w:spacing w:after="60" w:before="0"/>
      </w:pPr>
      <w:r>
        <w:t xml:space="preserve"/>
      </w:r>
    </w:p>
    <w:p>
      <w:pPr>
        <w:spacing w:after="100" w:before="0"/>
        <w:jc w:val="both"/>
      </w:pPr>
      <w:r>
        <w:rPr>
          <w:rFonts w:ascii="Arial" w:cs="Arial" w:eastAsia="Arial" w:hAnsi="Arial"/>
          <w:color w:val="1A2332"/>
          <w:sz w:val="19"/>
          <w:szCs w:val="19"/>
        </w:rPr>
        <w:t xml:space="preserve">This section specifies future modules that are architecturally designed for but not built in the MVP. Each module has a dependency on the core platform data model, which means the data schema must accommodate them from day one even if the feature is not yet built.</w:t>
      </w:r>
    </w:p>
    <w:p>
      <w:pPr>
        <w:spacing w:after="60" w:before="0"/>
      </w:pPr>
      <w:r>
        <w:t xml:space="preserve"/>
      </w:r>
    </w:p>
    <w:p>
      <w:pPr>
        <w:pStyle w:val="Heading2"/>
        <w:spacing w:after="80" w:before="280"/>
      </w:pPr>
      <w:r>
        <w:rPr>
          <w:rFonts w:ascii="Arial" w:cs="Arial" w:eastAsia="Arial" w:hAnsi="Arial"/>
          <w:b/>
          <w:bCs/>
          <w:color w:val="0D7D7E"/>
          <w:sz w:val="24"/>
          <w:szCs w:val="24"/>
        </w:rPr>
        <w:t xml:space="preserve">34.1  FuelEU Pooling Management Module (Phase 2)</w:t>
      </w:r>
    </w:p>
    <w:p>
      <w:pPr>
        <w:spacing w:after="100" w:before="0"/>
        <w:jc w:val="both"/>
      </w:pPr>
      <w:r>
        <w:rPr>
          <w:rFonts w:ascii="Arial" w:cs="Arial" w:eastAsia="Arial" w:hAnsi="Arial"/>
          <w:color w:val="1A2332"/>
          <w:sz w:val="19"/>
          <w:szCs w:val="19"/>
        </w:rPr>
        <w:t xml:space="preserve">FuelEU Maritime allows operators to form pools where compliance surpluses from fuel-efficient vessels offset deficits in older diesel vessels. This module manages the pooling arrangement and tracks each member's contribution.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FEATURE</w:t>
            </w:r>
          </w:p>
        </w:tc>
        <w:tc>
          <w:tcPr>
            <w:tcW w:type="dxa" w:w="69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Pool creation</w:t>
            </w:r>
          </w:p>
        </w:tc>
        <w:tc>
          <w:tcPr>
            <w:tcW w:type="dxa" w:w="6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Org Admin creates a pool (pool_id). Invites other organisations as pool members. Pool Lead is the regulatory responsible party.</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Compliance balance tracking</w:t>
            </w:r>
          </w:p>
        </w:tc>
        <w:tc>
          <w:tcPr>
            <w:tcW w:type="dxa" w:w="6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Each vessel in pool contributes its FuelEU compliance balance (surplus/deficit) to the pool aggregate. OceanScore Pool-Price Index (OPX) consumed as reference for balance pricing.</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Surplus brokerage</w:t>
            </w:r>
          </w:p>
        </w:tc>
        <w:tc>
          <w:tcPr>
            <w:tcW w:type="dxa" w:w="6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Poseidon Ledger can connect fleet clients with FuelEU compliance surplus to buyers seeking to offset deficits. 6–9% commission on matched balance transactions.</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Pool report generation</w:t>
            </w:r>
          </w:p>
        </w:tc>
        <w:tc>
          <w:tcPr>
            <w:tcW w:type="dxa" w:w="6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 pool aggregate report showing each member's contribution, total pool balance, and compliance determination.</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Data model additions</w:t>
            </w:r>
          </w:p>
        </w:tc>
        <w:tc>
          <w:tcPr>
            <w:tcW w:type="dxa" w:w="6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fueleu_pools table (pool_id, lead_org_id, member_org_ids[], reporting_year). fueleu_records.pool_id foreign key already present in schema.</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34.2  Propulsion Telemetry Module (Phase 3 — Argos Integration)</w:t>
      </w:r>
    </w:p>
    <w:p>
      <w:pPr>
        <w:spacing w:after="100" w:before="0"/>
        <w:jc w:val="both"/>
      </w:pPr>
      <w:r>
        <w:rPr>
          <w:rFonts w:ascii="Arial" w:cs="Arial" w:eastAsia="Arial" w:hAnsi="Arial"/>
          <w:color w:val="1A2332"/>
          <w:sz w:val="19"/>
          <w:szCs w:val="19"/>
        </w:rPr>
        <w:t xml:space="preserve">For vessels with digital propulsion systems (hybrid, electric, or modern diesel with NMEA 2000 data buses), real-time telemetry provides Method C or Method D fuel consumption data — significantly more accurate than BDN-based Method A.</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FEATURE</w:t>
            </w:r>
          </w:p>
        </w:tc>
        <w:tc>
          <w:tcPr>
            <w:tcW w:type="dxa" w:w="69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NMEA 2000 gateway integration</w:t>
            </w:r>
          </w:p>
        </w:tc>
        <w:tc>
          <w:tcPr>
            <w:tcW w:type="dxa" w:w="6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Certified NMEA 2000 gateway device (e.g. Yacht Devices YDSG-04) installed on vessel. Sends real-time engine data (fuel flow, RPM, shaft power) to Poseidon Ledger via satellite (Starlink) or cellular uplink.</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Real-time CO2 calculation</w:t>
            </w:r>
          </w:p>
        </w:tc>
        <w:tc>
          <w:tcPr>
            <w:tcW w:type="dxa" w:w="6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 flow rate from flowmeter × emission factor = CO2 per minute. Accumulated per voyage. Eliminates dependence on BDN-based estimation.</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Method C compliance</w:t>
            </w:r>
          </w:p>
        </w:tc>
        <w:tc>
          <w:tcPr>
            <w:tcW w:type="dxa" w:w="6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For vessels with flowmeters, real-time data satisfies EU ETS Monitoring Method C (continuous measurement). Higher accuracy, typically lower emissions figure than Method A (BDN average).</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Hybrid/electric vessel support</w:t>
            </w:r>
          </w:p>
        </w:tc>
        <w:tc>
          <w:tcPr>
            <w:tcW w:type="dxa" w:w="6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Tracks both diesel and electric energy consumption. Battery state-of-charge tracking. Shore power vs. generator separation for FuelEU OPS accounting.</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Data model additions</w:t>
            </w:r>
          </w:p>
        </w:tc>
        <w:tc>
          <w:tcPr>
            <w:tcW w:type="dxa" w:w="6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propulsion_telemetry table (vessel_id, timestamp, fuel_flow_rate_kg_h, power_kw, rpm, source='nmea2000'). TimescaleDB hypertable. vessels.has_telemetry flag.</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34.3  Marine Insurance API Module (Phase 3)</w:t>
      </w:r>
    </w:p>
    <w:p>
      <w:pPr>
        <w:spacing w:after="100" w:before="0"/>
        <w:jc w:val="both"/>
      </w:pPr>
      <w:r>
        <w:rPr>
          <w:rFonts w:ascii="Arial" w:cs="Arial" w:eastAsia="Arial" w:hAnsi="Arial"/>
          <w:color w:val="1A2332"/>
          <w:sz w:val="19"/>
          <w:szCs w:val="19"/>
        </w:rPr>
        <w:t xml:space="preserve">The insurance data export feature (Section 27) delivers a one-way data package. The Marine Insurance API module creates a bi-directional relationship where Poseidon Ledger's ESG risk score is consumed by underwriters as a live data feed for premium calculation.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 Insurance API endpoint (OAuth 2.0 scoped to insurer access)
// Read-only access to fleet ESG risk scores for specific organisation
GET /api/v1/insurance/fleet-risk-scores?org_id=&amp;year=
Response:
{
  "organisation": { "name": "CMB Monaco", "moha_account": "DE-123456" },
  "fleet_risk_summary": {
    "overall_risk_score": 24,         // 0-100
    "vessels_at_risk": 0,
    "vessels_total": 18,
    "fleet_ets_compliance_status": "on_track",
    "fleet_fueleu_compliance_status": "surplus"
  },
  "per_vessel_risk": [
    {
      "imo_number": "9876543",
      "name": "SERENITY",
      "risk_score": 18,
      "ets_covered_co2_ytd": 487,
      "green_zone_events_red_count": 0,
      "monitoring_plan_status": "current",
      "iscc_coverage_pct": 100
    },
    ...
  ],
  "data_as_of": "2026-06-18T12:00:00Z"
}</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34.4  Port Authority API Module (Phase 3)</w:t>
      </w:r>
    </w:p>
    <w:p>
      <w:pPr>
        <w:spacing w:after="100" w:before="0"/>
        <w:jc w:val="both"/>
      </w:pPr>
      <w:r>
        <w:rPr>
          <w:rFonts w:ascii="Arial" w:cs="Arial" w:eastAsia="Arial" w:hAnsi="Arial"/>
          <w:color w:val="1A2332"/>
          <w:sz w:val="19"/>
          <w:szCs w:val="19"/>
        </w:rPr>
        <w:t xml:space="preserve">The port authority module creates a data pipe from Poseidon Ledger to berth management systems at partner ports. When enabled, a vessel's Poseidon compliance status is readable by the port authority before the vessel arrives, enabling pre-cleared berthing for compliant vessels and advance notice for non-compliant ones.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FEATURE</w:t>
            </w:r>
          </w:p>
        </w:tc>
        <w:tc>
          <w:tcPr>
            <w:tcW w:type="dxa" w:w="69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Port partner onboarding</w:t>
            </w:r>
          </w:p>
        </w:tc>
        <w:tc>
          <w:tcPr>
            <w:tcW w:type="dxa" w:w="6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Port authority registered as a data partner (not a Poseidon Ledger customer). API credentials issued with read-only access to vessel compliance status for vessels calling at their port.</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Pre-arrival compliance check</w:t>
            </w:r>
          </w:p>
        </w:tc>
        <w:tc>
          <w:tcPr>
            <w:tcW w:type="dxa" w:w="6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Port authority queries: GET /api/v1/port-authority/vessel-compliance?imo=9876543&amp;arrival_date=2026-08-15. Returns: compliance_status (GREEN/AMBER/RED), specific requirements outstanding, Monitoring Plan currency.</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Priority berthing integration</w:t>
            </w:r>
          </w:p>
        </w:tc>
        <w:tc>
          <w:tcPr>
            <w:tcW w:type="dxa" w:w="6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GREEN status vessels receive automated berth allocation confirmation. RED status triggers manual review flag in port management system. Commercial value: reduces port check-in friction for compliant fleets.</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Data model additions</w:t>
            </w:r>
          </w:p>
        </w:tc>
        <w:tc>
          <w:tcPr>
            <w:tcW w:type="dxa" w:w="6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port_authority_partners table (id, port_locode, org_name, api_key_hash, active). port_authority_access_log (partner_id, imo_queried, timestamp) — tracked for billing and audit.</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34.5  IMO DCS Integration (Phase 4)</w:t>
      </w:r>
    </w:p>
    <w:p>
      <w:pPr>
        <w:spacing w:after="100" w:before="0"/>
        <w:jc w:val="both"/>
      </w:pPr>
      <w:r>
        <w:rPr>
          <w:rFonts w:ascii="Arial" w:cs="Arial" w:eastAsia="Arial" w:hAnsi="Arial"/>
          <w:color w:val="1A2332"/>
          <w:sz w:val="19"/>
          <w:szCs w:val="19"/>
        </w:rPr>
        <w:t xml:space="preserve">The International Maritime Organization's Data Collection System (IMO DCS) runs parallel to EU MRV and requires annual fuel consumption reporting for vessels ≥ 5,000 GT globally. Poseidon Ledger's core data model already collects the same underlying data (fuel consumption, voyage records) that IMO DCS requires. Integration is primarily a reporting format output, not a new data collection capability.</w:t>
      </w:r>
    </w:p>
    <w:p>
      <w:pPr>
        <w:pStyle w:val="ListParagraph"/>
        <w:numPr>
          <w:ilvl w:val="0"/>
          <w:numId w:val="2"/>
        </w:numPr>
        <w:spacing w:after="60" w:before="20"/>
      </w:pPr>
      <w:r>
        <w:rPr>
          <w:rFonts w:ascii="Arial" w:cs="Arial" w:eastAsia="Arial" w:hAnsi="Arial"/>
          <w:color w:val="1A2332"/>
          <w:sz w:val="19"/>
          <w:szCs w:val="19"/>
        </w:rPr>
        <w:t xml:space="preserve">IMO DCS requires: annual fuel oil consumption by fuel type, distance travelled, hours underway, transport work where applicable.</w:t>
      </w:r>
    </w:p>
    <w:p>
      <w:pPr>
        <w:pStyle w:val="ListParagraph"/>
        <w:numPr>
          <w:ilvl w:val="0"/>
          <w:numId w:val="2"/>
        </w:numPr>
        <w:spacing w:after="60" w:before="20"/>
      </w:pPr>
      <w:r>
        <w:rPr>
          <w:rFonts w:ascii="Arial" w:cs="Arial" w:eastAsia="Arial" w:hAnsi="Arial"/>
          <w:color w:val="1A2332"/>
          <w:sz w:val="19"/>
          <w:szCs w:val="19"/>
        </w:rPr>
        <w:t xml:space="preserve">All required inputs are already present in voyages and fuel_deliveries tables.</w:t>
      </w:r>
    </w:p>
    <w:p>
      <w:pPr>
        <w:pStyle w:val="ListParagraph"/>
        <w:numPr>
          <w:ilvl w:val="0"/>
          <w:numId w:val="2"/>
        </w:numPr>
        <w:spacing w:after="60" w:before="20"/>
      </w:pPr>
      <w:r>
        <w:rPr>
          <w:rFonts w:ascii="Arial" w:cs="Arial" w:eastAsia="Arial" w:hAnsi="Arial"/>
          <w:color w:val="1A2332"/>
          <w:sz w:val="19"/>
          <w:szCs w:val="19"/>
        </w:rPr>
        <w:t xml:space="preserve">Output: IMO DCS report in flag state administration format (varies by flag).</w:t>
      </w:r>
    </w:p>
    <w:p>
      <w:pPr>
        <w:pStyle w:val="ListParagraph"/>
        <w:numPr>
          <w:ilvl w:val="0"/>
          <w:numId w:val="2"/>
        </w:numPr>
        <w:spacing w:after="60" w:before="20"/>
      </w:pPr>
      <w:r>
        <w:rPr>
          <w:rFonts w:ascii="Arial" w:cs="Arial" w:eastAsia="Arial" w:hAnsi="Arial"/>
          <w:color w:val="1A2332"/>
          <w:sz w:val="19"/>
          <w:szCs w:val="19"/>
        </w:rPr>
        <w:t xml:space="preserve">Timeline: Phase 4 build, targeting global shipping customers beyond Mediterranean superyacht segment.</w:t>
      </w:r>
    </w:p>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35.  Appendix A — Regulatory Reference Summary</w:t>
      </w:r>
    </w:p>
    <w:p>
      <w:pPr>
        <w:spacing w:after="60" w:before="0"/>
      </w:pPr>
      <w:r>
        <w:t xml:space="preserve"/>
      </w:r>
    </w:p>
    <w:p>
      <w:pPr>
        <w:spacing w:after="100" w:before="0"/>
        <w:jc w:val="both"/>
      </w:pPr>
      <w:r>
        <w:rPr>
          <w:rFonts w:ascii="Arial" w:cs="Arial" w:eastAsia="Arial" w:hAnsi="Arial"/>
          <w:color w:val="1A2332"/>
          <w:sz w:val="19"/>
          <w:szCs w:val="19"/>
        </w:rPr>
        <w:t xml:space="preserve">This appendix summarises the primary regulatory instruments that Poseidon Ledger is built to support. Every compliance rule in the system should be traceable to one of these instruments. Engineering team members should read the executive summaries of each before implementing compliance logic.</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c>
          <w:tcPr>
            <w:tcW w:type="dxa" w:w="1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REGULATION</w:t>
            </w:r>
          </w:p>
        </w:tc>
        <w:tc>
          <w:tcPr>
            <w:tcW w:type="dxa" w:w="2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FULL TITLE</w:t>
            </w:r>
          </w:p>
        </w:tc>
        <w:tc>
          <w:tcPr>
            <w:tcW w:type="dxa" w:w="2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KEY REQUIREMENTS</w:t>
            </w:r>
          </w:p>
        </w:tc>
        <w:tc>
          <w:tcPr>
            <w:tcW w:type="dxa" w:w="21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POSEIDON MODULES AFFECTED</w:t>
            </w:r>
          </w:p>
        </w:tc>
      </w:tr>
      <w:tr>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EU MRV Regulation</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Regulation (EU) 2015/757 on the monitoring, reporting and verification of CO2 emissions from maritime transport, as amended by Directive 2023/959.</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Annual emissions monitoring and reporting for vessels ≥ 5,000 GT on EU/EEA port calls. Monitoring Plan on THETIS-MRV. Annual verified emissions report by 31 March. Submission via THETIS-MRV platform (EMSA).</w:t>
            </w:r>
          </w:p>
        </w:tc>
        <w:tc>
          <w:tcPr>
            <w:tcW w:type="dxa" w:w="2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AIS Integration, BDN Processing, Monitoring Plan Management, EU ETS Module, THETIS-MRV Export, Compliance Engine.</w:t>
            </w:r>
          </w:p>
        </w:tc>
      </w:tr>
      <w:tr>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EU ETS Directive</w:t>
            </w:r>
          </w:p>
        </w:tc>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Directive 2003/87/EC as amended — extension to maritime from 1 January 2024. Key amending instrument: Directive 2023/959/EU.</w:t>
            </w:r>
          </w:p>
        </w:tc>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EUA surrender obligation: 40% (2024), 70% (2025), 100% (2026+). Intra-EU: 100% coverage. Third-country: 50%. Surrender by 30 September. Penalty: €100/tonne + retroactive. Article 25: port expulsion after 2 consecutive non-compliance years.</w:t>
            </w:r>
          </w:p>
        </w:tc>
        <w:tc>
          <w:tcPr>
            <w:tcW w:type="dxa" w:w="2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 ETS Module, Compliance Engine (RCR-04), Notification System, EUA Exposure Module.</w:t>
            </w:r>
          </w:p>
        </w:tc>
      </w:tr>
      <w:tr>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FuelEU Maritime</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Regulation (EU) 2023/1805 on the use of renewable and low-carbon fuels in maritime transport. Effective 1 January 2025.</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Well-to-Wake GHG intensity targets: 2% (2025–2029), 6% (2030–2034), 14.5% (2035–2039). OPS mandatory at Ten-T core ports from 2030. ISCC certification required for biofuel WtW factors. Pooling mechanism available. Penalty: ~€2,400/tonne VLSFO equivalent. First penalty cycle: June 2026 (for 2025 year).</w:t>
            </w:r>
          </w:p>
        </w:tc>
        <w:tc>
          <w:tcPr>
            <w:tcW w:type="dxa" w:w="2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 Module, BDN Processing (WtW factors), Monitoring Plan Management, ISCC Certificate tracking, FuelEU Pooling Module (Phase 2).</w:t>
            </w:r>
          </w:p>
        </w:tc>
      </w:tr>
      <w:tr>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MARPOL Annex VI</w:t>
            </w:r>
          </w:p>
        </w:tc>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International Convention for the Prevention of Pollution from Ships, Annex VI — Prevention of Air Pollution from Ships. IMO instrument, incorporated in EU law.</w:t>
            </w:r>
          </w:p>
        </w:tc>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Default emission factors per fuel type (used for TtW CO2 calculation). SOx 0.1% limit in ECA (Mediterranean is SECA). NOx limits for new engines. IMO DCS fuel consumption reporting for vessels ≥ 5,000 GT.</w:t>
            </w:r>
          </w:p>
        </w:tc>
        <w:tc>
          <w:tcPr>
            <w:tcW w:type="dxa" w:w="2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BDN Processing (emission factors), Green Zone Module (SOx limits), IMO DCS Module (Phase 4).</w:t>
            </w:r>
          </w:p>
        </w:tc>
      </w:tr>
      <w:tr>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FuelEU Guidance</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European Commission / EMSA Guidance Document for Implementation of FuelEU Maritime Regulation — October 2025.</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Non-binding but practically determinative. Specifies: Monitoring Plan amendment requirements (Section 8.2), risk assessment chapters (Section 8.2.1), WtW factor documentation (Section 8.2.2), ISCC certification process, OPS documentation methodology.</w:t>
            </w:r>
          </w:p>
        </w:tc>
        <w:tc>
          <w:tcPr>
            <w:tcW w:type="dxa" w:w="2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Monitoring Plan Management, Compliance Engine rules (FEU-01 to FEU-05), OCR Pipeline (ISCC recognition), AI Assistant knowledge base.</w:t>
            </w:r>
          </w:p>
        </w:tc>
      </w:tr>
      <w:tr>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EU Ports Strategy</w:t>
            </w:r>
          </w:p>
        </w:tc>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COM(2026) 112 final — EU Ports Strategy, European Commission, 4 March 2026. Supporting document: SWD(2026) 81.</w:t>
            </w:r>
          </w:p>
        </w:tc>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Framework for port-level environmental access requirements. Enables ports to use verified environmental data as berth allocation criterion. Barcelona and Palma specifically reference this framework.</w:t>
            </w:r>
          </w:p>
        </w:tc>
        <w:tc>
          <w:tcPr>
            <w:tcW w:type="dxa" w:w="2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Green Zone Module, Port Authority API Module (Phase 3).</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35.1  Key Dates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DATE</w:t>
            </w:r>
          </w:p>
        </w:tc>
        <w:tc>
          <w:tcPr>
            <w:tcW w:type="dxa" w:w="3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EVENT</w:t>
            </w:r>
          </w:p>
        </w:tc>
        <w:tc>
          <w:tcPr>
            <w:tcW w:type="dxa" w:w="41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POSEIDON ACTION REQUIRED</w:t>
            </w:r>
          </w:p>
        </w:tc>
      </w:tr>
      <w:tr>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31 January (annual)</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 Maritime annual report due to accredited verifier.</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 annual report generated and delivered to verifier by this date.</w:t>
            </w:r>
          </w:p>
        </w:tc>
      </w:tr>
      <w:tr>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31 March (annual)</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 ETS annual emissions report (THETIS-MRV submission deadline).</w:t>
            </w:r>
          </w:p>
        </w:tc>
        <w:tc>
          <w:tcPr>
            <w:tcW w:type="dxa" w:w="4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THETIS-MRV XML generated and verified data package ready for submission.</w:t>
            </w:r>
          </w:p>
        </w:tc>
      </w:tr>
      <w:tr>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30 April (annual)</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 compliance balance confirmation deadline.</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 compliance balance confirmed. Pooling arrangements finalised.</w:t>
            </w:r>
          </w:p>
        </w:tc>
      </w:tr>
      <w:tr>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30 June (annual)</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 penalty payment deadline (for deficit vessels).</w:t>
            </w:r>
          </w:p>
        </w:tc>
        <w:tc>
          <w:tcPr>
            <w:tcW w:type="dxa" w:w="4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Penalty exposure clearly communicated to fleet manager if in deficit.</w:t>
            </w:r>
          </w:p>
        </w:tc>
      </w:tr>
      <w:tr>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30 September (annual)</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 ETS EUA surrender deadline.</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EUA surrender tracking. Cost estimate updated daily. Critical alert at 30 days, 14 days, 7 days.</w:t>
            </w:r>
          </w:p>
        </w:tc>
      </w:tr>
      <w:tr>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1 October (annual)</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Start of annual Monitoring Plan review window.</w:t>
            </w:r>
          </w:p>
        </w:tc>
        <w:tc>
          <w:tcPr>
            <w:tcW w:type="dxa" w:w="4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Automated reminder: review Monitoring Plan for next compliance year.</w:t>
            </w:r>
          </w:p>
        </w:tc>
      </w:tr>
      <w:tr>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1 January (annual)</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New compliance year begins. Current-year monitoring starts fresh.</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New ets_records and fueleu_records created for new year. Voyage derivation continues.</w:t>
            </w:r>
          </w:p>
        </w:tc>
      </w:tr>
    </w:tbl>
    <w:p>
      <w:pPr>
        <w:spacing w:after="60" w:before="0"/>
      </w:pPr>
      <w:r>
        <w:t xml:space="preserve"/>
      </w:r>
    </w:p>
    <w:p>
      <w:pPr>
        <w:pBdr>
          <w:top w:val="single" w:color="0D7D7E" w:sz="8" w:space="8"/>
          <w:bottom w:val="single" w:color="C5CDD8" w:sz="2" w:space="8"/>
        </w:pBdr>
        <w:spacing w:after="0" w:before="200"/>
      </w:pPr>
      <w:r>
        <w:rPr>
          <w:rFonts w:ascii="Arial" w:cs="Arial" w:eastAsia="Arial" w:hAnsi="Arial"/>
          <w:i/>
          <w:iCs/>
          <w:color w:val="5A6475"/>
          <w:sz w:val="18"/>
          <w:szCs w:val="18"/>
        </w:rPr>
        <w:t xml:space="preserve">End of Poseidon Ledger Product Architecture &amp; Technical Roadmap  —  Part 3 of 3  —  v1.0  —  June 2026</w:t>
      </w:r>
    </w:p>
    <w:p>
      <w:pPr>
        <w:spacing w:after="80" w:before="0"/>
      </w:pPr>
      <w:r>
        <w:t xml:space="preserve"/>
      </w:r>
    </w:p>
    <w:p>
      <w:pPr>
        <w:spacing w:after="0" w:before="0"/>
      </w:pPr>
      <w:r>
        <w:rPr>
          <w:rFonts w:ascii="Arial" w:cs="Arial" w:eastAsia="Arial" w:hAnsi="Arial"/>
          <w:color w:val="5A6475"/>
          <w:sz w:val="17"/>
          <w:szCs w:val="17"/>
        </w:rPr>
        <w:t xml:space="preserve">Poseidon Ledger Ltd  |  gabriel@poseidonledger.com  |  poseidonledger.com  |  Confidential — Internal Use Only</w:t>
      </w:r>
    </w:p>
    <w:sectPr>
      <w:headerReference w:type="default" r:id="rId7"/>
      <w:footerReference w:type="default" r:id="rId8"/>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8" w:sz="4" w:space="4"/>
      </w:pBdr>
      <w:spacing w:after="0" w:before="0"/>
    </w:pPr>
    <w:r>
      <w:rPr>
        <w:rFonts w:ascii="Arial" w:cs="Arial" w:eastAsia="Arial" w:hAnsi="Arial"/>
        <w:color w:val="5A6475"/>
        <w:sz w:val="14"/>
        <w:szCs w:val="14"/>
      </w:rPr>
      <w:t xml:space="preserve">Poseidon Ledger  |  Internal Product Specification  |  v1.0     </w:t>
    </w:r>
    <w:r>
      <w:rPr>
        <w:rFonts w:ascii="Arial" w:cs="Arial" w:eastAsia="Arial" w:hAnsi="Arial"/>
        <w:color w:val="5A6475"/>
        <w:sz w:val="14"/>
        <w:szCs w:val="14"/>
      </w:rPr>
      <w:t xml:space="preserve">Page </w:t>
    </w:r>
    <w:r>
      <w:rPr>
        <w:rFonts w:ascii="Arial" w:cs="Arial" w:eastAsia="Arial" w:hAnsi="Arial"/>
        <w:color w:val="5A647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342" w:sz="6" w:space="4"/>
      </w:pBdr>
      <w:spacing w:after="0" w:before="0"/>
    </w:pPr>
    <w:r>
      <w:rPr>
        <w:rFonts w:ascii="Arial" w:cs="Arial" w:eastAsia="Arial" w:hAnsi="Arial"/>
        <w:b/>
        <w:bCs/>
        <w:color w:val="0A2342"/>
        <w:sz w:val="15"/>
        <w:szCs w:val="15"/>
      </w:rPr>
      <w:t xml:space="preserve">POSEIDON LEDGER  </w:t>
    </w:r>
    <w:r>
      <w:rPr>
        <w:rFonts w:ascii="Arial" w:cs="Arial" w:eastAsia="Arial" w:hAnsi="Arial"/>
        <w:color w:val="5A6475"/>
        <w:sz w:val="15"/>
        <w:szCs w:val="15"/>
      </w:rPr>
      <w:t xml:space="preserve">Product Architecture &amp; Technical Roadmap  |  Part 3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8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A2342"/>
      <w:sz w:val="30"/>
      <w:szCs w:val="30"/>
    </w:rPr>
  </w:style>
  <w:style w:type="paragraph" w:styleId="Heading2">
    <w:name w:val="Heading 2"/>
    <w:basedOn w:val="Normal"/>
    <w:next w:val="Normal"/>
    <w:qFormat/>
    <w:pPr>
      <w:spacing w:after="80" w:before="280"/>
      <w:outlineLvl w:val="1"/>
    </w:pPr>
    <w:rPr>
      <w:rFonts w:ascii="Arial" w:cs="Arial" w:eastAsia="Arial" w:hAnsi="Arial"/>
      <w:b/>
      <w:bCs/>
      <w:color w:val="0D7D7E"/>
      <w:sz w:val="24"/>
      <w:szCs w:val="24"/>
    </w:rPr>
  </w:style>
  <w:style w:type="paragraph" w:styleId="Heading3">
    <w:name w:val="Heading 3"/>
    <w:basedOn w:val="Normal"/>
    <w:next w:val="Normal"/>
    <w:qFormat/>
    <w:pPr>
      <w:spacing w:after="60" w:before="200"/>
      <w:outlineLvl w:val="2"/>
    </w:pPr>
    <w:rPr>
      <w:rFonts w:ascii="Arial" w:cs="Arial" w:eastAsia="Arial" w:hAnsi="Arial"/>
      <w:b/>
      <w:bCs/>
      <w:color w:val="1A233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2026-07-01T09:47:37.955Z</dcterms:created>
  <dcterms:modified xsi:type="dcterms:W3CDTF">2026-07-01T09:47:38.004Z</dcterms:modified>
</cp:coreProperties>
</file>

<file path=docProps/custom.xml><?xml version="1.0" encoding="utf-8"?>
<Properties xmlns="http://schemas.openxmlformats.org/officeDocument/2006/custom-properties" xmlns:vt="http://schemas.openxmlformats.org/officeDocument/2006/docPropsVTypes"/>
</file>