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051"/>
            </w:pPr>
          </w:p>
          <w:p>
            <w:pPr>
              <w:pBdr>
                <w:bottom w:val="single" w:color="529286" w:sz="6" w:space="8"/>
              </w:pBdr>
              <w:spacing w:after="500"/>
              <w:ind w:left="1200" w:right="800"/>
            </w:pPr>
            <w:r>
              <w:rPr>
                <w:rFonts w:ascii="Calibri"/>
                <w:color w:val="529286"/>
                <w:spacing w:val="40"/>
                <w:sz w:val="18"/>
                <w:szCs w:val="18"/>
              </w:rPr>
              <w:t xml:space="preserve">T  E  C  H  N  I  C  A  L     R  E  F  E  R  E  N  C  E</w:t>
            </w:r>
          </w:p>
          <w:p>
            <w:pPr>
              <w:spacing w:after="100" w:line="966" w:lineRule="atLeast"/>
              <w:ind w:left="1200"/>
            </w:pPr>
            <w:r>
              <w:rPr>
                <w:rFonts w:ascii="Times New Roman"/>
                <w:b/>
                <w:bCs/>
                <w:color w:val="FFFFFF"/>
                <w:sz w:val="84"/>
                <w:szCs w:val="84"/>
              </w:rPr>
              <w:t xml:space="preserve">Maritime Calculations</w:t>
            </w:r>
          </w:p>
          <w:p>
            <w:pPr>
              <w:spacing w:after="300" w:line="966" w:lineRule="atLeast"/>
              <w:ind w:left="1200"/>
            </w:pPr>
            <w:r>
              <w:rPr>
                <w:rFonts w:ascii="Times New Roman"/>
                <w:b/>
                <w:bCs/>
                <w:color w:val="FFFFFF"/>
                <w:sz w:val="84"/>
                <w:szCs w:val="84"/>
              </w:rPr>
              <w:t xml:space="preserve">Reference</w:t>
            </w:r>
          </w:p>
          <w:p>
            <w:pPr>
              <w:spacing w:after="800" w:line="360" w:lineRule="atLeast"/>
              <w:ind w:left="1200" w:right="800"/>
            </w:pPr>
            <w:r>
              <w:rPr>
                <w:rFonts w:ascii="Times New Roman"/>
                <w:color w:val="B0B8C0"/>
                <w:sz w:val="24"/>
                <w:szCs w:val="24"/>
              </w:rPr>
              <w:t xml:space="preserve">Engineering Reference Manual — Compliance, Voyage &amp; Charter Performance</w:t>
            </w:r>
          </w:p>
          <w:p>
            <w:pPr>
              <w:pBdr>
                <w:left w:val="single" w:color="529286" w:sz="8" w:space="12"/>
              </w:pBdr>
              <w:spacing w:after="80"/>
              <w:ind w:left="1400"/>
            </w:pPr>
            <w:r>
              <w:rPr>
                <w:rFonts w:ascii="Times New Roman"/>
                <w:color w:val="90989F"/>
                <w:sz w:val="22"/>
                <w:szCs w:val="22"/>
              </w:rPr>
              <w:t xml:space="preserve">Prepared for: Poseidon Ledger</w:t>
            </w:r>
          </w:p>
          <w:p>
            <w:pPr>
              <w:pBdr>
                <w:left w:val="single" w:color="529286" w:sz="8" w:space="12"/>
              </w:pBdr>
              <w:spacing w:after="80"/>
              <w:ind w:left="1400"/>
            </w:pPr>
            <w:r>
              <w:rPr>
                <w:rFonts w:ascii="Times New Roman"/>
                <w:color w:val="90989F"/>
                <w:sz w:val="22"/>
                <w:szCs w:val="22"/>
              </w:rPr>
              <w:t xml:space="preserve">Sources: IMO · EU Regulations · BIMCO/NYPE · ISO · SNAME/ITTC</w:t>
            </w:r>
          </w:p>
          <w:p>
            <w:pPr>
              <w:pBdr>
                <w:left w:val="single" w:color="529286" w:sz="8" w:space="12"/>
              </w:pBdr>
              <w:spacing w:after="80"/>
              <w:ind w:left="1400"/>
            </w:pPr>
            <w:r>
              <w:rPr>
                <w:rFonts w:ascii="Times New Roman"/>
                <w:color w:val="90989F"/>
                <w:sz w:val="22"/>
                <w:szCs w:val="22"/>
              </w:rPr>
              <w:t xml:space="preserve">23 calculation topics with formulas, variables, worked examples</w:t>
            </w:r>
          </w:p>
          <w:p>
            <w:pPr>
              <w:pBdr>
                <w:left w:val="single" w:color="529286" w:sz="8" w:space="12"/>
              </w:pBdr>
              <w:spacing w:after="80"/>
              <w:ind w:left="1400"/>
            </w:pPr>
            <w:r>
              <w:rPr>
                <w:rFonts w:ascii="Times New Roman"/>
                <w:color w:val="90989F"/>
                <w:sz w:val="22"/>
                <w:szCs w:val="22"/>
              </w:rPr>
              <w:t xml:space="preserve">Reference date: July 2026</w:t>
            </w:r>
          </w:p>
          <w:p>
            <w:pPr>
              <w:spacing w:before="4051"/>
            </w:pPr>
          </w:p>
          <w:p>
            <w:pPr>
              <w:pBdr>
                <w:top w:val="single" w:color="529286" w:sz="2" w:space="8"/>
              </w:pBdr>
              <w:spacing w:before="200"/>
              <w:ind w:left="1200" w:right="800"/>
            </w:pPr>
            <w:r>
              <w:rPr>
                <w:rFonts w:ascii="Calibri"/>
                <w:color w:val="687078"/>
                <w:sz w:val="16"/>
                <w:szCs w:val="16"/>
              </w:rPr>
              <w:t xml:space="preserve">Poseidon Ledger</w:t>
            </w:r>
            <w:r>
              <w:t xml:space="preserve">                                        </w:t>
            </w:r>
            <w:r>
              <w:rPr>
                <w:rFonts w:ascii="Calibri"/>
                <w:color w:val="687078"/>
                <w:sz w:val="16"/>
                <w:szCs w:val="16"/>
              </w:rPr>
              <w:t xml:space="preserve">Engineering Reference Series</w:t>
            </w:r>
          </w:p>
        </w:tc>
      </w:tr>
    </w:tbl>
    <w:p>
      <w:pPr>
        <w:sectPr>
          <w:pgSz w:w="11906" w:h="16838" w:orient="portrait"/>
          <w:pgMar w:top="0" w:right="0" w:bottom="0" w:left="0" w:header="708" w:footer="708" w:gutter="0"/>
          <w:pgNumType/>
          <w:docGrid w:linePitch="360"/>
        </w:sectPr>
      </w:pPr>
    </w:p>
    <w:p>
      <w:pPr>
        <w:spacing w:after="240" w:before="240"/>
        <w:jc w:val="center"/>
      </w:pPr>
      <w:r>
        <w:rPr>
          <w:rFonts w:ascii="Times New Roman"/>
          <w:b/>
          <w:bCs/>
          <w:color w:val="0B1C2C"/>
          <w:sz w:val="32"/>
          <w:szCs w:val="32"/>
        </w:rPr>
        <w:t xml:space="preserve">How to Use This Reference</w:t>
      </w:r>
    </w:p>
    <w:p>
      <w:pPr>
        <w:spacing w:after="80" w:line="312"/>
        <w:ind w:firstLine="360"/>
        <w:jc w:val="both"/>
      </w:pPr>
      <w:r>
        <w:rPr>
          <w:rFonts w:ascii="Times New Roman"/>
          <w:color w:val="000000"/>
          <w:sz w:val="22"/>
          <w:szCs w:val="22"/>
        </w:rPr>
        <w:t xml:space="preserve">This manual is an engineering reference for the principal quantitative methods used in maritime compliance, voyage performance and charter-party evaluation. Each of the twenty-three topics follows the same six-part structure: Formula, Variable Definitions, Units, Worked Example, Practical Use, Limitations and Official Source.</w:t>
      </w:r>
    </w:p>
    <w:p>
      <w:pPr>
        <w:spacing w:after="80" w:line="312"/>
        <w:ind w:firstLine="360"/>
        <w:jc w:val="both"/>
      </w:pPr>
      <w:r>
        <w:rPr>
          <w:rFonts w:ascii="Times New Roman"/>
          <w:color w:val="000000"/>
          <w:sz w:val="22"/>
          <w:szCs w:val="22"/>
        </w:rPr>
        <w:t xml:space="preserve">Formulas are drawn from the cited official sources: IMO resolutions (MEPC series) and MARPOL Annex VI, EU regulations (2015/757, 2023/1805, 2003/87/EC as amended by 2023/959), BIMCO and NYPE standard charter forms, and recognised maritime engineering references (ISO 15016, ISO 3046, SNAME, ITTC). Where a parameter (such as a ship-type coefficient) is defined in an annex table that is periodically revised, the structure of the formula is given and the reader is directed to the current source for the numerical value.</w:t>
      </w:r>
    </w:p>
    <w:p>
      <w:pPr>
        <w:spacing w:after="80" w:line="312"/>
        <w:ind w:firstLine="360"/>
        <w:jc w:val="both"/>
      </w:pPr>
      <w:r>
        <w:rPr>
          <w:rFonts w:ascii="Times New Roman"/>
          <w:color w:val="000000"/>
          <w:sz w:val="22"/>
          <w:szCs w:val="22"/>
        </w:rPr>
        <w:t xml:space="preserve">Worked examples are illustrative: the numbers are realistic but are chosen to demonstrate the arithmetic, not to assert any specific ship's performance or a particular regulatory outcome. Operators should always compute against the current official text and the ship's own certified data.</w:t>
      </w:r>
    </w:p>
    <w:p>
      <w:pPr>
        <w:spacing w:after="80" w:line="312"/>
        <w:ind w:firstLine="360"/>
        <w:jc w:val="both"/>
      </w:pPr>
      <w:r>
        <w:rPr>
          <w:rFonts w:ascii="Times New Roman"/>
          <w:color w:val="000000"/>
          <w:sz w:val="22"/>
          <w:szCs w:val="22"/>
        </w:rPr>
        <w:t xml:space="preserve">Notation follows maritime engineering convention: superscripts are written with the caret (^) symbol and subscripts with the underscore (_) inside formulas, so that expressions read unambiguously in plain text. Units are stated in SI and maritime units (nautical mile, knot, tonne) throughout.</w:t>
      </w:r>
    </w:p>
    <w:p>
      <w:r>
        <w:br w:type="page"/>
      </w:r>
    </w:p>
    <w:p>
      <w:pPr>
        <w:spacing w:after="360" w:before="480"/>
        <w:jc w:val="center"/>
      </w:pPr>
      <w:r>
        <w:rPr>
          <w:rFonts w:ascii="Times New Roman"/>
          <w:b/>
          <w:bCs/>
          <w:color w:val="0B1C2C"/>
          <w:sz w:val="32"/>
          <w:szCs w:val="32"/>
        </w:rPr>
        <w:t xml:space="preserve">Table of Contents</w:t>
      </w:r>
    </w:p>
    <w:sdt>
      <w:sdtPr>
        <w:alias w:val="Table of Contents"/>
      </w:sdtPr>
      <w:sdtContent>
        <w:p>
          <w:r>
            <w:fldChar w:fldCharType="begin" w:dirty="true"/>
          </w:r>
          <w:r>
            <w:instrText xml:space="preserve">TOC \h \o "1-1"</w:instrText>
          </w:r>
          <w:r>
            <w:fldChar w:fldCharType="separate"/>
          </w:r>
        </w:p>
        <w:p>
          <w:pPr>
            <w:pStyle w:val="9"/>
            <w:tabs>
              <w:tab w:val="right" w:leader="dot" w:pos="9026"/>
            </w:tabs>
            <w:spacing w:before="120" w:after="60"/>
          </w:pPr>
          <w:hyperlink w:anchor="_Toc100000" w:history="1">
            <w:r>
              <w:rPr>
                <w:rStyle w:val="Hyperlink"/>
              </w:rPr>
              <w:t>1. CII — Carbon Intensity Indicator</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AER — Annual Efficiency Ratio</w:t>
            </w:r>
            <w:r>
              <w:tab/>
            </w:r>
            <w:r>
              <w:fldChar w:fldCharType="begin"/>
            </w:r>
            <w:r>
              <w:instrText xml:space="preserve"> PAGEREF _Toc100001 \h </w:instrText>
            </w:r>
            <w:r>
              <w:fldChar w:fldCharType="separate"/>
            </w:r>
            <w:r>
              <w:t>6</w:t>
            </w:r>
            <w:r>
              <w:fldChar w:fldCharType="end"/>
            </w:r>
          </w:hyperlink>
        </w:p>
        <w:p>
          <w:pPr>
            <w:pStyle w:val="9"/>
            <w:tabs>
              <w:tab w:val="right" w:leader="dot" w:pos="9026"/>
            </w:tabs>
            <w:spacing w:before="120" w:after="60"/>
          </w:pPr>
          <w:hyperlink w:anchor="_Toc100002" w:history="1">
            <w:r>
              <w:rPr>
                <w:rStyle w:val="Hyperlink"/>
              </w:rPr>
              <w:t>3. EEOI — Energy Efficiency Operational Indicator</w:t>
            </w:r>
            <w:r>
              <w:tab/>
            </w:r>
            <w:r>
              <w:fldChar w:fldCharType="begin"/>
            </w:r>
            <w:r>
              <w:instrText xml:space="preserve"> PAGEREF _Toc100002 \h </w:instrText>
            </w:r>
            <w:r>
              <w:fldChar w:fldCharType="separate"/>
            </w:r>
            <w:r>
              <w:t>9</w:t>
            </w:r>
            <w:r>
              <w:fldChar w:fldCharType="end"/>
            </w:r>
          </w:hyperlink>
        </w:p>
        <w:p>
          <w:pPr>
            <w:pStyle w:val="9"/>
            <w:tabs>
              <w:tab w:val="right" w:leader="dot" w:pos="9026"/>
            </w:tabs>
            <w:spacing w:before="120" w:after="60"/>
          </w:pPr>
          <w:hyperlink w:anchor="_Toc100003" w:history="1">
            <w:r>
              <w:rPr>
                <w:rStyle w:val="Hyperlink"/>
              </w:rPr>
              <w:t>4. EEXI — Energy Efficiency Existing Ship Index</w:t>
            </w:r>
            <w:r>
              <w:tab/>
            </w:r>
            <w:r>
              <w:fldChar w:fldCharType="begin"/>
            </w:r>
            <w:r>
              <w:instrText xml:space="preserve"> PAGEREF _Toc100003 \h </w:instrText>
            </w:r>
            <w:r>
              <w:fldChar w:fldCharType="separate"/>
            </w:r>
            <w:r>
              <w:t>12</w:t>
            </w:r>
            <w:r>
              <w:fldChar w:fldCharType="end"/>
            </w:r>
          </w:hyperlink>
        </w:p>
        <w:p>
          <w:pPr>
            <w:pStyle w:val="9"/>
            <w:tabs>
              <w:tab w:val="right" w:leader="dot" w:pos="9026"/>
            </w:tabs>
            <w:spacing w:before="120" w:after="60"/>
          </w:pPr>
          <w:hyperlink w:anchor="_Toc100004" w:history="1">
            <w:r>
              <w:rPr>
                <w:rStyle w:val="Hyperlink"/>
              </w:rPr>
              <w:t>5. EEDI — Energy Efficiency Design Index (new ships)</w:t>
            </w:r>
            <w:r>
              <w:tab/>
            </w:r>
            <w:r>
              <w:fldChar w:fldCharType="begin"/>
            </w:r>
            <w:r>
              <w:instrText xml:space="preserve"> PAGEREF _Toc100004 \h </w:instrText>
            </w:r>
            <w:r>
              <w:fldChar w:fldCharType="separate"/>
            </w:r>
            <w:r>
              <w:t>16</w:t>
            </w:r>
            <w:r>
              <w:fldChar w:fldCharType="end"/>
            </w:r>
          </w:hyperlink>
        </w:p>
        <w:p>
          <w:pPr>
            <w:pStyle w:val="9"/>
            <w:tabs>
              <w:tab w:val="right" w:leader="dot" w:pos="9026"/>
            </w:tabs>
            <w:spacing w:before="120" w:after="60"/>
          </w:pPr>
          <w:hyperlink w:anchor="_Toc100005" w:history="1">
            <w:r>
              <w:rPr>
                <w:rStyle w:val="Hyperlink"/>
              </w:rPr>
              <w:t>6. FuelEU Maritime — Well-to-Wake Intensity &amp; Compliance Balance</w:t>
            </w:r>
            <w:r>
              <w:tab/>
            </w:r>
            <w:r>
              <w:fldChar w:fldCharType="begin"/>
            </w:r>
            <w:r>
              <w:instrText xml:space="preserve"> PAGEREF _Toc100005 \h </w:instrText>
            </w:r>
            <w:r>
              <w:fldChar w:fldCharType="separate"/>
            </w:r>
            <w:r>
              <w:t>19</w:t>
            </w:r>
            <w:r>
              <w:fldChar w:fldCharType="end"/>
            </w:r>
          </w:hyperlink>
        </w:p>
        <w:p>
          <w:pPr>
            <w:pStyle w:val="9"/>
            <w:tabs>
              <w:tab w:val="right" w:leader="dot" w:pos="9026"/>
            </w:tabs>
            <w:spacing w:before="120" w:after="60"/>
          </w:pPr>
          <w:hyperlink w:anchor="_Toc100006" w:history="1">
            <w:r>
              <w:rPr>
                <w:rStyle w:val="Hyperlink"/>
              </w:rPr>
              <w:t>7. EU ETS — Maritime Emissions &amp; Allowance Surrender</w:t>
            </w:r>
            <w:r>
              <w:tab/>
            </w:r>
            <w:r>
              <w:fldChar w:fldCharType="begin"/>
            </w:r>
            <w:r>
              <w:instrText xml:space="preserve"> PAGEREF _Toc100006 \h </w:instrText>
            </w:r>
            <w:r>
              <w:fldChar w:fldCharType="separate"/>
            </w:r>
            <w:r>
              <w:t>23</w:t>
            </w:r>
            <w:r>
              <w:fldChar w:fldCharType="end"/>
            </w:r>
          </w:hyperlink>
        </w:p>
        <w:p>
          <w:pPr>
            <w:pStyle w:val="9"/>
            <w:tabs>
              <w:tab w:val="right" w:leader="dot" w:pos="9026"/>
            </w:tabs>
            <w:spacing w:before="120" w:after="60"/>
          </w:pPr>
          <w:hyperlink w:anchor="_Toc100007" w:history="1">
            <w:r>
              <w:rPr>
                <w:rStyle w:val="Hyperlink"/>
              </w:rPr>
              <w:t>8. EU MRV — Monitoring, Reporting, Verification Calculations</w:t>
            </w:r>
            <w:r>
              <w:tab/>
            </w:r>
            <w:r>
              <w:fldChar w:fldCharType="begin"/>
            </w:r>
            <w:r>
              <w:instrText xml:space="preserve"> PAGEREF _Toc100007 \h </w:instrText>
            </w:r>
            <w:r>
              <w:fldChar w:fldCharType="separate"/>
            </w:r>
            <w:r>
              <w:t>27</w:t>
            </w:r>
            <w:r>
              <w:fldChar w:fldCharType="end"/>
            </w:r>
          </w:hyperlink>
        </w:p>
        <w:p>
          <w:pPr>
            <w:pStyle w:val="9"/>
            <w:tabs>
              <w:tab w:val="right" w:leader="dot" w:pos="9026"/>
            </w:tabs>
            <w:spacing w:before="120" w:after="60"/>
          </w:pPr>
          <w:hyperlink w:anchor="_Toc100008" w:history="1">
            <w:r>
              <w:rPr>
                <w:rStyle w:val="Hyperlink"/>
              </w:rPr>
              <w:t>9. IMO DCS — Data Collection System</w:t>
            </w:r>
            <w:r>
              <w:tab/>
            </w:r>
            <w:r>
              <w:fldChar w:fldCharType="begin"/>
            </w:r>
            <w:r>
              <w:instrText xml:space="preserve"> PAGEREF _Toc100008 \h </w:instrText>
            </w:r>
            <w:r>
              <w:fldChar w:fldCharType="separate"/>
            </w:r>
            <w:r>
              <w:t>30</w:t>
            </w:r>
            <w:r>
              <w:fldChar w:fldCharType="end"/>
            </w:r>
          </w:hyperlink>
        </w:p>
        <w:p>
          <w:pPr>
            <w:pStyle w:val="9"/>
            <w:tabs>
              <w:tab w:val="right" w:leader="dot" w:pos="9026"/>
            </w:tabs>
            <w:spacing w:before="120" w:after="60"/>
          </w:pPr>
          <w:hyperlink w:anchor="_Toc100009" w:history="1">
            <w:r>
              <w:rPr>
                <w:rStyle w:val="Hyperlink"/>
              </w:rPr>
              <w:t>10. CO2 Emissions from Different Fuel Types</w:t>
            </w:r>
            <w:r>
              <w:tab/>
            </w:r>
            <w:r>
              <w:fldChar w:fldCharType="begin"/>
            </w:r>
            <w:r>
              <w:instrText xml:space="preserve"> PAGEREF _Toc100009 \h </w:instrText>
            </w:r>
            <w:r>
              <w:fldChar w:fldCharType="separate"/>
            </w:r>
            <w:r>
              <w:t>33</w:t>
            </w:r>
            <w:r>
              <w:fldChar w:fldCharType="end"/>
            </w:r>
          </w:hyperlink>
        </w:p>
        <w:p>
          <w:pPr>
            <w:pStyle w:val="9"/>
            <w:tabs>
              <w:tab w:val="right" w:leader="dot" w:pos="9026"/>
            </w:tabs>
            <w:spacing w:before="120" w:after="60"/>
          </w:pPr>
          <w:hyperlink w:anchor="_Toc100010" w:history="1">
            <w:r>
              <w:rPr>
                <w:rStyle w:val="Hyperlink"/>
              </w:rPr>
              <w:t>11. Fuel Consumption Estimation</w:t>
            </w:r>
            <w:r>
              <w:tab/>
            </w:r>
            <w:r>
              <w:fldChar w:fldCharType="begin"/>
            </w:r>
            <w:r>
              <w:instrText xml:space="preserve"> PAGEREF _Toc100010 \h </w:instrText>
            </w:r>
            <w:r>
              <w:fldChar w:fldCharType="separate"/>
            </w:r>
            <w:r>
              <w:t>36</w:t>
            </w:r>
            <w:r>
              <w:fldChar w:fldCharType="end"/>
            </w:r>
          </w:hyperlink>
        </w:p>
        <w:p>
          <w:pPr>
            <w:pStyle w:val="9"/>
            <w:tabs>
              <w:tab w:val="right" w:leader="dot" w:pos="9026"/>
            </w:tabs>
            <w:spacing w:before="120" w:after="60"/>
          </w:pPr>
          <w:hyperlink w:anchor="_Toc100011" w:history="1">
            <w:r>
              <w:rPr>
                <w:rStyle w:val="Hyperlink"/>
              </w:rPr>
              <w:t>12. Voyage Distance Calculation</w:t>
            </w:r>
            <w:r>
              <w:tab/>
            </w:r>
            <w:r>
              <w:fldChar w:fldCharType="begin"/>
            </w:r>
            <w:r>
              <w:instrText xml:space="preserve"> PAGEREF _Toc100011 \h </w:instrText>
            </w:r>
            <w:r>
              <w:fldChar w:fldCharType="separate"/>
            </w:r>
            <w:r>
              <w:t>39</w:t>
            </w:r>
            <w:r>
              <w:fldChar w:fldCharType="end"/>
            </w:r>
          </w:hyperlink>
        </w:p>
        <w:p>
          <w:pPr>
            <w:pStyle w:val="9"/>
            <w:tabs>
              <w:tab w:val="right" w:leader="dot" w:pos="9026"/>
            </w:tabs>
            <w:spacing w:before="120" w:after="60"/>
          </w:pPr>
          <w:hyperlink w:anchor="_Toc100012" w:history="1">
            <w:r>
              <w:rPr>
                <w:rStyle w:val="Hyperlink"/>
              </w:rPr>
              <w:t>13. Great Circle Distance (Haversine / Spherical Law of Cosines)</w:t>
            </w:r>
            <w:r>
              <w:tab/>
            </w:r>
            <w:r>
              <w:fldChar w:fldCharType="begin"/>
            </w:r>
            <w:r>
              <w:instrText xml:space="preserve"> PAGEREF _Toc100012 \h </w:instrText>
            </w:r>
            <w:r>
              <w:fldChar w:fldCharType="separate"/>
            </w:r>
            <w:r>
              <w:t>42</w:t>
            </w:r>
            <w:r>
              <w:fldChar w:fldCharType="end"/>
            </w:r>
          </w:hyperlink>
        </w:p>
        <w:p>
          <w:pPr>
            <w:pStyle w:val="9"/>
            <w:tabs>
              <w:tab w:val="right" w:leader="dot" w:pos="9026"/>
            </w:tabs>
            <w:spacing w:before="120" w:after="60"/>
          </w:pPr>
          <w:hyperlink w:anchor="_Toc100013" w:history="1">
            <w:r>
              <w:rPr>
                <w:rStyle w:val="Hyperlink"/>
              </w:rPr>
              <w:t>14. ETA Estimation</w:t>
            </w:r>
            <w:r>
              <w:tab/>
            </w:r>
            <w:r>
              <w:fldChar w:fldCharType="begin"/>
            </w:r>
            <w:r>
              <w:instrText xml:space="preserve"> PAGEREF _Toc100013 \h </w:instrText>
            </w:r>
            <w:r>
              <w:fldChar w:fldCharType="separate"/>
            </w:r>
            <w:r>
              <w:t>46</w:t>
            </w:r>
            <w:r>
              <w:fldChar w:fldCharType="end"/>
            </w:r>
          </w:hyperlink>
        </w:p>
        <w:p>
          <w:pPr>
            <w:pStyle w:val="9"/>
            <w:tabs>
              <w:tab w:val="right" w:leader="dot" w:pos="9026"/>
            </w:tabs>
            <w:spacing w:before="120" w:after="60"/>
          </w:pPr>
          <w:hyperlink w:anchor="_Toc100014" w:history="1">
            <w:r>
              <w:rPr>
                <w:rStyle w:val="Hyperlink"/>
              </w:rPr>
              <w:t>15. Voyage Performance Calculations</w:t>
            </w:r>
            <w:r>
              <w:tab/>
            </w:r>
            <w:r>
              <w:fldChar w:fldCharType="begin"/>
            </w:r>
            <w:r>
              <w:instrText xml:space="preserve"> PAGEREF _Toc100014 \h </w:instrText>
            </w:r>
            <w:r>
              <w:fldChar w:fldCharType="separate"/>
            </w:r>
            <w:r>
              <w:t>49</w:t>
            </w:r>
            <w:r>
              <w:fldChar w:fldCharType="end"/>
            </w:r>
          </w:hyperlink>
        </w:p>
        <w:p>
          <w:pPr>
            <w:pStyle w:val="9"/>
            <w:tabs>
              <w:tab w:val="right" w:leader="dot" w:pos="9026"/>
            </w:tabs>
            <w:spacing w:before="120" w:after="60"/>
          </w:pPr>
          <w:hyperlink w:anchor="_Toc100015" w:history="1">
            <w:r>
              <w:rPr>
                <w:rStyle w:val="Hyperlink"/>
              </w:rPr>
              <w:t>16. Speed vs Fuel Consumption (Cubic Law &amp; Admiralty)</w:t>
            </w:r>
            <w:r>
              <w:tab/>
            </w:r>
            <w:r>
              <w:fldChar w:fldCharType="begin"/>
            </w:r>
            <w:r>
              <w:instrText xml:space="preserve"> PAGEREF _Toc100015 \h </w:instrText>
            </w:r>
            <w:r>
              <w:fldChar w:fldCharType="separate"/>
            </w:r>
            <w:r>
              <w:t>52</w:t>
            </w:r>
            <w:r>
              <w:fldChar w:fldCharType="end"/>
            </w:r>
          </w:hyperlink>
        </w:p>
        <w:p>
          <w:pPr>
            <w:pStyle w:val="9"/>
            <w:tabs>
              <w:tab w:val="right" w:leader="dot" w:pos="9026"/>
            </w:tabs>
            <w:spacing w:before="120" w:after="60"/>
          </w:pPr>
          <w:hyperlink w:anchor="_Toc100016" w:history="1">
            <w:r>
              <w:rPr>
                <w:rStyle w:val="Hyperlink"/>
              </w:rPr>
              <w:t>17. Weather Correction Concepts</w:t>
            </w:r>
            <w:r>
              <w:tab/>
            </w:r>
            <w:r>
              <w:fldChar w:fldCharType="begin"/>
            </w:r>
            <w:r>
              <w:instrText xml:space="preserve"> PAGEREF _Toc100016 \h </w:instrText>
            </w:r>
            <w:r>
              <w:fldChar w:fldCharType="separate"/>
            </w:r>
            <w:r>
              <w:t>55</w:t>
            </w:r>
            <w:r>
              <w:fldChar w:fldCharType="end"/>
            </w:r>
          </w:hyperlink>
        </w:p>
        <w:p>
          <w:pPr>
            <w:pStyle w:val="9"/>
            <w:tabs>
              <w:tab w:val="right" w:leader="dot" w:pos="9026"/>
            </w:tabs>
            <w:spacing w:before="120" w:after="60"/>
          </w:pPr>
          <w:hyperlink w:anchor="_Toc100017" w:history="1">
            <w:r>
              <w:rPr>
                <w:rStyle w:val="Hyperlink"/>
              </w:rPr>
              <w:t>18. Engine Load Calculations</w:t>
            </w:r>
            <w:r>
              <w:tab/>
            </w:r>
            <w:r>
              <w:fldChar w:fldCharType="begin"/>
            </w:r>
            <w:r>
              <w:instrText xml:space="preserve"> PAGEREF _Toc100017 \h </w:instrText>
            </w:r>
            <w:r>
              <w:fldChar w:fldCharType="separate"/>
            </w:r>
            <w:r>
              <w:t>59</w:t>
            </w:r>
            <w:r>
              <w:fldChar w:fldCharType="end"/>
            </w:r>
          </w:hyperlink>
        </w:p>
        <w:p>
          <w:pPr>
            <w:pStyle w:val="9"/>
            <w:tabs>
              <w:tab w:val="right" w:leader="dot" w:pos="9026"/>
            </w:tabs>
            <w:spacing w:before="120" w:after="60"/>
          </w:pPr>
          <w:hyperlink w:anchor="_Toc100018" w:history="1">
            <w:r>
              <w:rPr>
                <w:rStyle w:val="Hyperlink"/>
              </w:rPr>
              <w:t>19. SFOC — Specific Fuel Oil Consumption</w:t>
            </w:r>
            <w:r>
              <w:tab/>
            </w:r>
            <w:r>
              <w:fldChar w:fldCharType="begin"/>
            </w:r>
            <w:r>
              <w:instrText xml:space="preserve"> PAGEREF _Toc100018 \h </w:instrText>
            </w:r>
            <w:r>
              <w:fldChar w:fldCharType="separate"/>
            </w:r>
            <w:r>
              <w:t>62</w:t>
            </w:r>
            <w:r>
              <w:fldChar w:fldCharType="end"/>
            </w:r>
          </w:hyperlink>
        </w:p>
        <w:p>
          <w:pPr>
            <w:pStyle w:val="9"/>
            <w:tabs>
              <w:tab w:val="right" w:leader="dot" w:pos="9026"/>
            </w:tabs>
            <w:spacing w:before="120" w:after="60"/>
          </w:pPr>
          <w:hyperlink w:anchor="_Toc100019" w:history="1">
            <w:r>
              <w:rPr>
                <w:rStyle w:val="Hyperlink"/>
              </w:rPr>
              <w:t>20. Carbon Intensity Metrics — Consolidated Comparison</w:t>
            </w:r>
            <w:r>
              <w:tab/>
            </w:r>
            <w:r>
              <w:fldChar w:fldCharType="begin"/>
            </w:r>
            <w:r>
              <w:instrText xml:space="preserve"> PAGEREF _Toc100019 \h </w:instrText>
            </w:r>
            <w:r>
              <w:fldChar w:fldCharType="separate"/>
            </w:r>
            <w:r>
              <w:t>65</w:t>
            </w:r>
            <w:r>
              <w:fldChar w:fldCharType="end"/>
            </w:r>
          </w:hyperlink>
        </w:p>
        <w:p>
          <w:pPr>
            <w:pStyle w:val="9"/>
            <w:tabs>
              <w:tab w:val="right" w:leader="dot" w:pos="9026"/>
            </w:tabs>
            <w:spacing w:before="120" w:after="60"/>
          </w:pPr>
          <w:hyperlink w:anchor="_Toc100020" w:history="1">
            <w:r>
              <w:rPr>
                <w:rStyle w:val="Hyperlink"/>
              </w:rPr>
              <w:t>21. Port Stay Calculations</w:t>
            </w:r>
            <w:r>
              <w:tab/>
            </w:r>
            <w:r>
              <w:fldChar w:fldCharType="begin"/>
            </w:r>
            <w:r>
              <w:instrText xml:space="preserve"> PAGEREF _Toc100020 \h </w:instrText>
            </w:r>
            <w:r>
              <w:fldChar w:fldCharType="separate"/>
            </w:r>
            <w:r>
              <w:t>68</w:t>
            </w:r>
            <w:r>
              <w:fldChar w:fldCharType="end"/>
            </w:r>
          </w:hyperlink>
        </w:p>
        <w:p>
          <w:pPr>
            <w:pStyle w:val="9"/>
            <w:tabs>
              <w:tab w:val="right" w:leader="dot" w:pos="9026"/>
            </w:tabs>
            <w:spacing w:before="120" w:after="60"/>
          </w:pPr>
          <w:hyperlink w:anchor="_Toc100021" w:history="1">
            <w:r>
              <w:rPr>
                <w:rStyle w:val="Hyperlink"/>
              </w:rPr>
              <w:t>22. Off-Hire Calculations</w:t>
            </w:r>
            <w:r>
              <w:tab/>
            </w:r>
            <w:r>
              <w:fldChar w:fldCharType="begin"/>
            </w:r>
            <w:r>
              <w:instrText xml:space="preserve"> PAGEREF _Toc100021 \h </w:instrText>
            </w:r>
            <w:r>
              <w:fldChar w:fldCharType="separate"/>
            </w:r>
            <w:r>
              <w:t>71</w:t>
            </w:r>
            <w:r>
              <w:fldChar w:fldCharType="end"/>
            </w:r>
          </w:hyperlink>
        </w:p>
        <w:p>
          <w:pPr>
            <w:pStyle w:val="9"/>
            <w:tabs>
              <w:tab w:val="right" w:leader="dot" w:pos="9026"/>
            </w:tabs>
            <w:spacing w:before="120" w:after="60"/>
          </w:pPr>
          <w:hyperlink w:anchor="_Toc100022" w:history="1">
            <w:r>
              <w:rPr>
                <w:rStyle w:val="Hyperlink"/>
              </w:rPr>
              <w:t>23. Charter Performance Metrics</w:t>
            </w:r>
            <w:r>
              <w:tab/>
            </w:r>
            <w:r>
              <w:fldChar w:fldCharType="begin"/>
            </w:r>
            <w:r>
              <w:instrText xml:space="preserve"> PAGEREF _Toc100022 \h </w:instrText>
            </w:r>
            <w:r>
              <w:fldChar w:fldCharType="separate"/>
            </w:r>
            <w:r>
              <w:t>75</w:t>
            </w:r>
            <w:r>
              <w:fldChar w:fldCharType="end"/>
            </w:r>
          </w:hyperlink>
        </w:p>
        <w:p>
          <w:r>
            <w:fldChar w:fldCharType="end"/>
          </w:r>
        </w:p>
      </w:sdtContent>
    </w:sdt>
    <w:p>
      <w:pPr>
        <w:spacing w:before="200"/>
      </w:pPr>
      <w:r>
        <w:rPr>
          <w:rFonts w:ascii="Times New Roman"/>
          <w:i/>
          <w:iCs/>
          <w:color w:val="888888"/>
          <w:sz w:val="18"/>
          <w:szCs w:val="18"/>
        </w:rPr>
        <w:t xml:space="preserve">Note: This Table of Contents is generated via field codes. To ensure page-number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20" w:line="312"/>
      </w:pPr>
      <w:bookmarkStart w:id="100000" w:name="_Toc100000"/>
      <w:r>
        <w:rPr>
          <w:rFonts w:ascii="Times New Roman"/>
          <w:b/>
          <w:bCs/>
          <w:color w:val="0B1C2C"/>
          <w:sz w:val="32"/>
          <w:szCs w:val="32"/>
        </w:rPr>
        <w:t xml:space="preserve">1. CII — Carbon Intensity Indicator</w:t>
      </w:r>
      <w:bookmarkEnd w:id="100000"/>
    </w:p>
    <w:p>
      <w:pPr>
        <w:spacing w:after="80" w:line="312"/>
        <w:ind w:firstLine="360"/>
        <w:jc w:val="both"/>
      </w:pPr>
      <w:r>
        <w:rPr>
          <w:rFonts w:ascii="Times New Roman"/>
          <w:color w:val="000000"/>
          <w:sz w:val="22"/>
          <w:szCs w:val="22"/>
        </w:rPr>
        <w:t xml:space="preserve">The Attained CII expresses a ship's annual operational carbon intensity. It was introduced by IMO MARPOL Annex VI amendments (resolution MEPC.328(70) adopted 2016, applicable from 2023) and refined by MEPC.335(76) and MEPC.336(76). Capacity basis, correction factors and rating bands are set out in Appendix II of MARPOL Annex VI and the associated guidelines.</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The Attained CII is the annual mass of CO2 emitted per unit of transport work:</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0" w:line="300"/>
              <w:jc w:val="center"/>
            </w:pPr>
            <w:r>
              <w:rPr>
                <w:rFonts w:ascii="Courier New"/>
                <w:b/>
                <w:bCs/>
                <w:color w:val="000000"/>
                <w:sz w:val="22"/>
                <w:szCs w:val="22"/>
              </w:rPr>
              <w:t xml:space="preserve">Attained CII  =  ( FC_ship x CF ) / ( Capacity x D x fi )</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FC_ship</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Mass of fuel consumed per year, summed over all fuel types</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from IMO DCS data set</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CF</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Fuel-specific CO2 conversion factor (non-dimensional mass ratio)</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t-CO2 / t-fuel</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see Topic 11; multiply each fuel by its own CF then sum</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Capacity</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Deadweight (DWT) for most ship types; GT for cruise/ro-ro/passenger</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  (or GT)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per Appendix II of Annex VI</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D</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Distance travelled in the reporting year</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from noon-report or automatic recording</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fi</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Ship-type capacity correction factor for ice-class, etc.</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1.0 where not applicable</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Result is expressed in gCO2/dwt-nm (or gCO2/GT-nm). To convert a t-CO2/t-fuel figure to grams, multiply by 10^6; the resulting CII is reported in gCO2 per dwt-nautical mile. The attained value is compared with the Required CII (a year-specific limit derived from the reference line and an annual reduction factor) to assign a rating A–E.</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example — a 50,000 DWT bulk carrier consuming 4,800 t of VLSFO (CF = 3.114) and sailing 58,000 nm in the year (fi = 1.0):</w:t>
      </w:r>
    </w:p>
    <w:p>
      <w:pPr>
        <w:spacing w:after="40" w:line="276"/>
        <w:jc w:val="left"/>
      </w:pPr>
      <w:r>
        <w:rPr>
          <w:rFonts w:ascii="Courier New"/>
          <w:color w:val="000000"/>
          <w:sz w:val="20"/>
          <w:szCs w:val="20"/>
        </w:rPr>
        <w:t xml:space="preserve">Numerator  = FC x CF = 4,800 x 3.114 = 14,947.2 t-CO2</w:t>
      </w:r>
    </w:p>
    <w:p>
      <w:pPr>
        <w:spacing w:after="40" w:line="276"/>
        <w:jc w:val="left"/>
      </w:pPr>
      <w:r>
        <w:rPr>
          <w:rFonts w:ascii="Courier New"/>
          <w:color w:val="000000"/>
          <w:sz w:val="20"/>
          <w:szCs w:val="20"/>
        </w:rPr>
        <w:t xml:space="preserve">Denominator = Capacity x D = 50,000 x 58,000 = 2.9 x 10^9  dwt-nm</w:t>
      </w:r>
    </w:p>
    <w:p>
      <w:pPr>
        <w:spacing w:after="40" w:line="276"/>
        <w:jc w:val="left"/>
      </w:pPr>
      <w:r>
        <w:rPr>
          <w:rFonts w:ascii="Courier New"/>
          <w:color w:val="000000"/>
          <w:sz w:val="20"/>
          <w:szCs w:val="20"/>
        </w:rPr>
        <w:t xml:space="preserve">Attained CII = (14,947.2 x 10^6 g) / (2.9 x 10^9 dwt-nm)</w:t>
      </w:r>
    </w:p>
    <w:p>
      <w:pPr>
        <w:spacing w:after="40" w:line="276"/>
        <w:jc w:val="left"/>
      </w:pPr>
      <w:r>
        <w:rPr>
          <w:rFonts w:ascii="Courier New"/>
          <w:color w:val="000000"/>
          <w:sz w:val="20"/>
          <w:szCs w:val="20"/>
        </w:rPr>
        <w:t xml:space="preserve">           = 5.15 gCO2/dwt-nm</w:t>
      </w:r>
    </w:p>
    <w:p>
      <w:pPr>
        <w:spacing w:after="40" w:line="276"/>
        <w:jc w:val="left"/>
      </w:pPr>
      <w:r>
        <w:rPr>
          <w:rFonts w:ascii="Courier New"/>
          <w:color w:val="000000"/>
          <w:sz w:val="20"/>
          <w:szCs w:val="20"/>
        </w:rPr>
        <w:t xml:space="preserve"/>
      </w:r>
    </w:p>
    <w:p>
      <w:pPr>
        <w:spacing w:after="40" w:line="276"/>
        <w:jc w:val="left"/>
      </w:pPr>
      <w:r>
        <w:rPr>
          <w:rFonts w:ascii="Courier New"/>
          <w:color w:val="000000"/>
          <w:sz w:val="20"/>
          <w:szCs w:val="20"/>
        </w:rPr>
        <w:t xml:space="preserve">Required CII (illustrative) = (year limit) e.g. 4.20 gCO2/dwt-nm</w:t>
      </w:r>
    </w:p>
    <w:p>
      <w:pPr>
        <w:spacing w:after="40" w:line="276"/>
        <w:jc w:val="left"/>
      </w:pPr>
      <w:r>
        <w:rPr>
          <w:rFonts w:ascii="Courier New"/>
          <w:color w:val="000000"/>
          <w:sz w:val="20"/>
          <w:szCs w:val="20"/>
        </w:rPr>
        <w:t xml:space="preserve">Attained &gt; Required  =&gt;  rating in lower band; corrective plan (SEEMP Part III) triggered.</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The Attained CII is reported annually in the IMO DCS data set and converted to an A–E rating against the Required CII. It is the IMO's principal operational-efficiency metric for the existing fleet.</w:t>
      </w:r>
    </w:p>
    <w:p>
      <w:pPr>
        <w:pStyle w:val="ListParagraph"/>
        <w:numPr>
          <w:ilvl w:val="0"/>
          <w:numId w:val="1"/>
        </w:numPr>
        <w:spacing w:after="60" w:line="300"/>
      </w:pPr>
      <w:r>
        <w:rPr>
          <w:rFonts w:ascii="Times New Roman"/>
          <w:color w:val="000000"/>
          <w:sz w:val="22"/>
          <w:szCs w:val="22"/>
        </w:rPr>
        <w:t xml:space="preserve">Annual regulatory reporting (MARPOL Annex VI, App. II).</w:t>
      </w:r>
    </w:p>
    <w:p>
      <w:pPr>
        <w:pStyle w:val="ListParagraph"/>
        <w:numPr>
          <w:ilvl w:val="0"/>
          <w:numId w:val="1"/>
        </w:numPr>
        <w:spacing w:after="60" w:line="300"/>
      </w:pPr>
      <w:r>
        <w:rPr>
          <w:rFonts w:ascii="Times New Roman"/>
          <w:color w:val="000000"/>
          <w:sz w:val="22"/>
          <w:szCs w:val="22"/>
        </w:rPr>
        <w:t xml:space="preserve">Charter-party performance discussions (speed/consumption vs rating impact).</w:t>
      </w:r>
    </w:p>
    <w:p>
      <w:pPr>
        <w:pStyle w:val="ListParagraph"/>
        <w:numPr>
          <w:ilvl w:val="0"/>
          <w:numId w:val="1"/>
        </w:numPr>
        <w:spacing w:after="60" w:line="300"/>
      </w:pPr>
      <w:r>
        <w:rPr>
          <w:rFonts w:ascii="Times New Roman"/>
          <w:color w:val="000000"/>
          <w:sz w:val="22"/>
          <w:szCs w:val="22"/>
        </w:rPr>
        <w:t xml:space="preserve">Internal benchmarking of fleet carbon intensity.</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It is an annual average; a single bad voyage or ballast legs can distort it.</w:t>
      </w:r>
    </w:p>
    <w:p>
      <w:pPr>
        <w:pStyle w:val="ListParagraph"/>
        <w:numPr>
          <w:ilvl w:val="0"/>
          <w:numId w:val="1"/>
        </w:numPr>
        <w:spacing w:after="60" w:line="300"/>
      </w:pPr>
      <w:r>
        <w:rPr>
          <w:rFonts w:ascii="Times New Roman"/>
          <w:color w:val="000000"/>
          <w:sz w:val="22"/>
          <w:szCs w:val="22"/>
        </w:rPr>
        <w:t xml:space="preserve">Capacity is fixed, so lightly-loaded or ballast-intensive trades appear worse.</w:t>
      </w:r>
    </w:p>
    <w:p>
      <w:pPr>
        <w:pStyle w:val="ListParagraph"/>
        <w:numPr>
          <w:ilvl w:val="0"/>
          <w:numId w:val="1"/>
        </w:numPr>
        <w:spacing w:after="60" w:line="300"/>
      </w:pPr>
      <w:r>
        <w:rPr>
          <w:rFonts w:ascii="Times New Roman"/>
          <w:color w:val="000000"/>
          <w:sz w:val="22"/>
          <w:szCs w:val="22"/>
        </w:rPr>
        <w:t xml:space="preserve">Correction factors and rating band edges are revised by the IMO; always use the current Appendix II values.</w:t>
      </w:r>
    </w:p>
    <w:p>
      <w:pPr>
        <w:pStyle w:val="ListParagraph"/>
        <w:numPr>
          <w:ilvl w:val="0"/>
          <w:numId w:val="1"/>
        </w:numPr>
        <w:spacing w:after="60" w:line="300"/>
      </w:pPr>
      <w:r>
        <w:rPr>
          <w:rFonts w:ascii="Times New Roman"/>
          <w:color w:val="000000"/>
          <w:sz w:val="22"/>
          <w:szCs w:val="22"/>
        </w:rPr>
        <w:t xml:space="preserve">It does not capture well-to-tank emissions (use FuelEU for WtW).</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IMO Resolution MEPC.328(70) — MARPOL Annex VI amendments (CII &amp; EEXI).</w:t>
      </w:r>
    </w:p>
    <w:p>
      <w:pPr>
        <w:pStyle w:val="ListParagraph"/>
        <w:numPr>
          <w:ilvl w:val="0"/>
          <w:numId w:val="1"/>
        </w:numPr>
        <w:spacing w:after="60" w:line="300"/>
      </w:pPr>
      <w:r>
        <w:rPr>
          <w:rFonts w:ascii="Times New Roman"/>
          <w:color w:val="000000"/>
          <w:sz w:val="22"/>
          <w:szCs w:val="22"/>
        </w:rPr>
        <w:t xml:space="preserve">IMO Resolution MEPC.335(76) &amp; MEPC.336(76) — CII guidelines and rating.</w:t>
      </w:r>
    </w:p>
    <w:p>
      <w:pPr>
        <w:pStyle w:val="ListParagraph"/>
        <w:numPr>
          <w:ilvl w:val="0"/>
          <w:numId w:val="1"/>
        </w:numPr>
        <w:spacing w:after="60" w:line="300"/>
      </w:pPr>
      <w:r>
        <w:rPr>
          <w:rFonts w:ascii="Times New Roman"/>
          <w:color w:val="000000"/>
          <w:sz w:val="22"/>
          <w:szCs w:val="22"/>
        </w:rPr>
        <w:t xml:space="preserve">MARPOL Annex VI, Appendix II — Reference lines and capacity basis.</w:t>
      </w:r>
    </w:p>
    <w:p>
      <w:pPr>
        <w:pStyle w:val="ListParagraph"/>
        <w:numPr>
          <w:ilvl w:val="0"/>
          <w:numId w:val="1"/>
        </w:numPr>
        <w:spacing w:after="60" w:line="300"/>
      </w:pPr>
      <w:r>
        <w:rPr>
          <w:rFonts w:ascii="Times New Roman"/>
          <w:color w:val="000000"/>
          <w:sz w:val="22"/>
          <w:szCs w:val="22"/>
        </w:rPr>
        <w:t xml:space="preserve">IMO MEPC.1/Circ.684 — Ship Energy Efficiency Regulations.</w:t>
      </w:r>
    </w:p>
    <w:p>
      <w:pPr>
        <w:pStyle w:val="Heading1"/>
        <w:spacing w:after="200" w:before="420" w:line="312"/>
      </w:pPr>
      <w:bookmarkStart w:id="100001" w:name="_Toc100001"/>
      <w:r>
        <w:rPr>
          <w:rFonts w:ascii="Times New Roman"/>
          <w:b/>
          <w:bCs/>
          <w:color w:val="0B1C2C"/>
          <w:sz w:val="32"/>
          <w:szCs w:val="32"/>
        </w:rPr>
        <w:t xml:space="preserve">2. AER — Annual Efficiency Ratio</w:t>
      </w:r>
      <w:bookmarkEnd w:id="100001"/>
    </w:p>
    <w:p>
      <w:pPr>
        <w:spacing w:after="80" w:line="312"/>
        <w:ind w:firstLine="360"/>
        <w:jc w:val="both"/>
      </w:pPr>
      <w:r>
        <w:rPr>
          <w:rFonts w:ascii="Times New Roman"/>
          <w:color w:val="000000"/>
          <w:sz w:val="22"/>
          <w:szCs w:val="22"/>
        </w:rPr>
        <w:t xml:space="preserve">AER is the Sea Cargo Charter's recommended annual intensity metric and is widely used in voluntary and financé-climate reporting. It is structurally close to CII but normalises annual distance by the annualised design speed, so a full year of intensity is estimated even when actual distance is incomplete.</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AER is defined as annual transport-work intensity:</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0" w:line="300"/>
              <w:jc w:val="center"/>
            </w:pPr>
            <w:r>
              <w:rPr>
                <w:rFonts w:ascii="Courier New"/>
                <w:b/>
                <w:bCs/>
                <w:color w:val="000000"/>
                <w:sz w:val="22"/>
                <w:szCs w:val="22"/>
              </w:rPr>
              <w:t xml:space="preserve">AER  =  ( MassCO2 ) / ( DWT x D_annualised )</w:t>
            </w:r>
          </w:p>
        </w:tc>
      </w:tr>
    </w:tbl>
    <w:p>
      <w:pPr>
        <w:spacing w:after="60"/>
      </w:pP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0" w:line="300"/>
              <w:jc w:val="center"/>
            </w:pPr>
            <w:r>
              <w:rPr>
                <w:rFonts w:ascii="Courier New"/>
                <w:b/>
                <w:bCs/>
                <w:color w:val="000000"/>
                <w:sz w:val="22"/>
                <w:szCs w:val="22"/>
              </w:rPr>
              <w:t xml:space="preserve">D_annualised  =  V_design x 24 x days_under_charter</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MassCO2</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Annual CO2 emitted (all fuel x CF, summed)</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t-CO2</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same numerator as CII</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DWT</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Deadweight (capacity for non-passenger ships)</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GT for cruise/ro-ro passenger ships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D_annualised</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Annualised distance = design speed x hours under charter</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annualises partial-year data</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V_design</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Design (service) speed of the ship</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from capacity / trial data</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days_under_charter</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Days the ship was on charter (trading) in the year</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d</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idle/off-hire days excluded</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Result reported in gCO2/dwt-nm (matching CII units) so AER and CII can be compared directly.</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50,000 DWT container ship, 14,200 t-CO2/year, design speed 22 kn, 320 trading days:</w:t>
      </w:r>
    </w:p>
    <w:p>
      <w:pPr>
        <w:spacing w:after="40" w:line="276"/>
        <w:jc w:val="left"/>
      </w:pPr>
      <w:r>
        <w:rPr>
          <w:rFonts w:ascii="Courier New"/>
          <w:color w:val="000000"/>
          <w:sz w:val="20"/>
          <w:szCs w:val="20"/>
        </w:rPr>
        <w:t xml:space="preserve">D_annualised = 22 x 24 x 320 = 168,960 nm</w:t>
      </w:r>
    </w:p>
    <w:p>
      <w:pPr>
        <w:spacing w:after="40" w:line="276"/>
        <w:jc w:val="left"/>
      </w:pPr>
      <w:r>
        <w:rPr>
          <w:rFonts w:ascii="Courier New"/>
          <w:color w:val="000000"/>
          <w:sz w:val="20"/>
          <w:szCs w:val="20"/>
        </w:rPr>
        <w:t xml:space="preserve">AER = (14,200 x 10^6 g) / (50,000 x 168,960)</w:t>
      </w:r>
    </w:p>
    <w:p>
      <w:pPr>
        <w:spacing w:after="40" w:line="276"/>
        <w:jc w:val="left"/>
      </w:pPr>
      <w:r>
        <w:rPr>
          <w:rFonts w:ascii="Courier New"/>
          <w:color w:val="000000"/>
          <w:sz w:val="20"/>
          <w:szCs w:val="20"/>
        </w:rPr>
        <w:t xml:space="preserve">    = 1.68 gCO2/dwt-nm</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AER is the metric preferred by the Sea Cargo Charter, Poseidon Principles and many cargo-employer scorecards because it removes the volatility of a single year's distance.</w:t>
      </w:r>
    </w:p>
    <w:p>
      <w:pPr>
        <w:pStyle w:val="ListParagraph"/>
        <w:numPr>
          <w:ilvl w:val="0"/>
          <w:numId w:val="1"/>
        </w:numPr>
        <w:spacing w:after="60" w:line="300"/>
      </w:pPr>
      <w:r>
        <w:rPr>
          <w:rFonts w:ascii="Times New Roman"/>
          <w:color w:val="000000"/>
          <w:sz w:val="22"/>
          <w:szCs w:val="22"/>
        </w:rPr>
        <w:t xml:space="preserve">Voluntary climate-finance disclosure (Poseidon Principles).</w:t>
      </w:r>
    </w:p>
    <w:p>
      <w:pPr>
        <w:pStyle w:val="ListParagraph"/>
        <w:numPr>
          <w:ilvl w:val="0"/>
          <w:numId w:val="1"/>
        </w:numPr>
        <w:spacing w:after="60" w:line="300"/>
      </w:pPr>
      <w:r>
        <w:rPr>
          <w:rFonts w:ascii="Times New Roman"/>
          <w:color w:val="000000"/>
          <w:sz w:val="22"/>
          <w:szCs w:val="22"/>
        </w:rPr>
        <w:t xml:space="preserve">Cargo-owner (charterer) carbon-accountability reporting.</w:t>
      </w:r>
    </w:p>
    <w:p>
      <w:pPr>
        <w:pStyle w:val="ListParagraph"/>
        <w:numPr>
          <w:ilvl w:val="0"/>
          <w:numId w:val="1"/>
        </w:numPr>
        <w:spacing w:after="60" w:line="300"/>
      </w:pPr>
      <w:r>
        <w:rPr>
          <w:rFonts w:ascii="Times New Roman"/>
          <w:color w:val="000000"/>
          <w:sz w:val="22"/>
          <w:szCs w:val="22"/>
        </w:rPr>
        <w:t xml:space="preserve">Multi-year trend analysis where actual distance varies.</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Not a regulatory metric; IMO CII is mandatory, AER is voluntary.</w:t>
      </w:r>
    </w:p>
    <w:p>
      <w:pPr>
        <w:pStyle w:val="ListParagraph"/>
        <w:numPr>
          <w:ilvl w:val="0"/>
          <w:numId w:val="1"/>
        </w:numPr>
        <w:spacing w:after="60" w:line="300"/>
      </w:pPr>
      <w:r>
        <w:rPr>
          <w:rFonts w:ascii="Times New Roman"/>
          <w:color w:val="000000"/>
          <w:sz w:val="22"/>
          <w:szCs w:val="22"/>
        </w:rPr>
        <w:t xml:space="preserve">Design-speed annualisation smooths but can mask operational inefficiency.</w:t>
      </w:r>
    </w:p>
    <w:p>
      <w:pPr>
        <w:pStyle w:val="ListParagraph"/>
        <w:numPr>
          <w:ilvl w:val="0"/>
          <w:numId w:val="1"/>
        </w:numPr>
        <w:spacing w:after="60" w:line="300"/>
      </w:pPr>
      <w:r>
        <w:rPr>
          <w:rFonts w:ascii="Times New Roman"/>
          <w:color w:val="000000"/>
          <w:sz w:val="22"/>
          <w:szCs w:val="22"/>
        </w:rPr>
        <w:t xml:space="preserve">Sensitive to the chosen design speed and trading-day definition.</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Sea Cargo Charter — Reporting Guidance (Terms &amp; Definitions).</w:t>
      </w:r>
    </w:p>
    <w:p>
      <w:pPr>
        <w:pStyle w:val="ListParagraph"/>
        <w:numPr>
          <w:ilvl w:val="0"/>
          <w:numId w:val="1"/>
        </w:numPr>
        <w:spacing w:after="60" w:line="300"/>
      </w:pPr>
      <w:r>
        <w:rPr>
          <w:rFonts w:ascii="Times New Roman"/>
          <w:color w:val="000000"/>
          <w:sz w:val="22"/>
          <w:szCs w:val="22"/>
        </w:rPr>
        <w:t xml:space="preserve">Poseidon Principles — Technical Guidance (AER methodology).</w:t>
      </w:r>
    </w:p>
    <w:p>
      <w:pPr>
        <w:pStyle w:val="ListParagraph"/>
        <w:numPr>
          <w:ilvl w:val="0"/>
          <w:numId w:val="1"/>
        </w:numPr>
        <w:spacing w:after="60" w:line="300"/>
      </w:pPr>
      <w:r>
        <w:rPr>
          <w:rFonts w:ascii="Times New Roman"/>
          <w:color w:val="000000"/>
          <w:sz w:val="22"/>
          <w:szCs w:val="22"/>
        </w:rPr>
        <w:t xml:space="preserve">IMO MEPC.1/Circ.684 — underlying EEOI/CII methodology.</w:t>
      </w:r>
    </w:p>
    <w:p>
      <w:pPr>
        <w:pStyle w:val="Heading1"/>
        <w:spacing w:after="200" w:before="420" w:line="312"/>
      </w:pPr>
      <w:bookmarkStart w:id="100002" w:name="_Toc100002"/>
      <w:r>
        <w:rPr>
          <w:rFonts w:ascii="Times New Roman"/>
          <w:b/>
          <w:bCs/>
          <w:color w:val="0B1C2C"/>
          <w:sz w:val="32"/>
          <w:szCs w:val="32"/>
        </w:rPr>
        <w:t xml:space="preserve">3. EEOI — Energy Efficiency Operational Indicator</w:t>
      </w:r>
      <w:bookmarkEnd w:id="100002"/>
    </w:p>
    <w:p>
      <w:pPr>
        <w:spacing w:after="80" w:line="312"/>
        <w:ind w:firstLine="360"/>
        <w:jc w:val="both"/>
      </w:pPr>
      <w:r>
        <w:rPr>
          <w:rFonts w:ascii="Times New Roman"/>
          <w:color w:val="000000"/>
          <w:sz w:val="22"/>
          <w:szCs w:val="22"/>
        </w:rPr>
        <w:t xml:space="preserve">The EEOI, defined in IMO MEPC.1/Circ.684, is the operational counterpart to EEDI. It measures actual gCO2 per tonne-nm of transport work over a voyage or period and is the recommended voluntary tool for monitoring operational efficiency.</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The core EEOI is CO2 emitted divided by transport work performed:</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            j   i</w:t>
            </w:r>
          </w:p>
          <w:p>
            <w:pPr>
              <w:spacing w:after="60" w:line="300"/>
              <w:jc w:val="center"/>
            </w:pPr>
            <w:r>
              <w:rPr>
                <w:rFonts w:ascii="Courier New"/>
                <w:b/>
                <w:bCs/>
                <w:color w:val="000000"/>
                <w:sz w:val="22"/>
                <w:szCs w:val="22"/>
              </w:rPr>
              <w:t xml:space="preserve">EEOI  =  Sum Sum ( FC_ij x CF_i )</w:t>
            </w:r>
          </w:p>
          <w:p>
            <w:pPr>
              <w:spacing w:after="60" w:line="300"/>
              <w:jc w:val="center"/>
            </w:pPr>
            <w:r>
              <w:rPr>
                <w:rFonts w:ascii="Courier New"/>
                <w:b/>
                <w:bCs/>
                <w:color w:val="000000"/>
                <w:sz w:val="22"/>
                <w:szCs w:val="22"/>
              </w:rPr>
              <w:t xml:space="preserve">            j=1 i=1</w:t>
            </w:r>
          </w:p>
          <w:p>
            <w:pPr>
              <w:spacing w:after="60" w:line="300"/>
              <w:jc w:val="center"/>
            </w:pPr>
            <w:r>
              <w:rPr>
                <w:rFonts w:ascii="Courier New"/>
                <w:b/>
                <w:bCs/>
                <w:color w:val="000000"/>
                <w:sz w:val="22"/>
                <w:szCs w:val="22"/>
              </w:rPr>
              <w:t xml:space="preserve">         ---------------------------------</w:t>
            </w:r>
          </w:p>
          <w:p>
            <w:pPr>
              <w:spacing w:after="60" w:line="300"/>
              <w:jc w:val="center"/>
            </w:pPr>
            <w:r>
              <w:rPr>
                <w:rFonts w:ascii="Courier New"/>
                <w:b/>
                <w:bCs/>
                <w:color w:val="000000"/>
                <w:sz w:val="22"/>
                <w:szCs w:val="22"/>
              </w:rPr>
              <w:t xml:space="preserve">            j</w:t>
            </w:r>
          </w:p>
          <w:p>
            <w:pPr>
              <w:spacing w:after="60" w:line="300"/>
              <w:jc w:val="center"/>
            </w:pPr>
            <w:r>
              <w:rPr>
                <w:rFonts w:ascii="Courier New"/>
                <w:b/>
                <w:bCs/>
                <w:color w:val="000000"/>
                <w:sz w:val="22"/>
                <w:szCs w:val="22"/>
              </w:rPr>
              <w:t xml:space="preserve">          Sum ( m_cargo,j x D_j )</w:t>
            </w:r>
          </w:p>
          <w:p>
            <w:pPr>
              <w:spacing w:after="0" w:line="300"/>
              <w:jc w:val="center"/>
            </w:pPr>
            <w:r>
              <w:rPr>
                <w:rFonts w:ascii="Courier New"/>
                <w:b/>
                <w:bCs/>
                <w:color w:val="000000"/>
                <w:sz w:val="22"/>
                <w:szCs w:val="22"/>
              </w:rPr>
              <w:t xml:space="preserve">            j=1</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FC_ij</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Mass of fuel type i consumed on voyage j</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per fuel per voyage</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CF_i</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CO2 factor for fuel i</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t-CO2/t-fuel</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IMO default values, Topic 11</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m_cargo,j</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Cargo carried (mass or units) on voyage j</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 (TEU/pax)</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use consistent basis</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D_j</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Distance of voyage j</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laden distance where applicable</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j</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Voyage index (1..n)</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period or voyage basis</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Result in gCO2/t-nm (or gCO2/TEU-nm, gCO2/pax-nm for unitised/passenger trades). A Rolling EEOI over a period averages voyages.</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single laden voyage: 1,800 t HFO (CF 3.114), 45,000 t cargo, 4,200 nm:</w:t>
      </w:r>
    </w:p>
    <w:p>
      <w:pPr>
        <w:spacing w:after="40" w:line="276"/>
        <w:jc w:val="left"/>
      </w:pPr>
      <w:r>
        <w:rPr>
          <w:rFonts w:ascii="Courier New"/>
          <w:color w:val="000000"/>
          <w:sz w:val="20"/>
          <w:szCs w:val="20"/>
        </w:rPr>
        <w:t xml:space="preserve">Numerator = 1,800 x 3.114 = 5,605.2 t-CO2</w:t>
      </w:r>
    </w:p>
    <w:p>
      <w:pPr>
        <w:spacing w:after="40" w:line="276"/>
        <w:jc w:val="left"/>
      </w:pPr>
      <w:r>
        <w:rPr>
          <w:rFonts w:ascii="Courier New"/>
          <w:color w:val="000000"/>
          <w:sz w:val="20"/>
          <w:szCs w:val="20"/>
        </w:rPr>
        <w:t xml:space="preserve">Denominator = 45,000 x 4,200 = 1.89 x 10^8 t-nm</w:t>
      </w:r>
    </w:p>
    <w:p>
      <w:pPr>
        <w:spacing w:after="40" w:line="276"/>
        <w:jc w:val="left"/>
      </w:pPr>
      <w:r>
        <w:rPr>
          <w:rFonts w:ascii="Courier New"/>
          <w:color w:val="000000"/>
          <w:sz w:val="20"/>
          <w:szCs w:val="20"/>
        </w:rPr>
        <w:t xml:space="preserve">EEOI = (5,605.2 x 10^6 g) / (1.89 x 10^8 t-nm)</w:t>
      </w:r>
    </w:p>
    <w:p>
      <w:pPr>
        <w:spacing w:after="40" w:line="276"/>
        <w:jc w:val="left"/>
      </w:pPr>
      <w:r>
        <w:rPr>
          <w:rFonts w:ascii="Courier New"/>
          <w:color w:val="000000"/>
          <w:sz w:val="20"/>
          <w:szCs w:val="20"/>
        </w:rPr>
        <w:t xml:space="preserve">     = 29.66 gCO2/t-nm</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EEOI is the IMO's recommended voluntary tool for tracking operational efficiency and is often used inside SEEMP Part I and in charter-party performance review.</w:t>
      </w:r>
    </w:p>
    <w:p>
      <w:pPr>
        <w:pStyle w:val="ListParagraph"/>
        <w:numPr>
          <w:ilvl w:val="0"/>
          <w:numId w:val="1"/>
        </w:numPr>
        <w:spacing w:after="60" w:line="300"/>
      </w:pPr>
      <w:r>
        <w:rPr>
          <w:rFonts w:ascii="Times New Roman"/>
          <w:color w:val="000000"/>
          <w:sz w:val="22"/>
          <w:szCs w:val="22"/>
        </w:rPr>
        <w:t xml:space="preserve">SEEMP monitoring (operational efficiency over time).</w:t>
      </w:r>
    </w:p>
    <w:p>
      <w:pPr>
        <w:pStyle w:val="ListParagraph"/>
        <w:numPr>
          <w:ilvl w:val="0"/>
          <w:numId w:val="1"/>
        </w:numPr>
        <w:spacing w:after="60" w:line="300"/>
      </w:pPr>
      <w:r>
        <w:rPr>
          <w:rFonts w:ascii="Times New Roman"/>
          <w:color w:val="000000"/>
          <w:sz w:val="22"/>
          <w:szCs w:val="22"/>
        </w:rPr>
        <w:t xml:space="preserve">Pre-voyage estimation and post-voyage performance review.</w:t>
      </w:r>
    </w:p>
    <w:p>
      <w:pPr>
        <w:pStyle w:val="ListParagraph"/>
        <w:numPr>
          <w:ilvl w:val="0"/>
          <w:numId w:val="1"/>
        </w:numPr>
        <w:spacing w:after="60" w:line="300"/>
      </w:pPr>
      <w:r>
        <w:rPr>
          <w:rFonts w:ascii="Times New Roman"/>
          <w:color w:val="000000"/>
          <w:sz w:val="22"/>
          <w:szCs w:val="22"/>
        </w:rPr>
        <w:t xml:space="preserve">Benchmarking similar ships in a fleet.</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Voluntary; not itself a compliance metric (CII is mandatory).</w:t>
      </w:r>
    </w:p>
    <w:p>
      <w:pPr>
        <w:pStyle w:val="ListParagraph"/>
        <w:numPr>
          <w:ilvl w:val="0"/>
          <w:numId w:val="1"/>
        </w:numPr>
        <w:spacing w:after="60" w:line="300"/>
      </w:pPr>
      <w:r>
        <w:rPr>
          <w:rFonts w:ascii="Times New Roman"/>
          <w:color w:val="000000"/>
          <w:sz w:val="22"/>
          <w:szCs w:val="22"/>
        </w:rPr>
        <w:t xml:space="preserve">Ballast legs: per the guidelines they may be excluded or zero-cargo weighted, which changes results materially.</w:t>
      </w:r>
    </w:p>
    <w:p>
      <w:pPr>
        <w:pStyle w:val="ListParagraph"/>
        <w:numPr>
          <w:ilvl w:val="0"/>
          <w:numId w:val="1"/>
        </w:numPr>
        <w:spacing w:after="60" w:line="300"/>
      </w:pPr>
      <w:r>
        <w:rPr>
          <w:rFonts w:ascii="Times New Roman"/>
          <w:color w:val="000000"/>
          <w:sz w:val="22"/>
          <w:szCs w:val="22"/>
        </w:rPr>
        <w:t xml:space="preserve">Cargo-mass basis must be consistent; mixed metric (t vs TEU) is invalid.</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IMO MEPC.1/Circ.684 — Guidelines for voluntary use of the EEOI.</w:t>
      </w:r>
    </w:p>
    <w:p>
      <w:pPr>
        <w:pStyle w:val="ListParagraph"/>
        <w:numPr>
          <w:ilvl w:val="0"/>
          <w:numId w:val="1"/>
        </w:numPr>
        <w:spacing w:after="60" w:line="300"/>
      </w:pPr>
      <w:r>
        <w:rPr>
          <w:rFonts w:ascii="Times New Roman"/>
          <w:color w:val="000000"/>
          <w:sz w:val="22"/>
          <w:szCs w:val="22"/>
        </w:rPr>
        <w:t xml:space="preserve">IMO MEPC.1/Circ.684, Appendix — worked examples and rolling average.</w:t>
      </w:r>
    </w:p>
    <w:p>
      <w:pPr>
        <w:pStyle w:val="Heading1"/>
        <w:spacing w:after="200" w:before="420" w:line="312"/>
      </w:pPr>
      <w:bookmarkStart w:id="100003" w:name="_Toc100003"/>
      <w:r>
        <w:rPr>
          <w:rFonts w:ascii="Times New Roman"/>
          <w:b/>
          <w:bCs/>
          <w:color w:val="0B1C2C"/>
          <w:sz w:val="32"/>
          <w:szCs w:val="32"/>
        </w:rPr>
        <w:t xml:space="preserve">4. EEXI — Energy Efficiency Existing Ship Index</w:t>
      </w:r>
      <w:bookmarkEnd w:id="100003"/>
    </w:p>
    <w:p>
      <w:pPr>
        <w:spacing w:after="80" w:line="312"/>
        <w:ind w:firstLine="360"/>
        <w:jc w:val="both"/>
      </w:pPr>
      <w:r>
        <w:rPr>
          <w:rFonts w:ascii="Times New Roman"/>
          <w:color w:val="000000"/>
          <w:sz w:val="22"/>
          <w:szCs w:val="22"/>
        </w:rPr>
        <w:t xml:space="preserve">The EEXI is a one-off technical (design) efficiency index for existing ships ≥ 400 GT, applicable from 2023 under MARPOL Annex VI amendments (MEPC.328(70) and guidelines MEPC.333(76)/MEPC.350(78)). It is structurally identical to EEDI but applied to the existing fleet, often after engine power limitation (EPL/ShaPoLi).</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The Attained EEXI sums the CO2 from main and auxiliary engines and innovative technologies, divided by ship capacity and reference speed:</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                  ( P_ME x SFC_ME x CF_ME ) + ( P_AE x SFC_AE x CF_AE )</w:t>
            </w:r>
          </w:p>
          <w:p>
            <w:pPr>
              <w:spacing w:after="60" w:line="300"/>
              <w:jc w:val="center"/>
            </w:pPr>
            <w:r>
              <w:rPr>
                <w:rFonts w:ascii="Courier New"/>
                <w:b/>
                <w:bCs/>
                <w:color w:val="000000"/>
                <w:sz w:val="22"/>
                <w:szCs w:val="22"/>
              </w:rPr>
              <w:t xml:space="preserve">Attained EEXI =  ----------------------------------------------------------------  x f_i x f_w x f_eff  +  (PTI term)</w:t>
            </w:r>
          </w:p>
          <w:p>
            <w:pPr>
              <w:spacing w:after="0" w:line="300"/>
              <w:jc w:val="center"/>
            </w:pPr>
            <w:r>
              <w:rPr>
                <w:rFonts w:ascii="Courier New"/>
                <w:b/>
                <w:bCs/>
                <w:color w:val="000000"/>
                <w:sz w:val="22"/>
                <w:szCs w:val="22"/>
              </w:rPr>
              <w:t xml:space="preserve">                                    fi x Capacity x V_ref x f_V</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P_ME</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75% of the (limited) main-engine MCR</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after EPL/ShaPoLi if applied</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SFC_ME</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Certified specific fuel consumption of ME at 75% MCR</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g/kWh</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from NOx Technical File</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CF_ME</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CO2 factor of the ME fuel</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t-CO2/t-fuel</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Topic 11</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P_AE</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Auxiliary power at 75% ME load</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per EEDI/EEXI formula; simplified for certain ship types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Capacity</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DWT for most types; GT for passenger/cruise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 / GT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per Annex VI</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V_ref</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Reference speed at 75% MCR (calm water)</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from speed-power trial or tank test</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f_w</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Weather/calm-water factor</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per guidelines</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f_i</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Capacity-correction factor for ice class, etc.</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1.0 if not applicable</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f_eff</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Innovative energy-efficiency factor</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for approved waste-heat/wind devices</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Result in gCO2/t-nm. The Attained EEXI must be &lt;= Required EEXI = (1 - reduction) x Reference line value, where the reference line is (a x Capacity^-c) with ship-type coefficients a, c and a reduction factor specified in the guidelines.</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structure (a 50,000 DWT bulk carrier, P_ME = 6,000 kW, SFC_ME = 170 g/kWh, HFO CF = 3.114, V_ref = 14.5 kn, P_AE = 350 kW, SFC_AE = 215 g/kWh, all f = 1.0):</w:t>
      </w:r>
    </w:p>
    <w:p>
      <w:pPr>
        <w:spacing w:after="40" w:line="276"/>
        <w:jc w:val="left"/>
      </w:pPr>
      <w:r>
        <w:rPr>
          <w:rFonts w:ascii="Courier New"/>
          <w:color w:val="000000"/>
          <w:sz w:val="20"/>
          <w:szCs w:val="20"/>
        </w:rPr>
        <w:t xml:space="preserve">ME term  = 6,000 x 170 x 3.114 = 3,176,280</w:t>
      </w:r>
    </w:p>
    <w:p>
      <w:pPr>
        <w:spacing w:after="40" w:line="276"/>
        <w:jc w:val="left"/>
      </w:pPr>
      <w:r>
        <w:rPr>
          <w:rFonts w:ascii="Courier New"/>
          <w:color w:val="000000"/>
          <w:sz w:val="20"/>
          <w:szCs w:val="20"/>
        </w:rPr>
        <w:t xml:space="preserve">AE term  = 350 x 215 x 3.114   =   234,330</w:t>
      </w:r>
    </w:p>
    <w:p>
      <w:pPr>
        <w:spacing w:after="40" w:line="276"/>
        <w:jc w:val="left"/>
      </w:pPr>
      <w:r>
        <w:rPr>
          <w:rFonts w:ascii="Courier New"/>
          <w:color w:val="000000"/>
          <w:sz w:val="20"/>
          <w:szCs w:val="20"/>
        </w:rPr>
        <w:t xml:space="preserve">Numerator = 3,176,280 + 234,330 = 3,410,610</w:t>
      </w:r>
    </w:p>
    <w:p>
      <w:pPr>
        <w:spacing w:after="40" w:line="276"/>
        <w:jc w:val="left"/>
      </w:pPr>
      <w:r>
        <w:rPr>
          <w:rFonts w:ascii="Courier New"/>
          <w:color w:val="000000"/>
          <w:sz w:val="20"/>
          <w:szCs w:val="20"/>
        </w:rPr>
        <w:t xml:space="preserve">Denominator = 50,000 x 14.5 = 725,000</w:t>
      </w:r>
    </w:p>
    <w:p>
      <w:pPr>
        <w:spacing w:after="40" w:line="276"/>
        <w:jc w:val="left"/>
      </w:pPr>
      <w:r>
        <w:rPr>
          <w:rFonts w:ascii="Courier New"/>
          <w:color w:val="000000"/>
          <w:sz w:val="20"/>
          <w:szCs w:val="20"/>
        </w:rPr>
        <w:t xml:space="preserve">Attained EEXI = 3,410,610 / 725,000 = 4.70 gCO2/t-nm</w:t>
      </w:r>
    </w:p>
    <w:p>
      <w:pPr>
        <w:spacing w:after="40" w:line="276"/>
        <w:jc w:val="left"/>
      </w:pPr>
      <w:r>
        <w:rPr>
          <w:rFonts w:ascii="Courier New"/>
          <w:color w:val="000000"/>
          <w:sz w:val="20"/>
          <w:szCs w:val="20"/>
        </w:rPr>
        <w:t xml:space="preserve"/>
      </w:r>
    </w:p>
    <w:p>
      <w:pPr>
        <w:spacing w:after="40" w:line="276"/>
        <w:jc w:val="left"/>
      </w:pPr>
      <w:r>
        <w:rPr>
          <w:rFonts w:ascii="Courier New"/>
          <w:color w:val="000000"/>
          <w:sz w:val="20"/>
          <w:szCs w:val="20"/>
        </w:rPr>
        <w:t xml:space="preserve">Required EEXI = (1 - reduction) x Reference line value  -&gt;  compare and, if needed, apply EPL/ShaPoLi and recompute.</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EEXI is a regulatory certification (IEE Certificate). It is a one-off but must be re-validated on technical change.</w:t>
      </w:r>
    </w:p>
    <w:p>
      <w:pPr>
        <w:pStyle w:val="ListParagraph"/>
        <w:numPr>
          <w:ilvl w:val="0"/>
          <w:numId w:val="1"/>
        </w:numPr>
        <w:spacing w:after="60" w:line="300"/>
      </w:pPr>
      <w:r>
        <w:rPr>
          <w:rFonts w:ascii="Times New Roman"/>
          <w:color w:val="000000"/>
          <w:sz w:val="22"/>
          <w:szCs w:val="22"/>
        </w:rPr>
        <w:t xml:space="preserve">Compliance certification (International Energy Efficiency Certificate).</w:t>
      </w:r>
    </w:p>
    <w:p>
      <w:pPr>
        <w:pStyle w:val="ListParagraph"/>
        <w:numPr>
          <w:ilvl w:val="0"/>
          <w:numId w:val="1"/>
        </w:numPr>
        <w:spacing w:after="60" w:line="300"/>
      </w:pPr>
      <w:r>
        <w:rPr>
          <w:rFonts w:ascii="Times New Roman"/>
          <w:color w:val="000000"/>
          <w:sz w:val="22"/>
          <w:szCs w:val="22"/>
        </w:rPr>
        <w:t xml:space="preserve">Determining the required engine power limitation (EPL/ShaPoLi).</w:t>
      </w:r>
    </w:p>
    <w:p>
      <w:pPr>
        <w:pStyle w:val="ListParagraph"/>
        <w:numPr>
          <w:ilvl w:val="0"/>
          <w:numId w:val="1"/>
        </w:numPr>
        <w:spacing w:after="60" w:line="300"/>
      </w:pPr>
      <w:r>
        <w:rPr>
          <w:rFonts w:ascii="Times New Roman"/>
          <w:color w:val="000000"/>
          <w:sz w:val="22"/>
          <w:szCs w:val="22"/>
        </w:rPr>
        <w:t xml:space="preserve">Technical benchmark for retrofit decisions.</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It is a design (not operational) metric — a compliant EEXI does not mean good CII.</w:t>
      </w:r>
    </w:p>
    <w:p>
      <w:pPr>
        <w:pStyle w:val="ListParagraph"/>
        <w:numPr>
          <w:ilvl w:val="0"/>
          <w:numId w:val="1"/>
        </w:numPr>
        <w:spacing w:after="60" w:line="300"/>
      </w:pPr>
      <w:r>
        <w:rPr>
          <w:rFonts w:ascii="Times New Roman"/>
          <w:color w:val="000000"/>
          <w:sz w:val="22"/>
          <w:szCs w:val="22"/>
        </w:rPr>
        <w:t xml:space="preserve">Reference speed depends on trial/tank data quality; out-of-date data distorts results.</w:t>
      </w:r>
    </w:p>
    <w:p>
      <w:pPr>
        <w:pStyle w:val="ListParagraph"/>
        <w:numPr>
          <w:ilvl w:val="0"/>
          <w:numId w:val="1"/>
        </w:numPr>
        <w:spacing w:after="60" w:line="300"/>
      </w:pPr>
      <w:r>
        <w:rPr>
          <w:rFonts w:ascii="Times New Roman"/>
          <w:color w:val="000000"/>
          <w:sz w:val="22"/>
          <w:szCs w:val="22"/>
        </w:rPr>
        <w:t xml:space="preserve">Ship-type coefficients (a, c) and reduction factors must be taken from the current guidelines.</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IMO Resolution MEPC.328(70) — Annex VI amendments introducing EEXI.</w:t>
      </w:r>
    </w:p>
    <w:p>
      <w:pPr>
        <w:pStyle w:val="ListParagraph"/>
        <w:numPr>
          <w:ilvl w:val="0"/>
          <w:numId w:val="1"/>
        </w:numPr>
        <w:spacing w:after="60" w:line="300"/>
      </w:pPr>
      <w:r>
        <w:rPr>
          <w:rFonts w:ascii="Times New Roman"/>
          <w:color w:val="000000"/>
          <w:sz w:val="22"/>
          <w:szCs w:val="22"/>
        </w:rPr>
        <w:t xml:space="preserve">IMO Resolution MEPC.333(76) — EEXI calculation guidelines.</w:t>
      </w:r>
    </w:p>
    <w:p>
      <w:pPr>
        <w:pStyle w:val="ListParagraph"/>
        <w:numPr>
          <w:ilvl w:val="0"/>
          <w:numId w:val="1"/>
        </w:numPr>
        <w:spacing w:after="60" w:line="300"/>
      </w:pPr>
      <w:r>
        <w:rPr>
          <w:rFonts w:ascii="Times New Roman"/>
          <w:color w:val="000000"/>
          <w:sz w:val="22"/>
          <w:szCs w:val="22"/>
        </w:rPr>
        <w:t xml:space="preserve">IMO Resolution MEPC.350(78) — EEXI survey &amp; certification guidelines.</w:t>
      </w:r>
    </w:p>
    <w:p>
      <w:pPr>
        <w:pStyle w:val="Heading1"/>
        <w:spacing w:after="200" w:before="420" w:line="312"/>
      </w:pPr>
      <w:bookmarkStart w:id="100004" w:name="_Toc100004"/>
      <w:r>
        <w:rPr>
          <w:rFonts w:ascii="Times New Roman"/>
          <w:b/>
          <w:bCs/>
          <w:color w:val="0B1C2C"/>
          <w:sz w:val="32"/>
          <w:szCs w:val="32"/>
        </w:rPr>
        <w:t xml:space="preserve">5. EEDI — Energy Efficiency Design Index (new ships)</w:t>
      </w:r>
      <w:bookmarkEnd w:id="100004"/>
    </w:p>
    <w:p>
      <w:pPr>
        <w:spacing w:after="80" w:line="312"/>
        <w:ind w:firstLine="360"/>
        <w:jc w:val="both"/>
      </w:pPr>
      <w:r>
        <w:rPr>
          <w:rFonts w:ascii="Times New Roman"/>
          <w:color w:val="000000"/>
          <w:sz w:val="22"/>
          <w:szCs w:val="22"/>
        </w:rPr>
        <w:t xml:space="preserve">EEDI, mandated by MEPC.203(62) and detailed in MEPC.245(66), is the new-build design efficiency index. It requires each new ship to achieve an Attained EEDI below a phase-specific Required EEDI derived from a ship-type reference line.</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The Attained EEDI for a conventional ship:</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                  ( P_ME x SFC_ME x CF_ME ) + ( P_AE x SFC_AE x CF_AE ) + ( P_eff x SFC_eff x CF_eff )</w:t>
            </w:r>
          </w:p>
          <w:p>
            <w:pPr>
              <w:spacing w:after="60" w:line="300"/>
              <w:jc w:val="center"/>
            </w:pPr>
            <w:r>
              <w:rPr>
                <w:rFonts w:ascii="Courier New"/>
                <w:b/>
                <w:bCs/>
                <w:color w:val="000000"/>
                <w:sz w:val="22"/>
                <w:szCs w:val="22"/>
              </w:rPr>
              <w:t xml:space="preserve">Attained EEDI =  -------------------------------------------------------------------------------------------------------------------------</w:t>
            </w:r>
          </w:p>
          <w:p>
            <w:pPr>
              <w:spacing w:after="0" w:line="300"/>
              <w:jc w:val="center"/>
            </w:pPr>
            <w:r>
              <w:rPr>
                <w:rFonts w:ascii="Courier New"/>
                <w:b/>
                <w:bCs/>
                <w:color w:val="000000"/>
                <w:sz w:val="22"/>
                <w:szCs w:val="22"/>
              </w:rPr>
              <w:t xml:space="preserve">                                    fi x Capacity x V_ref</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P_ME</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75% of MCR of the main engine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summed if multiple ME</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SFC_ME</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Certified specific fuel consumption of ME</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g/kWh</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from NOx Technical File</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CF_ME</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CO2 factor of ME fuel</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t-CO2/t-fuel</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Topic 11</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P_AE</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Auxiliary engine power required at normal sea load</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per EEDI formula</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P_eff</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Power output of innovative electrical/mechanical efficiency tech</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e.g. WHR, wind assist</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Capacity</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DWT for most types (GT for cruise/ro-ro passenger)</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 / GT</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Annex VI definition</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V_ref</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Ship speed at calm water, 75% MCR, design draft</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trial or tank-test derived</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fi, f_w, f_eff</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Correction factors</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ice class, weather, innovative tech</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Result in gCO2/t-nm. Required EEDI = (1 - X/100) x Reference line value, where Reference line = a x Capacity^(-c) (ship-type coefficients from MEPC.245(66)) and X is the phase reduction (Phase 0/1/2/3 — progressively tighter).</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new 180,000 DWT bulk carrier, P_ME = 13,000 kW, SFC_ME 168 g/kWh, HFO CF 3.114, V_ref 15.0 kn, simplified:</w:t>
      </w:r>
    </w:p>
    <w:p>
      <w:pPr>
        <w:spacing w:after="40" w:line="276"/>
        <w:jc w:val="left"/>
      </w:pPr>
      <w:r>
        <w:rPr>
          <w:rFonts w:ascii="Courier New"/>
          <w:color w:val="000000"/>
          <w:sz w:val="20"/>
          <w:szCs w:val="20"/>
        </w:rPr>
        <w:t xml:space="preserve">Numerator approx = 13,000 x 168 x 3.114 = 6,805,000 (ME only, ignoring AE/eff)</w:t>
      </w:r>
    </w:p>
    <w:p>
      <w:pPr>
        <w:spacing w:after="40" w:line="276"/>
        <w:jc w:val="left"/>
      </w:pPr>
      <w:r>
        <w:rPr>
          <w:rFonts w:ascii="Courier New"/>
          <w:color w:val="000000"/>
          <w:sz w:val="20"/>
          <w:szCs w:val="20"/>
        </w:rPr>
        <w:t xml:space="preserve">Denominator = 180,000 x 15.0 = 2,700,000</w:t>
      </w:r>
    </w:p>
    <w:p>
      <w:pPr>
        <w:spacing w:after="40" w:line="276"/>
        <w:jc w:val="left"/>
      </w:pPr>
      <w:r>
        <w:rPr>
          <w:rFonts w:ascii="Courier New"/>
          <w:color w:val="000000"/>
          <w:sz w:val="20"/>
          <w:szCs w:val="20"/>
        </w:rPr>
        <w:t xml:space="preserve">Attained EEDI approx = 6,805,000 / 2,700,000 = 2.52 gCO2/t-nm</w:t>
      </w:r>
    </w:p>
    <w:p>
      <w:pPr>
        <w:spacing w:after="40" w:line="276"/>
        <w:jc w:val="left"/>
      </w:pPr>
      <w:r>
        <w:rPr>
          <w:rFonts w:ascii="Courier New"/>
          <w:color w:val="000000"/>
          <w:sz w:val="20"/>
          <w:szCs w:val="20"/>
        </w:rPr>
        <w:t xml:space="preserve"/>
      </w:r>
    </w:p>
    <w:p>
      <w:pPr>
        <w:spacing w:after="40" w:line="276"/>
        <w:jc w:val="left"/>
      </w:pPr>
      <w:r>
        <w:rPr>
          <w:rFonts w:ascii="Courier New"/>
          <w:color w:val="000000"/>
          <w:sz w:val="20"/>
          <w:szCs w:val="20"/>
        </w:rPr>
        <w:t xml:space="preserve">Required EEDI = (1 - X/100) x (a x Capacity^-c)   -&gt;   compare per current phase.</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EEDI is the regulatory requirement that makes new ships progressively more efficient through Phases 0–3 (and onward).</w:t>
      </w:r>
    </w:p>
    <w:p>
      <w:pPr>
        <w:pStyle w:val="ListParagraph"/>
        <w:numPr>
          <w:ilvl w:val="0"/>
          <w:numId w:val="1"/>
        </w:numPr>
        <w:spacing w:after="60" w:line="300"/>
      </w:pPr>
      <w:r>
        <w:rPr>
          <w:rFonts w:ascii="Times New Roman"/>
          <w:color w:val="000000"/>
          <w:sz w:val="22"/>
          <w:szCs w:val="22"/>
        </w:rPr>
        <w:t xml:space="preserve">Mandatory new-build compliance (IEE Certificate).</w:t>
      </w:r>
    </w:p>
    <w:p>
      <w:pPr>
        <w:pStyle w:val="ListParagraph"/>
        <w:numPr>
          <w:ilvl w:val="0"/>
          <w:numId w:val="1"/>
        </w:numPr>
        <w:spacing w:after="60" w:line="300"/>
      </w:pPr>
      <w:r>
        <w:rPr>
          <w:rFonts w:ascii="Times New Roman"/>
          <w:color w:val="000000"/>
          <w:sz w:val="22"/>
          <w:szCs w:val="22"/>
        </w:rPr>
        <w:t xml:space="preserve">Shipyard contract specification &amp; verification trials.</w:t>
      </w:r>
    </w:p>
    <w:p>
      <w:pPr>
        <w:pStyle w:val="ListParagraph"/>
        <w:numPr>
          <w:ilvl w:val="0"/>
          <w:numId w:val="1"/>
        </w:numPr>
        <w:spacing w:after="60" w:line="300"/>
      </w:pPr>
      <w:r>
        <w:rPr>
          <w:rFonts w:ascii="Times New Roman"/>
          <w:color w:val="000000"/>
          <w:sz w:val="22"/>
          <w:szCs w:val="22"/>
        </w:rPr>
        <w:t xml:space="preserve">Setting the baseline against which EEXI measures existing ships.</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It captures design, not operations; an EEDI-compliant ship may have a poor CII in service.</w:t>
      </w:r>
    </w:p>
    <w:p>
      <w:pPr>
        <w:pStyle w:val="ListParagraph"/>
        <w:numPr>
          <w:ilvl w:val="0"/>
          <w:numId w:val="1"/>
        </w:numPr>
        <w:spacing w:after="60" w:line="300"/>
      </w:pPr>
      <w:r>
        <w:rPr>
          <w:rFonts w:ascii="Times New Roman"/>
          <w:color w:val="000000"/>
          <w:sz w:val="22"/>
          <w:szCs w:val="22"/>
        </w:rPr>
        <w:t xml:space="preserve">Coefficients a, c and phase reductions are revised periodically.</w:t>
      </w:r>
    </w:p>
    <w:p>
      <w:pPr>
        <w:pStyle w:val="ListParagraph"/>
        <w:numPr>
          <w:ilvl w:val="0"/>
          <w:numId w:val="1"/>
        </w:numPr>
        <w:spacing w:after="60" w:line="300"/>
      </w:pPr>
      <w:r>
        <w:rPr>
          <w:rFonts w:ascii="Times New Roman"/>
          <w:color w:val="000000"/>
          <w:sz w:val="22"/>
          <w:szCs w:val="22"/>
        </w:rPr>
        <w:t xml:space="preserve">Trial/tank-test quality limits reference-speed accuracy.</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IMO Resolution MEPC.203(62) — original EEDI amendments.</w:t>
      </w:r>
    </w:p>
    <w:p>
      <w:pPr>
        <w:pStyle w:val="ListParagraph"/>
        <w:numPr>
          <w:ilvl w:val="0"/>
          <w:numId w:val="1"/>
        </w:numPr>
        <w:spacing w:after="60" w:line="300"/>
      </w:pPr>
      <w:r>
        <w:rPr>
          <w:rFonts w:ascii="Times New Roman"/>
          <w:color w:val="000000"/>
          <w:sz w:val="22"/>
          <w:szCs w:val="22"/>
        </w:rPr>
        <w:t xml:space="preserve">IMO Resolution MEPC.245(66) — EEDI calculation guidelines &amp; reference lines.</w:t>
      </w:r>
    </w:p>
    <w:p>
      <w:pPr>
        <w:pStyle w:val="ListParagraph"/>
        <w:numPr>
          <w:ilvl w:val="0"/>
          <w:numId w:val="1"/>
        </w:numPr>
        <w:spacing w:after="60" w:line="300"/>
      </w:pPr>
      <w:r>
        <w:rPr>
          <w:rFonts w:ascii="Times New Roman"/>
          <w:color w:val="000000"/>
          <w:sz w:val="22"/>
          <w:szCs w:val="22"/>
        </w:rPr>
        <w:t xml:space="preserve">IMO Resolution MEPC.251(66) — amendments to EEDI requirements (Phases).</w:t>
      </w:r>
    </w:p>
    <w:p>
      <w:pPr>
        <w:pStyle w:val="Heading1"/>
        <w:spacing w:after="200" w:before="420" w:line="312"/>
      </w:pPr>
      <w:bookmarkStart w:id="100005" w:name="_Toc100005"/>
      <w:r>
        <w:rPr>
          <w:rFonts w:ascii="Times New Roman"/>
          <w:b/>
          <w:bCs/>
          <w:color w:val="0B1C2C"/>
          <w:sz w:val="32"/>
          <w:szCs w:val="32"/>
        </w:rPr>
        <w:t xml:space="preserve">6. FuelEU Maritime — Well-to-Wake Intensity &amp; Compliance Balance</w:t>
      </w:r>
      <w:bookmarkEnd w:id="100005"/>
    </w:p>
    <w:p>
      <w:pPr>
        <w:spacing w:after="80" w:line="312"/>
        <w:ind w:firstLine="360"/>
        <w:jc w:val="both"/>
      </w:pPr>
      <w:r>
        <w:rPr>
          <w:rFonts w:ascii="Times New Roman"/>
          <w:color w:val="000000"/>
          <w:sz w:val="22"/>
          <w:szCs w:val="22"/>
        </w:rPr>
        <w:t xml:space="preserve">FuelEU Maritime (Regulation (EU) 2023/1805, applicable 1 Jan 2025) limits the well-to-wake GHG intensity of energy used on board ships ≥ 5,000 GT calling at EU/EEA ports. It covers CO2, CH4 and N2O, expressed in CO2-equivalent per MJ.</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The annual achieved WtW intensity is a fuel-mass-weighted average of well-to-tank plus tank-to-wake emission factors:</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0" w:line="300"/>
              <w:jc w:val="center"/>
            </w:pPr>
            <w:r>
              <w:rPr>
                <w:rFonts w:ascii="Courier New"/>
                <w:b/>
                <w:bCs/>
                <w:color w:val="000000"/>
                <w:sz w:val="22"/>
                <w:szCs w:val="22"/>
              </w:rPr>
              <w:t xml:space="preserve">GHG_intensity = Sum_w ( E_w x ( WtT_w + TtW_w ) ) / Sum_w ( E_w )</w:t>
            </w:r>
          </w:p>
        </w:tc>
      </w:tr>
    </w:tbl>
    <w:p>
      <w:pPr>
        <w:spacing w:after="60"/>
      </w:pP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0" w:line="300"/>
              <w:jc w:val="center"/>
            </w:pPr>
            <w:r>
              <w:rPr>
                <w:rFonts w:ascii="Courier New"/>
                <w:b/>
                <w:bCs/>
                <w:color w:val="000000"/>
                <w:sz w:val="22"/>
                <w:szCs w:val="22"/>
              </w:rPr>
              <w:t xml:space="preserve">E_w = m_fuel,w x LCV_w</w:t>
            </w:r>
          </w:p>
        </w:tc>
      </w:tr>
    </w:tbl>
    <w:p>
      <w:pPr>
        <w:spacing w:after="60"/>
      </w:pP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0" w:line="300"/>
              <w:jc w:val="center"/>
            </w:pPr>
            <w:r>
              <w:rPr>
                <w:rFonts w:ascii="Courier New"/>
                <w:b/>
                <w:bCs/>
                <w:color w:val="000000"/>
                <w:sz w:val="22"/>
                <w:szCs w:val="22"/>
              </w:rPr>
              <w:t xml:space="preserve">Compliance balance = ( GHG_intensity - Limit_year ) x Energy_total</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E_w</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Energy content of fuel type w used</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MJ</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 mass x lower calorific value</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WtT_w</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Well-to-tank emission factor of fuel w (upstream)</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gCO2eq/MJ</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Annex II of Reg. 2023/1805</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TtW_w</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Tank-to-wake emission factor of fuel w (combustion)</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gCO2eq/MJ</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CO2 + CH4 + N2O, in CO2eq</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m_fuel,w</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Mass of fuel w consumed (EU-allocated share)</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100% intra-EU; 50% extra-EU</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LCV_w</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Lower calorific value of fuel w</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MJ/t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per Annex II</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Limit_year</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Year-specific intensity limit</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gCO2eq/MJ</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2% cut in 2025 vs 2020 ref 91.16; 6% in 2030</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Result in gCO2eq/MJ (CO2-equivalent, using GWP-100: CH4 ~28, N2O ~265). A negative compliance balance = non-compliance; penalty ~€2,400/t VLSFO-equivalent of excess energy, escalating for repeat non-compliance.</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a ship uses 5,000 t LNG in the EU-allocated share. Take LCV_LNG ~ 48,000 MJ/t; illustrative combined WtW factor (WtT + TtW) = 18.5 gCO2eq/MJ (values must be confirmed against current Annex II):</w:t>
      </w:r>
    </w:p>
    <w:p>
      <w:pPr>
        <w:spacing w:after="40" w:line="276"/>
        <w:jc w:val="left"/>
      </w:pPr>
      <w:r>
        <w:rPr>
          <w:rFonts w:ascii="Courier New"/>
          <w:color w:val="000000"/>
          <w:sz w:val="20"/>
          <w:szCs w:val="20"/>
        </w:rPr>
        <w:t xml:space="preserve">E_LNG = 5,000 x 48,000 = 2.4 x 10^8 MJ</w:t>
      </w:r>
    </w:p>
    <w:p>
      <w:pPr>
        <w:spacing w:after="40" w:line="276"/>
        <w:jc w:val="left"/>
      </w:pPr>
      <w:r>
        <w:rPr>
          <w:rFonts w:ascii="Courier New"/>
          <w:color w:val="000000"/>
          <w:sz w:val="20"/>
          <w:szCs w:val="20"/>
        </w:rPr>
        <w:t xml:space="preserve">GHG_intensity = (2.4e8 x 18.5) / 2.4e8 = 18.5 gCO2eq/MJ  (single fuel)</w:t>
      </w:r>
    </w:p>
    <w:p>
      <w:pPr>
        <w:spacing w:after="40" w:line="276"/>
        <w:jc w:val="left"/>
      </w:pPr>
      <w:r>
        <w:rPr>
          <w:rFonts w:ascii="Courier New"/>
          <w:color w:val="000000"/>
          <w:sz w:val="20"/>
          <w:szCs w:val="20"/>
        </w:rPr>
        <w:t xml:space="preserve">Limit_2025 = 91.16 x (1 - 0.02) = 89.34 gCO2eq/MJ</w:t>
      </w:r>
    </w:p>
    <w:p>
      <w:pPr>
        <w:spacing w:after="40" w:line="276"/>
        <w:jc w:val="left"/>
      </w:pPr>
      <w:r>
        <w:rPr>
          <w:rFonts w:ascii="Courier New"/>
          <w:color w:val="000000"/>
          <w:sz w:val="20"/>
          <w:szCs w:val="20"/>
        </w:rPr>
        <w:t xml:space="preserve">Compliance balance = (18.5 - 89.34) x 2.4e8 = negative -&gt; the ship is compliant.</w:t>
      </w:r>
    </w:p>
    <w:p>
      <w:pPr>
        <w:spacing w:after="40" w:line="276"/>
        <w:jc w:val="left"/>
      </w:pPr>
      <w:r>
        <w:rPr>
          <w:rFonts w:ascii="Courier New"/>
          <w:color w:val="000000"/>
          <w:sz w:val="20"/>
          <w:szCs w:val="20"/>
        </w:rPr>
        <w:t xml:space="preserve"/>
      </w:r>
    </w:p>
    <w:p>
      <w:pPr>
        <w:spacing w:after="40" w:line="276"/>
        <w:jc w:val="left"/>
      </w:pPr>
      <w:r>
        <w:rPr>
          <w:rFonts w:ascii="Courier New"/>
          <w:color w:val="000000"/>
          <w:sz w:val="20"/>
          <w:szCs w:val="20"/>
        </w:rPr>
        <w:t xml:space="preserve">Had intensity been 92.0 gCO2eq/MJ:</w:t>
      </w:r>
    </w:p>
    <w:p>
      <w:pPr>
        <w:spacing w:after="40" w:line="276"/>
        <w:jc w:val="left"/>
      </w:pPr>
      <w:r>
        <w:rPr>
          <w:rFonts w:ascii="Courier New"/>
          <w:color w:val="000000"/>
          <w:sz w:val="20"/>
          <w:szCs w:val="20"/>
        </w:rPr>
        <w:t xml:space="preserve">Excess = (92.0 - 89.34) x 2.4e8 = 6.38 x 10^7 gCO2eq -&gt; convert to VLSFO-eq energy -&gt; penalty applies.</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FuelEU forces the energy/fuel mix toward low-carbon pathways (RFNBOs, biofuels, e-fuels, LNG with methane slip control).</w:t>
      </w:r>
    </w:p>
    <w:p>
      <w:pPr>
        <w:pStyle w:val="ListParagraph"/>
        <w:numPr>
          <w:ilvl w:val="0"/>
          <w:numId w:val="1"/>
        </w:numPr>
        <w:spacing w:after="60" w:line="300"/>
      </w:pPr>
      <w:r>
        <w:rPr>
          <w:rFonts w:ascii="Times New Roman"/>
          <w:color w:val="000000"/>
          <w:sz w:val="22"/>
          <w:szCs w:val="22"/>
        </w:rPr>
        <w:t xml:space="preserve">Annual FuelEU reporting (verified report by 30 June of the following year).</w:t>
      </w:r>
    </w:p>
    <w:p>
      <w:pPr>
        <w:pStyle w:val="ListParagraph"/>
        <w:numPr>
          <w:ilvl w:val="0"/>
          <w:numId w:val="1"/>
        </w:numPr>
        <w:spacing w:after="60" w:line="300"/>
      </w:pPr>
      <w:r>
        <w:rPr>
          <w:rFonts w:ascii="Times New Roman"/>
          <w:color w:val="000000"/>
          <w:sz w:val="22"/>
          <w:szCs w:val="22"/>
        </w:rPr>
        <w:t xml:space="preserve">Fuel-procurement and dual-fuel investment decisions.</w:t>
      </w:r>
    </w:p>
    <w:p>
      <w:pPr>
        <w:pStyle w:val="ListParagraph"/>
        <w:numPr>
          <w:ilvl w:val="0"/>
          <w:numId w:val="1"/>
        </w:numPr>
        <w:spacing w:after="60" w:line="300"/>
      </w:pPr>
      <w:r>
        <w:rPr>
          <w:rFonts w:ascii="Times New Roman"/>
          <w:color w:val="000000"/>
          <w:sz w:val="22"/>
          <w:szCs w:val="22"/>
        </w:rPr>
        <w:t xml:space="preserve">Reward/penalty modelling for fuel-switching scenarios.</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Methane slip from LNG engines materially affects the TtW CH4 term and must be engine-specific.</w:t>
      </w:r>
    </w:p>
    <w:p>
      <w:pPr>
        <w:pStyle w:val="ListParagraph"/>
        <w:numPr>
          <w:ilvl w:val="0"/>
          <w:numId w:val="1"/>
        </w:numPr>
        <w:spacing w:after="60" w:line="300"/>
      </w:pPr>
      <w:r>
        <w:rPr>
          <w:rFonts w:ascii="Times New Roman"/>
          <w:color w:val="000000"/>
          <w:sz w:val="22"/>
          <w:szCs w:val="22"/>
        </w:rPr>
        <w:t xml:space="preserve">RFNBO/biofuel emission factors require sustainability certificates to be claimable.</w:t>
      </w:r>
    </w:p>
    <w:p>
      <w:pPr>
        <w:pStyle w:val="ListParagraph"/>
        <w:numPr>
          <w:ilvl w:val="0"/>
          <w:numId w:val="1"/>
        </w:numPr>
        <w:spacing w:after="60" w:line="300"/>
      </w:pPr>
      <w:r>
        <w:rPr>
          <w:rFonts w:ascii="Times New Roman"/>
          <w:color w:val="000000"/>
          <w:sz w:val="22"/>
          <w:szCs w:val="22"/>
        </w:rPr>
        <w:t xml:space="preserve">Limits and penalty rates are updated by the Commission — verify current values.</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Regulation (EU) 2023/1805 — FuelEU Maritime (Articles &amp; Annexes I–II).</w:t>
      </w:r>
    </w:p>
    <w:p>
      <w:pPr>
        <w:pStyle w:val="ListParagraph"/>
        <w:numPr>
          <w:ilvl w:val="0"/>
          <w:numId w:val="1"/>
        </w:numPr>
        <w:spacing w:after="60" w:line="300"/>
      </w:pPr>
      <w:r>
        <w:rPr>
          <w:rFonts w:ascii="Times New Roman"/>
          <w:color w:val="000000"/>
          <w:sz w:val="22"/>
          <w:szCs w:val="22"/>
        </w:rPr>
        <w:t xml:space="preserve">European Commission — FuelEU Maritime implementing &amp; delegated acts.</w:t>
      </w:r>
    </w:p>
    <w:p>
      <w:pPr>
        <w:pStyle w:val="Heading1"/>
        <w:spacing w:after="200" w:before="420" w:line="312"/>
      </w:pPr>
      <w:bookmarkStart w:id="100006" w:name="_Toc100006"/>
      <w:r>
        <w:rPr>
          <w:rFonts w:ascii="Times New Roman"/>
          <w:b/>
          <w:bCs/>
          <w:color w:val="0B1C2C"/>
          <w:sz w:val="32"/>
          <w:szCs w:val="32"/>
        </w:rPr>
        <w:t xml:space="preserve">7. EU ETS — Maritime Emissions &amp; Allowance Surrender</w:t>
      </w:r>
      <w:bookmarkEnd w:id="100006"/>
    </w:p>
    <w:p>
      <w:pPr>
        <w:spacing w:after="80" w:line="312"/>
        <w:ind w:firstLine="360"/>
        <w:jc w:val="both"/>
      </w:pPr>
      <w:r>
        <w:rPr>
          <w:rFonts w:ascii="Times New Roman"/>
          <w:color w:val="000000"/>
          <w:sz w:val="22"/>
          <w:szCs w:val="22"/>
        </w:rPr>
        <w:t xml:space="preserve">Shipping entered the EU ETS (Directive 2003/87/EC as amended by (EU) 2023/959) from 2024. Verified CO2 from EU MRV is converted into an allowance-surrender obligation using a phased coverage percentage and geographic allocation.</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The surrender obligation combines the verified emissions with phase-in and geography:</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0" w:line="300"/>
              <w:jc w:val="center"/>
            </w:pPr>
            <w:r>
              <w:rPr>
                <w:rFonts w:ascii="Courier New"/>
                <w:b/>
                <w:bCs/>
                <w:color w:val="000000"/>
                <w:sz w:val="22"/>
                <w:szCs w:val="22"/>
              </w:rPr>
              <w:t xml:space="preserve">Obligation_t  =  E_verified x PhasePct_t</w:t>
            </w:r>
          </w:p>
        </w:tc>
      </w:tr>
    </w:tbl>
    <w:p>
      <w:pPr>
        <w:spacing w:after="60"/>
      </w:pP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0" w:line="300"/>
              <w:jc w:val="center"/>
            </w:pPr>
            <w:r>
              <w:rPr>
                <w:rFonts w:ascii="Courier New"/>
                <w:b/>
                <w:bCs/>
                <w:color w:val="000000"/>
                <w:sz w:val="22"/>
                <w:szCs w:val="22"/>
              </w:rPr>
              <w:t xml:space="preserve">E_verified  =  Sum_voyage ( FC_voy x CF x Geo_voy )</w:t>
            </w:r>
          </w:p>
        </w:tc>
      </w:tr>
    </w:tbl>
    <w:p>
      <w:pPr>
        <w:spacing w:after="60"/>
      </w:pP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0" w:line="300"/>
              <w:jc w:val="center"/>
            </w:pPr>
            <w:r>
              <w:rPr>
                <w:rFonts w:ascii="Courier New"/>
                <w:b/>
                <w:bCs/>
                <w:color w:val="000000"/>
                <w:sz w:val="22"/>
                <w:szCs w:val="22"/>
              </w:rPr>
              <w:t xml:space="preserve">Geo_voy  =  100%  (intra-EU + at berth)  |  50%  (extra-EU inbound/outbound)</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E_verified</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Verified CO2 emissions from the EU MRV annual report</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t-CO2</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CO2 only 2024-25; CH4+N2O from 2026</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PhasePct_t</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Phase-in share for reporting year t</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40% (2024) / 70% (2025) / 100% (2026+)</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FC_voy</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Fuel consumed on a voyage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from MRV monitoring</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CF</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Fuel CO2 conversion factor</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t-CO2/t-fuel</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Topic 11</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Geo_voy</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Geographic allocation factor</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100% intra-EU &amp; berth; 50% extra-EU legs</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Result in t-CO2 (the surrender obligation). Multiply by the EUA price (€/t-CO2) for the cost. Surrender year = reporting year + 1.</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a ship's verified 2024 EU MRV CO2 = 25,000 t, split 16,000 t intra-EU/at-berth and 9,000 t on 50%-legs. PhasePct for 2024 reporting = 40%:</w:t>
      </w:r>
    </w:p>
    <w:p>
      <w:pPr>
        <w:spacing w:after="40" w:line="276"/>
        <w:jc w:val="left"/>
      </w:pPr>
      <w:r>
        <w:rPr>
          <w:rFonts w:ascii="Courier New"/>
          <w:color w:val="000000"/>
          <w:sz w:val="20"/>
          <w:szCs w:val="20"/>
        </w:rPr>
        <w:t xml:space="preserve">E_verified = 16,000 + 9,000 = 25,000 t-CO2  (already geography-weighted in MRV)</w:t>
      </w:r>
    </w:p>
    <w:p>
      <w:pPr>
        <w:spacing w:after="40" w:line="276"/>
        <w:jc w:val="left"/>
      </w:pPr>
      <w:r>
        <w:rPr>
          <w:rFonts w:ascii="Courier New"/>
          <w:color w:val="000000"/>
          <w:sz w:val="20"/>
          <w:szCs w:val="20"/>
        </w:rPr>
        <w:t xml:space="preserve">Obligation_2024 = 25,000 x 0.40 = 10,000 EUAs to surrender in 2025</w:t>
      </w:r>
    </w:p>
    <w:p>
      <w:pPr>
        <w:spacing w:after="40" w:line="276"/>
        <w:jc w:val="left"/>
      </w:pPr>
      <w:r>
        <w:rPr>
          <w:rFonts w:ascii="Courier New"/>
          <w:color w:val="000000"/>
          <w:sz w:val="20"/>
          <w:szCs w:val="20"/>
        </w:rPr>
        <w:t xml:space="preserve">At EUA €70/t: cost approx = 10,000 x 70 = €700,000</w:t>
      </w:r>
    </w:p>
    <w:p>
      <w:pPr>
        <w:spacing w:after="40" w:line="276"/>
        <w:jc w:val="left"/>
      </w:pPr>
      <w:r>
        <w:rPr>
          <w:rFonts w:ascii="Courier New"/>
          <w:color w:val="000000"/>
          <w:sz w:val="20"/>
          <w:szCs w:val="20"/>
        </w:rPr>
        <w:t xml:space="preserve"/>
      </w:r>
    </w:p>
    <w:p>
      <w:pPr>
        <w:spacing w:after="40" w:line="276"/>
        <w:jc w:val="left"/>
      </w:pPr>
      <w:r>
        <w:rPr>
          <w:rFonts w:ascii="Courier New"/>
          <w:color w:val="000000"/>
          <w:sz w:val="20"/>
          <w:szCs w:val="20"/>
        </w:rPr>
        <w:t xml:space="preserve">For 2025 reporting (70%): Obligation = 25,000 x 0.70 = 17,500 EUAs (surrender 2026).</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Determines the annual EUA procurement volume and budget, and feeds charter-party ETS-cost allocation.</w:t>
      </w:r>
    </w:p>
    <w:p>
      <w:pPr>
        <w:pStyle w:val="ListParagraph"/>
        <w:numPr>
          <w:ilvl w:val="0"/>
          <w:numId w:val="1"/>
        </w:numPr>
        <w:spacing w:after="60" w:line="300"/>
      </w:pPr>
      <w:r>
        <w:rPr>
          <w:rFonts w:ascii="Times New Roman"/>
          <w:color w:val="000000"/>
          <w:sz w:val="22"/>
          <w:szCs w:val="22"/>
        </w:rPr>
        <w:t xml:space="preserve">Annual EUA surrender (by September of the following year).</w:t>
      </w:r>
    </w:p>
    <w:p>
      <w:pPr>
        <w:pStyle w:val="ListParagraph"/>
        <w:numPr>
          <w:ilvl w:val="0"/>
          <w:numId w:val="1"/>
        </w:numPr>
        <w:spacing w:after="60" w:line="300"/>
      </w:pPr>
      <w:r>
        <w:rPr>
          <w:rFonts w:ascii="Times New Roman"/>
          <w:color w:val="000000"/>
          <w:sz w:val="22"/>
          <w:szCs w:val="22"/>
        </w:rPr>
        <w:t xml:space="preserve">Charter-party commercial allocation of ETS cost (BIMCO ETS clauses).</w:t>
      </w:r>
    </w:p>
    <w:p>
      <w:pPr>
        <w:pStyle w:val="ListParagraph"/>
        <w:numPr>
          <w:ilvl w:val="0"/>
          <w:numId w:val="1"/>
        </w:numPr>
        <w:spacing w:after="60" w:line="300"/>
      </w:pPr>
      <w:r>
        <w:rPr>
          <w:rFonts w:ascii="Times New Roman"/>
          <w:color w:val="000000"/>
          <w:sz w:val="22"/>
          <w:szCs w:val="22"/>
        </w:rPr>
        <w:t xml:space="preserve">Risk management / hedging of EUA exposure.</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Coverage percentage steps each year (40 -&gt; 70 -&gt; 100); multi-year modelling must reflect this.</w:t>
      </w:r>
    </w:p>
    <w:p>
      <w:pPr>
        <w:pStyle w:val="ListParagraph"/>
        <w:numPr>
          <w:ilvl w:val="0"/>
          <w:numId w:val="1"/>
        </w:numPr>
        <w:spacing w:after="60" w:line="300"/>
      </w:pPr>
      <w:r>
        <w:rPr>
          <w:rFonts w:ascii="Times New Roman"/>
          <w:color w:val="000000"/>
          <w:sz w:val="22"/>
          <w:szCs w:val="22"/>
        </w:rPr>
        <w:t xml:space="preserve">CH4 and N2O enter scope from the 2026 reporting year.</w:t>
      </w:r>
    </w:p>
    <w:p>
      <w:pPr>
        <w:pStyle w:val="ListParagraph"/>
        <w:numPr>
          <w:ilvl w:val="0"/>
          <w:numId w:val="1"/>
        </w:numPr>
        <w:spacing w:after="60" w:line="300"/>
      </w:pPr>
      <w:r>
        <w:rPr>
          <w:rFonts w:ascii="Times New Roman"/>
          <w:color w:val="000000"/>
          <w:sz w:val="22"/>
          <w:szCs w:val="22"/>
        </w:rPr>
        <w:t xml:space="preserve">EUA price is volatile; cost is scenario-dependent, not a fixed number.</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Directive 2003/87/EC — EU ETS, as amended by Directive (EU) 2023/959 (maritime inclusion).</w:t>
      </w:r>
    </w:p>
    <w:p>
      <w:pPr>
        <w:pStyle w:val="ListParagraph"/>
        <w:numPr>
          <w:ilvl w:val="0"/>
          <w:numId w:val="1"/>
        </w:numPr>
        <w:spacing w:after="60" w:line="300"/>
      </w:pPr>
      <w:r>
        <w:rPr>
          <w:rFonts w:ascii="Times New Roman"/>
          <w:color w:val="000000"/>
          <w:sz w:val="22"/>
          <w:szCs w:val="22"/>
        </w:rPr>
        <w:t xml:space="preserve">Regulation (EU) 2015/757 — EU MRV (provides verified emissions input).</w:t>
      </w:r>
    </w:p>
    <w:p>
      <w:pPr>
        <w:pStyle w:val="ListParagraph"/>
        <w:numPr>
          <w:ilvl w:val="0"/>
          <w:numId w:val="1"/>
        </w:numPr>
        <w:spacing w:after="60" w:line="300"/>
      </w:pPr>
      <w:r>
        <w:rPr>
          <w:rFonts w:ascii="Times New Roman"/>
          <w:color w:val="000000"/>
          <w:sz w:val="22"/>
          <w:szCs w:val="22"/>
        </w:rPr>
        <w:t xml:space="preserve">BIMCO Emissions Trading System Allowance Clause.</w:t>
      </w:r>
    </w:p>
    <w:p>
      <w:pPr>
        <w:pStyle w:val="Heading1"/>
        <w:spacing w:after="200" w:before="420" w:line="312"/>
      </w:pPr>
      <w:bookmarkStart w:id="100007" w:name="_Toc100007"/>
      <w:r>
        <w:rPr>
          <w:rFonts w:ascii="Times New Roman"/>
          <w:b/>
          <w:bCs/>
          <w:color w:val="0B1C2C"/>
          <w:sz w:val="32"/>
          <w:szCs w:val="32"/>
        </w:rPr>
        <w:t xml:space="preserve">8. EU MRV — Monitoring, Reporting, Verification Calculations</w:t>
      </w:r>
      <w:bookmarkEnd w:id="100007"/>
    </w:p>
    <w:p>
      <w:pPr>
        <w:spacing w:after="80" w:line="312"/>
        <w:ind w:firstLine="360"/>
        <w:jc w:val="both"/>
      </w:pPr>
      <w:r>
        <w:rPr>
          <w:rFonts w:ascii="Times New Roman"/>
          <w:color w:val="000000"/>
          <w:sz w:val="22"/>
          <w:szCs w:val="22"/>
        </w:rPr>
        <w:t xml:space="preserve">EU MRV (Regulation (EU) 2015/757, amended by (EU) 2023/2296) requires ships ≥ 5,000 GT to monitor, report and have verified CO2 emissions, fuel consumption, distance, time at sea and transport work for EU/EEA-related activity. The 2023 amendment added CH4 and N2O and expanded scope to additional ship types and sizes in stages.</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Per-voyage emissions, then annual totals and transport work:</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E_voy  =  FC_voy x CF</w:t>
            </w:r>
          </w:p>
          <w:p>
            <w:pPr>
              <w:spacing w:after="60" w:line="300"/>
              <w:jc w:val="center"/>
            </w:pPr>
            <w:r>
              <w:rPr>
                <w:rFonts w:ascii="Courier New"/>
                <w:b/>
                <w:bCs/>
                <w:color w:val="000000"/>
                <w:sz w:val="22"/>
                <w:szCs w:val="22"/>
              </w:rPr>
              <w:t xml:space="preserve">Transport work  =  Cargo x Distance</w:t>
            </w:r>
          </w:p>
          <w:p>
            <w:pPr>
              <w:spacing w:after="0" w:line="300"/>
              <w:jc w:val="center"/>
            </w:pPr>
            <w:r>
              <w:rPr>
                <w:rFonts w:ascii="Courier New"/>
                <w:b/>
                <w:bCs/>
                <w:color w:val="000000"/>
                <w:sz w:val="22"/>
                <w:szCs w:val="22"/>
              </w:rPr>
              <w:t xml:space="preserve">Intensity  =  Emissions / Transport work</w:t>
            </w:r>
          </w:p>
        </w:tc>
      </w:tr>
    </w:tbl>
    <w:p>
      <w:pPr>
        <w:spacing w:after="60"/>
      </w:pP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Annual total  =  Sum_voyage ( E_voy x Geo_voy )</w:t>
            </w:r>
          </w:p>
          <w:p>
            <w:pPr>
              <w:spacing w:after="0" w:line="300"/>
              <w:jc w:val="center"/>
            </w:pPr>
            <w:r>
              <w:rPr>
                <w:rFonts w:ascii="Courier New"/>
                <w:b/>
                <w:bCs/>
                <w:color w:val="000000"/>
                <w:sz w:val="22"/>
                <w:szCs w:val="22"/>
              </w:rPr>
              <w:t xml:space="preserve">Geo_voy: 1.0 intra-EU/at berth; 0.5 extra-EU legs</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FC_voy</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Fuel consumed on a voyage (per fuel type)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BDN, MFM or tank sounding</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CF</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Fuel CO2 conversion factor</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t-CO2/t-fuel</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Topic 11; CH4/N2O factors added by 2023 amendment</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Cargo</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Cargo carried on the voyage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 (TEU/pax)</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consistent basis per ship type</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Distance</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Voyage distance</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port-to-port</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Geo_voy</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Geographic weighting</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1.0 or 0.5</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Emissions in t-CO2 (and t-CH4, t-N2O from the expanded scope). Intensity in gCO2/t-nm (or per TEU/pax-nm). Annual report submitted to THETIS-MRV by 30 April following the reporting year.</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voyage Hamburg -&gt; Rotterdam (intra-EU), 350 t VLSFO (CF 3.114), 45,000 t cargo, 320 nm:</w:t>
      </w:r>
    </w:p>
    <w:p>
      <w:pPr>
        <w:spacing w:after="40" w:line="276"/>
        <w:jc w:val="left"/>
      </w:pPr>
      <w:r>
        <w:rPr>
          <w:rFonts w:ascii="Courier New"/>
          <w:color w:val="000000"/>
          <w:sz w:val="20"/>
          <w:szCs w:val="20"/>
        </w:rPr>
        <w:t xml:space="preserve">E_voy = 350 x 3.114 = 1,089.9 t-CO2  (Geo = 1.0, intra-EU)</w:t>
      </w:r>
    </w:p>
    <w:p>
      <w:pPr>
        <w:spacing w:after="40" w:line="276"/>
        <w:jc w:val="left"/>
      </w:pPr>
      <w:r>
        <w:rPr>
          <w:rFonts w:ascii="Courier New"/>
          <w:color w:val="000000"/>
          <w:sz w:val="20"/>
          <w:szCs w:val="20"/>
        </w:rPr>
        <w:t xml:space="preserve">Transport work = 45,000 x 320 = 14,400,000 t-nm</w:t>
      </w:r>
    </w:p>
    <w:p>
      <w:pPr>
        <w:spacing w:after="40" w:line="276"/>
        <w:jc w:val="left"/>
      </w:pPr>
      <w:r>
        <w:rPr>
          <w:rFonts w:ascii="Courier New"/>
          <w:color w:val="000000"/>
          <w:sz w:val="20"/>
          <w:szCs w:val="20"/>
        </w:rPr>
        <w:t xml:space="preserve">Voyage intensity = (1,089.9 x 10^6 g) / 14.4 x 10^6 t-nm = 75.7 gCO2/t-nm</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MRV is the verified emissions backbone feeding EU ETS surrender and FuelEU compliance.</w:t>
      </w:r>
    </w:p>
    <w:p>
      <w:pPr>
        <w:pStyle w:val="ListParagraph"/>
        <w:numPr>
          <w:ilvl w:val="0"/>
          <w:numId w:val="1"/>
        </w:numPr>
        <w:spacing w:after="60" w:line="300"/>
      </w:pPr>
      <w:r>
        <w:rPr>
          <w:rFonts w:ascii="Times New Roman"/>
          <w:color w:val="000000"/>
          <w:sz w:val="22"/>
          <w:szCs w:val="22"/>
        </w:rPr>
        <w:t xml:space="preserve">Annual Emissions Report (AER) submitted to THETIS-MRV (by 30 April).</w:t>
      </w:r>
    </w:p>
    <w:p>
      <w:pPr>
        <w:pStyle w:val="ListParagraph"/>
        <w:numPr>
          <w:ilvl w:val="0"/>
          <w:numId w:val="1"/>
        </w:numPr>
        <w:spacing w:after="60" w:line="300"/>
      </w:pPr>
      <w:r>
        <w:rPr>
          <w:rFonts w:ascii="Times New Roman"/>
          <w:color w:val="000000"/>
          <w:sz w:val="22"/>
          <w:szCs w:val="22"/>
        </w:rPr>
        <w:t xml:space="preserve">Source data for EU ETS and FuelEU.</w:t>
      </w:r>
    </w:p>
    <w:p>
      <w:pPr>
        <w:pStyle w:val="ListParagraph"/>
        <w:numPr>
          <w:ilvl w:val="0"/>
          <w:numId w:val="1"/>
        </w:numPr>
        <w:spacing w:after="60" w:line="300"/>
      </w:pPr>
      <w:r>
        <w:rPr>
          <w:rFonts w:ascii="Times New Roman"/>
          <w:color w:val="000000"/>
          <w:sz w:val="22"/>
          <w:szCs w:val="22"/>
        </w:rPr>
        <w:t xml:space="preserve">Public transparency database (THETIS-MRV).</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Intra- vs extra-EU classification must be exact; errors corrupt the 1.0/0.5 weighting.</w:t>
      </w:r>
    </w:p>
    <w:p>
      <w:pPr>
        <w:pStyle w:val="ListParagraph"/>
        <w:numPr>
          <w:ilvl w:val="0"/>
          <w:numId w:val="1"/>
        </w:numPr>
        <w:spacing w:after="60" w:line="300"/>
      </w:pPr>
      <w:r>
        <w:rPr>
          <w:rFonts w:ascii="Times New Roman"/>
          <w:color w:val="000000"/>
          <w:sz w:val="22"/>
          <w:szCs w:val="22"/>
        </w:rPr>
        <w:t xml:space="preserve">Cargo recorded at the wrong point distorts transport work.</w:t>
      </w:r>
    </w:p>
    <w:p>
      <w:pPr>
        <w:pStyle w:val="ListParagraph"/>
        <w:numPr>
          <w:ilvl w:val="0"/>
          <w:numId w:val="1"/>
        </w:numPr>
        <w:spacing w:after="60" w:line="300"/>
      </w:pPr>
      <w:r>
        <w:rPr>
          <w:rFonts w:ascii="Times New Roman"/>
          <w:color w:val="000000"/>
          <w:sz w:val="22"/>
          <w:szCs w:val="22"/>
        </w:rPr>
        <w:t xml:space="preserve">Post-2023 amendments add gases and scope — keep Monitoring Plans current.</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Regulation (EU) 2015/757 — EU MRV (as amended).</w:t>
      </w:r>
    </w:p>
    <w:p>
      <w:pPr>
        <w:pStyle w:val="ListParagraph"/>
        <w:numPr>
          <w:ilvl w:val="0"/>
          <w:numId w:val="1"/>
        </w:numPr>
        <w:spacing w:after="60" w:line="300"/>
      </w:pPr>
      <w:r>
        <w:rPr>
          <w:rFonts w:ascii="Times New Roman"/>
          <w:color w:val="000000"/>
          <w:sz w:val="22"/>
          <w:szCs w:val="22"/>
        </w:rPr>
        <w:t xml:space="preserve">Regulation (EU) 2023/2296 — MRV amendments (CH4/N2O, scope expansion).</w:t>
      </w:r>
    </w:p>
    <w:p>
      <w:pPr>
        <w:pStyle w:val="ListParagraph"/>
        <w:numPr>
          <w:ilvl w:val="0"/>
          <w:numId w:val="1"/>
        </w:numPr>
        <w:spacing w:after="60" w:line="300"/>
      </w:pPr>
      <w:r>
        <w:rPr>
          <w:rFonts w:ascii="Times New Roman"/>
          <w:color w:val="000000"/>
          <w:sz w:val="22"/>
          <w:szCs w:val="22"/>
        </w:rPr>
        <w:t xml:space="preserve">European Commission Delegated/Implementing Acts on MRV methods.</w:t>
      </w:r>
    </w:p>
    <w:p>
      <w:pPr>
        <w:pStyle w:val="Heading1"/>
        <w:spacing w:after="200" w:before="420" w:line="312"/>
      </w:pPr>
      <w:bookmarkStart w:id="100008" w:name="_Toc100008"/>
      <w:r>
        <w:rPr>
          <w:rFonts w:ascii="Times New Roman"/>
          <w:b/>
          <w:bCs/>
          <w:color w:val="0B1C2C"/>
          <w:sz w:val="32"/>
          <w:szCs w:val="32"/>
        </w:rPr>
        <w:t xml:space="preserve">9. IMO DCS — Data Collection System</w:t>
      </w:r>
      <w:bookmarkEnd w:id="100008"/>
    </w:p>
    <w:p>
      <w:pPr>
        <w:spacing w:after="80" w:line="312"/>
        <w:ind w:firstLine="360"/>
        <w:jc w:val="both"/>
      </w:pPr>
      <w:r>
        <w:rPr>
          <w:rFonts w:ascii="Times New Roman"/>
          <w:color w:val="000000"/>
          <w:sz w:val="22"/>
          <w:szCs w:val="22"/>
        </w:rPr>
        <w:t xml:space="preserve">IMO DCS (MARPOL Annex VI, regulation 22, effective 2018; guidelines MEPC.278(70)) requires ships ≥ 5,000 GT to record and report annual fuel consumption, distance, hours underway and method of data collection. DCS is the data source for CII.</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DCS is primarily data aggregation, with CO2 derived for downstream use:</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Annual fuel consumption  =  Sum_voyage ( FC_voy )   [per fuel type]</w:t>
            </w:r>
          </w:p>
          <w:p>
            <w:pPr>
              <w:spacing w:after="60" w:line="300"/>
              <w:jc w:val="center"/>
            </w:pPr>
            <w:r>
              <w:rPr>
                <w:rFonts w:ascii="Courier New"/>
                <w:b/>
                <w:bCs/>
                <w:color w:val="000000"/>
                <w:sz w:val="22"/>
                <w:szCs w:val="22"/>
              </w:rPr>
              <w:t xml:space="preserve">Derived CO2  =  Sum_fuel ( FC_f x CF_f )</w:t>
            </w:r>
          </w:p>
          <w:p>
            <w:pPr>
              <w:spacing w:after="60" w:line="300"/>
              <w:jc w:val="center"/>
            </w:pPr>
            <w:r>
              <w:rPr>
                <w:rFonts w:ascii="Courier New"/>
                <w:b/>
                <w:bCs/>
                <w:color w:val="000000"/>
                <w:sz w:val="22"/>
                <w:szCs w:val="22"/>
              </w:rPr>
              <w:t xml:space="preserve">Annual distance  =  Sum_voyage ( D_voy )</w:t>
            </w:r>
          </w:p>
          <w:p>
            <w:pPr>
              <w:spacing w:after="0" w:line="300"/>
              <w:jc w:val="center"/>
            </w:pPr>
            <w:r>
              <w:rPr>
                <w:rFonts w:ascii="Courier New"/>
                <w:b/>
                <w:bCs/>
                <w:color w:val="000000"/>
                <w:sz w:val="22"/>
                <w:szCs w:val="22"/>
              </w:rPr>
              <w:t xml:space="preserve">Hours underway  =  Sum_voyage ( t_underway,voy )</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FC_voy</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Fuel consumed per voyage, per fuel type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BDN / MFM / sounding</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CF_f</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CO2 factor of fuel f</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t-CO2/t-fuel</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Topic 11</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D_voy</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Distance of each voyage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noon reports or automatic</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t_underway,voy</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Underway hours per voyage</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h</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for average-speed cross-check</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Fuel in metric tonnes, distance in nautical miles, time in hours. The data set is submitted to the Administration/RO for verification; a Statement of Compliance is issued for the next year.</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annual totals: FC_HFO = 2,200 t, FC_MGO = 900 t; D = 51,000 nm; hours underway = 3,800 h:</w:t>
      </w:r>
    </w:p>
    <w:p>
      <w:pPr>
        <w:spacing w:after="40" w:line="276"/>
        <w:jc w:val="left"/>
      </w:pPr>
      <w:r>
        <w:rPr>
          <w:rFonts w:ascii="Courier New"/>
          <w:color w:val="000000"/>
          <w:sz w:val="20"/>
          <w:szCs w:val="20"/>
        </w:rPr>
        <w:t xml:space="preserve">Derived CO2 = 2,200 x 3.114 + 900 x 3.206 = 6,850.8 + 2,885.4 = 9,736.2 t-CO2</w:t>
      </w:r>
    </w:p>
    <w:p>
      <w:pPr>
        <w:spacing w:after="40" w:line="276"/>
        <w:jc w:val="left"/>
      </w:pPr>
      <w:r>
        <w:rPr>
          <w:rFonts w:ascii="Courier New"/>
          <w:color w:val="000000"/>
          <w:sz w:val="20"/>
          <w:szCs w:val="20"/>
        </w:rPr>
        <w:t xml:space="preserve">Average speed check = 51,000 / 3,800 = 13.4 kn  (cross-check with logbook)</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DCS underpins CII rating and the IMO's GHG progress tracking.</w:t>
      </w:r>
    </w:p>
    <w:p>
      <w:pPr>
        <w:pStyle w:val="ListParagraph"/>
        <w:numPr>
          <w:ilvl w:val="0"/>
          <w:numId w:val="1"/>
        </w:numPr>
        <w:spacing w:after="60" w:line="300"/>
      </w:pPr>
      <w:r>
        <w:rPr>
          <w:rFonts w:ascii="Times New Roman"/>
          <w:color w:val="000000"/>
          <w:sz w:val="22"/>
          <w:szCs w:val="22"/>
        </w:rPr>
        <w:t xml:space="preserve">Annual submission to Administration/RO (Statement of Compliance).</w:t>
      </w:r>
    </w:p>
    <w:p>
      <w:pPr>
        <w:pStyle w:val="ListParagraph"/>
        <w:numPr>
          <w:ilvl w:val="0"/>
          <w:numId w:val="1"/>
        </w:numPr>
        <w:spacing w:after="60" w:line="300"/>
      </w:pPr>
      <w:r>
        <w:rPr>
          <w:rFonts w:ascii="Times New Roman"/>
          <w:color w:val="000000"/>
          <w:sz w:val="22"/>
          <w:szCs w:val="22"/>
        </w:rPr>
        <w:t xml:space="preserve">Input to Attained CII calculation (Topic 1).</w:t>
      </w:r>
    </w:p>
    <w:p>
      <w:pPr>
        <w:pStyle w:val="ListParagraph"/>
        <w:numPr>
          <w:ilvl w:val="0"/>
          <w:numId w:val="1"/>
        </w:numPr>
        <w:spacing w:after="60" w:line="300"/>
      </w:pPr>
      <w:r>
        <w:rPr>
          <w:rFonts w:ascii="Times New Roman"/>
          <w:color w:val="000000"/>
          <w:sz w:val="22"/>
          <w:szCs w:val="22"/>
        </w:rPr>
        <w:t xml:space="preserve">IMO fleet-level GHG inventory.</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It is a reporting mechanism; accuracy depends on the underlying data quality.</w:t>
      </w:r>
    </w:p>
    <w:p>
      <w:pPr>
        <w:pStyle w:val="ListParagraph"/>
        <w:numPr>
          <w:ilvl w:val="0"/>
          <w:numId w:val="1"/>
        </w:numPr>
        <w:spacing w:after="60" w:line="300"/>
      </w:pPr>
      <w:r>
        <w:rPr>
          <w:rFonts w:ascii="Times New Roman"/>
          <w:color w:val="000000"/>
          <w:sz w:val="22"/>
          <w:szCs w:val="22"/>
        </w:rPr>
        <w:t xml:space="preserve">Method (BDN/MFM/sounding) must match the SEEMP Part I.</w:t>
      </w:r>
    </w:p>
    <w:p>
      <w:pPr>
        <w:pStyle w:val="ListParagraph"/>
        <w:numPr>
          <w:ilvl w:val="0"/>
          <w:numId w:val="1"/>
        </w:numPr>
        <w:spacing w:after="60" w:line="300"/>
      </w:pPr>
      <w:r>
        <w:rPr>
          <w:rFonts w:ascii="Times New Roman"/>
          <w:color w:val="000000"/>
          <w:sz w:val="22"/>
          <w:szCs w:val="22"/>
        </w:rPr>
        <w:t xml:space="preserve">Calendar-bound; partial-year voyages must be allocated correctly.</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MARPOL Annex VI, regulation 22 &amp; Appendix IX — DCS data set.</w:t>
      </w:r>
    </w:p>
    <w:p>
      <w:pPr>
        <w:pStyle w:val="ListParagraph"/>
        <w:numPr>
          <w:ilvl w:val="0"/>
          <w:numId w:val="1"/>
        </w:numPr>
        <w:spacing w:after="60" w:line="300"/>
      </w:pPr>
      <w:r>
        <w:rPr>
          <w:rFonts w:ascii="Times New Roman"/>
          <w:color w:val="000000"/>
          <w:sz w:val="22"/>
          <w:szCs w:val="22"/>
        </w:rPr>
        <w:t xml:space="preserve">IMO Resolution MEPC.278(70) — DCS guidelines.</w:t>
      </w:r>
    </w:p>
    <w:p>
      <w:pPr>
        <w:pStyle w:val="Heading1"/>
        <w:spacing w:after="200" w:before="420" w:line="312"/>
      </w:pPr>
      <w:bookmarkStart w:id="100009" w:name="_Toc100009"/>
      <w:r>
        <w:rPr>
          <w:rFonts w:ascii="Times New Roman"/>
          <w:b/>
          <w:bCs/>
          <w:color w:val="0B1C2C"/>
          <w:sz w:val="32"/>
          <w:szCs w:val="32"/>
        </w:rPr>
        <w:t xml:space="preserve">10. CO2 Emissions from Different Fuel Types</w:t>
      </w:r>
      <w:bookmarkEnd w:id="100009"/>
    </w:p>
    <w:p>
      <w:pPr>
        <w:spacing w:after="80" w:line="312"/>
        <w:ind w:firstLine="360"/>
        <w:jc w:val="both"/>
      </w:pPr>
      <w:r>
        <w:rPr>
          <w:rFonts w:ascii="Times New Roman"/>
          <w:color w:val="000000"/>
          <w:sz w:val="22"/>
          <w:szCs w:val="22"/>
        </w:rPr>
        <w:t xml:space="preserve">Tank-to-wake CO2 emissions are computed as the product of fuel mass consumed and the fuel-specific carbon factor CF, specified in MARPOL Annex VI and the IMO Guidelines. CF is a non-dimensional mass ratio (t-CO2 per t-fuel).</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For each fuel consumed:</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CO2_i  =  m_i x CF_i</w:t>
            </w:r>
          </w:p>
          <w:p>
            <w:pPr>
              <w:spacing w:after="0" w:line="300"/>
              <w:jc w:val="center"/>
            </w:pPr>
            <w:r>
              <w:rPr>
                <w:rFonts w:ascii="Courier New"/>
                <w:b/>
                <w:bCs/>
                <w:color w:val="000000"/>
                <w:sz w:val="22"/>
                <w:szCs w:val="22"/>
              </w:rPr>
              <w:t xml:space="preserve">CO2_total  =  Sum_fuel ( m_i x CF_i )</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m_i</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Mass of fuel type i consumed</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from BDN/MFM/sounding</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CF_i</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Carbon factor of fuel i</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t-CO2/t-fuel</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IMO default values, see table below</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Result in t-CO2. Default IMO CF values (MARPOL Annex VI, MEPC.1/Circ.684 and updates):</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a voyage burning 1,200 t HFO and 180 t MGO:</w:t>
      </w:r>
    </w:p>
    <w:p>
      <w:pPr>
        <w:spacing w:after="40" w:line="276"/>
        <w:jc w:val="left"/>
      </w:pPr>
      <w:r>
        <w:rPr>
          <w:rFonts w:ascii="Courier New"/>
          <w:color w:val="000000"/>
          <w:sz w:val="20"/>
          <w:szCs w:val="20"/>
        </w:rPr>
        <w:t xml:space="preserve">CO2_HFO = 1,200 x 3.114 = 3,736.8 t-CO2</w:t>
      </w:r>
    </w:p>
    <w:p>
      <w:pPr>
        <w:spacing w:after="40" w:line="276"/>
        <w:jc w:val="left"/>
      </w:pPr>
      <w:r>
        <w:rPr>
          <w:rFonts w:ascii="Courier New"/>
          <w:color w:val="000000"/>
          <w:sz w:val="20"/>
          <w:szCs w:val="20"/>
        </w:rPr>
        <w:t xml:space="preserve">CO2_MGO = 180 x 3.206  =   577.1 t-CO2</w:t>
      </w:r>
    </w:p>
    <w:p>
      <w:pPr>
        <w:spacing w:after="40" w:line="276"/>
        <w:jc w:val="left"/>
      </w:pPr>
      <w:r>
        <w:rPr>
          <w:rFonts w:ascii="Courier New"/>
          <w:color w:val="000000"/>
          <w:sz w:val="20"/>
          <w:szCs w:val="20"/>
        </w:rPr>
        <w:t xml:space="preserve">CO2_total = 3,736.8 + 577.1 = 4,313.9 t-CO2</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Universal building block for every CO2-based metric (DCS, MRV, ETS, EEOI, CII, EEXI, EEDI).</w:t>
      </w:r>
    </w:p>
    <w:p>
      <w:pPr>
        <w:pStyle w:val="ListParagraph"/>
        <w:numPr>
          <w:ilvl w:val="0"/>
          <w:numId w:val="1"/>
        </w:numPr>
        <w:spacing w:after="60" w:line="300"/>
      </w:pPr>
      <w:r>
        <w:rPr>
          <w:rFonts w:ascii="Times New Roman"/>
          <w:color w:val="000000"/>
          <w:sz w:val="22"/>
          <w:szCs w:val="22"/>
        </w:rPr>
        <w:t xml:space="preserve">Per-fuel CO2 accounting across all instruments.</w:t>
      </w:r>
    </w:p>
    <w:p>
      <w:pPr>
        <w:pStyle w:val="ListParagraph"/>
        <w:numPr>
          <w:ilvl w:val="0"/>
          <w:numId w:val="1"/>
        </w:numPr>
        <w:spacing w:after="60" w:line="300"/>
      </w:pPr>
      <w:r>
        <w:rPr>
          <w:rFonts w:ascii="Times New Roman"/>
          <w:color w:val="000000"/>
          <w:sz w:val="22"/>
          <w:szCs w:val="22"/>
        </w:rPr>
        <w:t xml:space="preserve">Fuel-switch emissions modelling (HFO -&gt; LNG, biofuel blends).</w:t>
      </w:r>
    </w:p>
    <w:p>
      <w:pPr>
        <w:pStyle w:val="ListParagraph"/>
        <w:numPr>
          <w:ilvl w:val="0"/>
          <w:numId w:val="1"/>
        </w:numPr>
        <w:spacing w:after="60" w:line="300"/>
      </w:pPr>
      <w:r>
        <w:rPr>
          <w:rFonts w:ascii="Times New Roman"/>
          <w:color w:val="000000"/>
          <w:sz w:val="22"/>
          <w:szCs w:val="22"/>
        </w:rPr>
        <w:t xml:space="preserve">Bunker-procurement emissions budgeting.</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CF values are tank-to-wake only; they exclude upstream (well-to-tank) emissions.</w:t>
      </w:r>
    </w:p>
    <w:p>
      <w:pPr>
        <w:pStyle w:val="ListParagraph"/>
        <w:numPr>
          <w:ilvl w:val="0"/>
          <w:numId w:val="1"/>
        </w:numPr>
        <w:spacing w:after="60" w:line="300"/>
      </w:pPr>
      <w:r>
        <w:rPr>
          <w:rFonts w:ascii="Times New Roman"/>
          <w:color w:val="000000"/>
          <w:sz w:val="22"/>
          <w:szCs w:val="22"/>
        </w:rPr>
        <w:t xml:space="preserve">Biofuel blends may use lower CF only where sustainability evidence supports it.</w:t>
      </w:r>
    </w:p>
    <w:p>
      <w:pPr>
        <w:pStyle w:val="ListParagraph"/>
        <w:numPr>
          <w:ilvl w:val="0"/>
          <w:numId w:val="1"/>
        </w:numPr>
        <w:spacing w:after="60" w:line="300"/>
      </w:pPr>
      <w:r>
        <w:rPr>
          <w:rFonts w:ascii="Times New Roman"/>
          <w:color w:val="000000"/>
          <w:sz w:val="22"/>
          <w:szCs w:val="22"/>
        </w:rPr>
        <w:t xml:space="preserve">LNG CF does not reflect methane slip — FuelEU WtW factors must be used for that.</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MARPOL Annex VI — fuel carbon factors (CF).</w:t>
      </w:r>
    </w:p>
    <w:p>
      <w:pPr>
        <w:pStyle w:val="ListParagraph"/>
        <w:numPr>
          <w:ilvl w:val="0"/>
          <w:numId w:val="1"/>
        </w:numPr>
        <w:spacing w:after="60" w:line="300"/>
      </w:pPr>
      <w:r>
        <w:rPr>
          <w:rFonts w:ascii="Times New Roman"/>
          <w:color w:val="000000"/>
          <w:sz w:val="22"/>
          <w:szCs w:val="22"/>
        </w:rPr>
        <w:t xml:space="preserve">IMO Resolution MEPC.245(66) — EEDI guidelines (CF values).</w:t>
      </w:r>
    </w:p>
    <w:p>
      <w:pPr>
        <w:pStyle w:val="ListParagraph"/>
        <w:numPr>
          <w:ilvl w:val="0"/>
          <w:numId w:val="1"/>
        </w:numPr>
        <w:spacing w:after="60" w:line="300"/>
      </w:pPr>
      <w:r>
        <w:rPr>
          <w:rFonts w:ascii="Times New Roman"/>
          <w:color w:val="000000"/>
          <w:sz w:val="22"/>
          <w:szCs w:val="22"/>
        </w:rPr>
        <w:t xml:space="preserve">IMO MEPC.1/Circ.684 — EEOI guidelines.</w:t>
      </w:r>
    </w:p>
    <w:p>
      <w:pPr>
        <w:pStyle w:val="Heading1"/>
        <w:spacing w:after="200" w:before="420" w:line="312"/>
      </w:pPr>
      <w:bookmarkStart w:id="100010" w:name="_Toc100010"/>
      <w:r>
        <w:rPr>
          <w:rFonts w:ascii="Times New Roman"/>
          <w:b/>
          <w:bCs/>
          <w:color w:val="0B1C2C"/>
          <w:sz w:val="32"/>
          <w:szCs w:val="32"/>
        </w:rPr>
        <w:t xml:space="preserve">11. Fuel Consumption Estimation</w:t>
      </w:r>
      <w:bookmarkEnd w:id="100010"/>
    </w:p>
    <w:p>
      <w:pPr>
        <w:spacing w:after="80" w:line="312"/>
        <w:ind w:firstLine="360"/>
        <w:jc w:val="both"/>
      </w:pPr>
      <w:r>
        <w:rPr>
          <w:rFonts w:ascii="Times New Roman"/>
          <w:color w:val="000000"/>
          <w:sz w:val="22"/>
          <w:szCs w:val="22"/>
        </w:rPr>
        <w:t xml:space="preserve">Fuel consumption is estimated from engine power, load factor and specific fuel consumption. For a multi-engine ship, consumption is summed across main and auxiliary engines. This is the basis of pre-voyage estimation and consumption guarantees.</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Per-engine and total daily consumption:</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FC_engine  =  P_output x SFC x t</w:t>
            </w:r>
          </w:p>
          <w:p>
            <w:pPr>
              <w:spacing w:after="0" w:line="300"/>
              <w:jc w:val="center"/>
            </w:pPr>
            <w:r>
              <w:rPr>
                <w:rFonts w:ascii="Courier New"/>
                <w:b/>
                <w:bCs/>
                <w:color w:val="000000"/>
                <w:sz w:val="22"/>
                <w:szCs w:val="22"/>
              </w:rPr>
              <w:t xml:space="preserve">FC_daily  =  Sum_engines ( P_i x Load_i x SFC_i ) x 24</w:t>
            </w:r>
          </w:p>
        </w:tc>
      </w:tr>
    </w:tbl>
    <w:p>
      <w:pPr>
        <w:spacing w:after="60"/>
      </w:pP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0" w:line="300"/>
              <w:jc w:val="center"/>
            </w:pPr>
            <w:r>
              <w:rPr>
                <w:rFonts w:ascii="Courier New"/>
                <w:b/>
                <w:bCs/>
                <w:color w:val="000000"/>
                <w:sz w:val="22"/>
                <w:szCs w:val="22"/>
              </w:rPr>
              <w:t xml:space="preserve">SFC  =  fuel mass / energy output</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P_output</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Engine power output (shaft/electrical)</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 MCR x load factor</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SFC</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Specific fuel consumption</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g/kWh</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from engine shop test / NOx file</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t</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Operating time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h</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daily = 24</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Load_i</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Load factor of engine i (fraction of MCR)</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0-1</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MCR</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Maximum continuous rating</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nameplate / limited value</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Fuel mass in g (then converted to t / day). Convert to volume using density (e.g. ~0.99 t/m3 HFO, ~0.86 t/m3 MGO). SFC is typically ~160-180 g/kWh for slow-speed diesels and ~200-220 g/kWh for auxiliaries at service load.</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main engine 12,000 kW at 70% load, SFC 170 g/kWh; auxiliary 800 kW at 65% load, SFC 215 g/kWh:</w:t>
      </w:r>
    </w:p>
    <w:p>
      <w:pPr>
        <w:spacing w:after="40" w:line="276"/>
        <w:jc w:val="left"/>
      </w:pPr>
      <w:r>
        <w:rPr>
          <w:rFonts w:ascii="Courier New"/>
          <w:color w:val="000000"/>
          <w:sz w:val="20"/>
          <w:szCs w:val="20"/>
        </w:rPr>
        <w:t xml:space="preserve">ME daily = 12,000 x 0.70 x 170 x 24 / 10^6 = 34.27 t/day</w:t>
      </w:r>
    </w:p>
    <w:p>
      <w:pPr>
        <w:spacing w:after="40" w:line="276"/>
        <w:jc w:val="left"/>
      </w:pPr>
      <w:r>
        <w:rPr>
          <w:rFonts w:ascii="Courier New"/>
          <w:color w:val="000000"/>
          <w:sz w:val="20"/>
          <w:szCs w:val="20"/>
        </w:rPr>
        <w:t xml:space="preserve">AE daily = 800 x 0.65 x 215 x 24 / 10^6 =  2.68 t/day</w:t>
      </w:r>
    </w:p>
    <w:p>
      <w:pPr>
        <w:spacing w:after="40" w:line="276"/>
        <w:jc w:val="left"/>
      </w:pPr>
      <w:r>
        <w:rPr>
          <w:rFonts w:ascii="Courier New"/>
          <w:color w:val="000000"/>
          <w:sz w:val="20"/>
          <w:szCs w:val="20"/>
        </w:rPr>
        <w:t xml:space="preserve">Total daily = 34.27 + 2.68 = 36.95 t/day</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Pre-voyage fuel planning, charter-party consumption guarantees, and emissions estimation.</w:t>
      </w:r>
    </w:p>
    <w:p>
      <w:pPr>
        <w:pStyle w:val="ListParagraph"/>
        <w:numPr>
          <w:ilvl w:val="0"/>
          <w:numId w:val="1"/>
        </w:numPr>
        <w:spacing w:after="60" w:line="300"/>
      </w:pPr>
      <w:r>
        <w:rPr>
          <w:rFonts w:ascii="Times New Roman"/>
          <w:color w:val="000000"/>
          <w:sz w:val="22"/>
          <w:szCs w:val="22"/>
        </w:rPr>
        <w:t xml:space="preserve">Pre-voyage bunker requirement and reserve planning.</w:t>
      </w:r>
    </w:p>
    <w:p>
      <w:pPr>
        <w:pStyle w:val="ListParagraph"/>
        <w:numPr>
          <w:ilvl w:val="0"/>
          <w:numId w:val="1"/>
        </w:numPr>
        <w:spacing w:after="60" w:line="300"/>
      </w:pPr>
      <w:r>
        <w:rPr>
          <w:rFonts w:ascii="Times New Roman"/>
          <w:color w:val="000000"/>
          <w:sz w:val="22"/>
          <w:szCs w:val="22"/>
        </w:rPr>
        <w:t xml:space="preserve">Speed/consumption (charter-party) guarantees.</w:t>
      </w:r>
    </w:p>
    <w:p>
      <w:pPr>
        <w:pStyle w:val="ListParagraph"/>
        <w:numPr>
          <w:ilvl w:val="0"/>
          <w:numId w:val="1"/>
        </w:numPr>
        <w:spacing w:after="60" w:line="300"/>
      </w:pPr>
      <w:r>
        <w:rPr>
          <w:rFonts w:ascii="Times New Roman"/>
          <w:color w:val="000000"/>
          <w:sz w:val="22"/>
          <w:szCs w:val="22"/>
        </w:rPr>
        <w:t xml:space="preserve">Inputs to EEOI / CII projection.</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SFC varies with load, hull/propeller condition and ambient conditions — a single value is approximate.</w:t>
      </w:r>
    </w:p>
    <w:p>
      <w:pPr>
        <w:pStyle w:val="ListParagraph"/>
        <w:numPr>
          <w:ilvl w:val="0"/>
          <w:numId w:val="1"/>
        </w:numPr>
        <w:spacing w:after="60" w:line="300"/>
      </w:pPr>
      <w:r>
        <w:rPr>
          <w:rFonts w:ascii="Times New Roman"/>
          <w:color w:val="000000"/>
          <w:sz w:val="22"/>
          <w:szCs w:val="22"/>
        </w:rPr>
        <w:t xml:space="preserve">Does not include boiler consumption or emergency-generator use unless separately added.</w:t>
      </w:r>
    </w:p>
    <w:p>
      <w:pPr>
        <w:pStyle w:val="ListParagraph"/>
        <w:numPr>
          <w:ilvl w:val="0"/>
          <w:numId w:val="1"/>
        </w:numPr>
        <w:spacing w:after="60" w:line="300"/>
      </w:pPr>
      <w:r>
        <w:rPr>
          <w:rFonts w:ascii="Times New Roman"/>
          <w:color w:val="000000"/>
          <w:sz w:val="22"/>
          <w:szCs w:val="22"/>
        </w:rPr>
        <w:t xml:space="preserve">Calculated vs measured consumption can diverge 5-10%.</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Engine manufacturer shop-test data (SFC curves).</w:t>
      </w:r>
    </w:p>
    <w:p>
      <w:pPr>
        <w:pStyle w:val="ListParagraph"/>
        <w:numPr>
          <w:ilvl w:val="0"/>
          <w:numId w:val="1"/>
        </w:numPr>
        <w:spacing w:after="60" w:line="300"/>
      </w:pPr>
      <w:r>
        <w:rPr>
          <w:rFonts w:ascii="Times New Roman"/>
          <w:color w:val="000000"/>
          <w:sz w:val="22"/>
          <w:szCs w:val="22"/>
        </w:rPr>
        <w:t xml:space="preserve">IMO MEPC.1/Circ.684 — EEOI fuel-accounting methodology.</w:t>
      </w:r>
    </w:p>
    <w:p>
      <w:pPr>
        <w:pStyle w:val="ListParagraph"/>
        <w:numPr>
          <w:ilvl w:val="0"/>
          <w:numId w:val="1"/>
        </w:numPr>
        <w:spacing w:after="60" w:line="300"/>
      </w:pPr>
      <w:r>
        <w:rPr>
          <w:rFonts w:ascii="Times New Roman"/>
          <w:color w:val="000000"/>
          <w:sz w:val="22"/>
          <w:szCs w:val="22"/>
        </w:rPr>
        <w:t xml:space="preserve">SNAME / ITTC marine engineering practice.</w:t>
      </w:r>
    </w:p>
    <w:p>
      <w:pPr>
        <w:pStyle w:val="Heading1"/>
        <w:spacing w:after="200" w:before="420" w:line="312"/>
      </w:pPr>
      <w:bookmarkStart w:id="100011" w:name="_Toc100011"/>
      <w:r>
        <w:rPr>
          <w:rFonts w:ascii="Times New Roman"/>
          <w:b/>
          <w:bCs/>
          <w:color w:val="0B1C2C"/>
          <w:sz w:val="32"/>
          <w:szCs w:val="32"/>
        </w:rPr>
        <w:t xml:space="preserve">12. Voyage Distance Calculation</w:t>
      </w:r>
      <w:bookmarkEnd w:id="100011"/>
    </w:p>
    <w:p>
      <w:pPr>
        <w:spacing w:after="80" w:line="312"/>
        <w:ind w:firstLine="360"/>
        <w:jc w:val="both"/>
      </w:pPr>
      <w:r>
        <w:rPr>
          <w:rFonts w:ascii="Times New Roman"/>
          <w:color w:val="000000"/>
          <w:sz w:val="22"/>
          <w:szCs w:val="22"/>
        </w:rPr>
        <w:t xml:space="preserve">Voyage distance for regulatory and operational purposes is the port-to-port distance sailed. It is taken from logbook, noon reports, AIS/ECDIS tracks, or, for estimation, the planned rhumb-line / great-circle route.</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Distance is the integral of speed over time; for discrete legs it is summed:</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D  =  Integral( V(t) dt )   ~=   Sum_legs ( V_leg x t_leg )</w:t>
            </w:r>
          </w:p>
          <w:p>
            <w:pPr>
              <w:spacing w:after="60" w:line="300"/>
              <w:jc w:val="center"/>
            </w:pPr>
            <w:r>
              <w:rPr>
                <w:rFonts w:ascii="Courier New"/>
                <w:b/>
                <w:bCs/>
                <w:color w:val="000000"/>
                <w:sz w:val="22"/>
                <w:szCs w:val="22"/>
              </w:rPr>
              <w:t xml:space="preserve">Rhumb-line distance d (medium ranges):</w:t>
            </w:r>
          </w:p>
          <w:p>
            <w:pPr>
              <w:spacing w:after="0" w:line="300"/>
              <w:jc w:val="center"/>
            </w:pPr>
            <w:r>
              <w:rPr>
                <w:rFonts w:ascii="Courier New"/>
                <w:b/>
                <w:bCs/>
                <w:color w:val="000000"/>
                <w:sz w:val="22"/>
                <w:szCs w:val="22"/>
              </w:rPr>
              <w:t xml:space="preserve">d  =  sqrt( (Delta_lon x cos(lat_m))^2 + (Delta_lat)^2 ) x 60</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V(t)</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Speed over ground as a function of time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logged or AIS-derived</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t_leg</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Time on each leg</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h</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between noon reports or waypoints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Delta_lat / Delta_lon</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Latitude / longitude difference between waypoints</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degrees</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decimal degrees</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lat_m</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Mean latitude between waypoints</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degrees</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for rhumb-line approximation</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60</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Conversion 1 degree = 60 nm</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nm/deg</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on a spherical Earth</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Distance in nautical miles (1 nm = 1.852 km). For regulatory reporting, actual sailed distance is used, not the plan.</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rhumb-line between two waypoints: lat1 36.0, lon1 -5.0; lat2 45.0, lon2 8.0:</w:t>
      </w:r>
    </w:p>
    <w:p>
      <w:pPr>
        <w:spacing w:after="40" w:line="276"/>
        <w:jc w:val="left"/>
      </w:pPr>
      <w:r>
        <w:rPr>
          <w:rFonts w:ascii="Courier New"/>
          <w:color w:val="000000"/>
          <w:sz w:val="20"/>
          <w:szCs w:val="20"/>
        </w:rPr>
        <w:t xml:space="preserve">Delta_lat = 9.0 deg ; Delta_lon = 13.0 deg ; lat_m = 40.5 deg</w:t>
      </w:r>
    </w:p>
    <w:p>
      <w:pPr>
        <w:spacing w:after="40" w:line="276"/>
        <w:jc w:val="left"/>
      </w:pPr>
      <w:r>
        <w:rPr>
          <w:rFonts w:ascii="Courier New"/>
          <w:color w:val="000000"/>
          <w:sz w:val="20"/>
          <w:szCs w:val="20"/>
        </w:rPr>
        <w:t xml:space="preserve">Easting = 13.0 x cos(40.5) = 13.0 x 0.7604 = 9.885 deg</w:t>
      </w:r>
    </w:p>
    <w:p>
      <w:pPr>
        <w:spacing w:after="40" w:line="276"/>
        <w:jc w:val="left"/>
      </w:pPr>
      <w:r>
        <w:rPr>
          <w:rFonts w:ascii="Courier New"/>
          <w:color w:val="000000"/>
          <w:sz w:val="20"/>
          <w:szCs w:val="20"/>
        </w:rPr>
        <w:t xml:space="preserve">d = sqrt(9.885^2 + 9.0^2) x 60 = sqrt(97.7 + 81) x 60 = sqrt(178.7) x 60</w:t>
      </w:r>
    </w:p>
    <w:p>
      <w:pPr>
        <w:spacing w:after="40" w:line="276"/>
        <w:jc w:val="left"/>
      </w:pPr>
      <w:r>
        <w:rPr>
          <w:rFonts w:ascii="Courier New"/>
          <w:color w:val="000000"/>
          <w:sz w:val="20"/>
          <w:szCs w:val="20"/>
        </w:rPr>
        <w:t xml:space="preserve">  = 13.37 x 60 = 802 nm  (rhumb-line approximation)</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Distance is a denominator in CII/EEOI/AER and a driver of fuel and emissions estimates.</w:t>
      </w:r>
    </w:p>
    <w:p>
      <w:pPr>
        <w:pStyle w:val="ListParagraph"/>
        <w:numPr>
          <w:ilvl w:val="0"/>
          <w:numId w:val="1"/>
        </w:numPr>
        <w:spacing w:after="60" w:line="300"/>
      </w:pPr>
      <w:r>
        <w:rPr>
          <w:rFonts w:ascii="Times New Roman"/>
          <w:color w:val="000000"/>
          <w:sz w:val="22"/>
          <w:szCs w:val="22"/>
        </w:rPr>
        <w:t xml:space="preserve">Regulatory reporting (DCS/MRV/CII) — actual sailed distance.</w:t>
      </w:r>
    </w:p>
    <w:p>
      <w:pPr>
        <w:pStyle w:val="ListParagraph"/>
        <w:numPr>
          <w:ilvl w:val="0"/>
          <w:numId w:val="1"/>
        </w:numPr>
        <w:spacing w:after="60" w:line="300"/>
      </w:pPr>
      <w:r>
        <w:rPr>
          <w:rFonts w:ascii="Times New Roman"/>
          <w:color w:val="000000"/>
          <w:sz w:val="22"/>
          <w:szCs w:val="22"/>
        </w:rPr>
        <w:t xml:space="preserve">Voyage planning and ETA estimation.</w:t>
      </w:r>
    </w:p>
    <w:p>
      <w:pPr>
        <w:pStyle w:val="ListParagraph"/>
        <w:numPr>
          <w:ilvl w:val="0"/>
          <w:numId w:val="1"/>
        </w:numPr>
        <w:spacing w:after="60" w:line="300"/>
      </w:pPr>
      <w:r>
        <w:rPr>
          <w:rFonts w:ascii="Times New Roman"/>
          <w:color w:val="000000"/>
          <w:sz w:val="22"/>
          <w:szCs w:val="22"/>
        </w:rPr>
        <w:t xml:space="preserve">Charter-party performance (distance vs CP warranty).</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Rhumb-line approximations diverge over long distances — use great-circle for ocean passages.</w:t>
      </w:r>
    </w:p>
    <w:p>
      <w:pPr>
        <w:pStyle w:val="ListParagraph"/>
        <w:numPr>
          <w:ilvl w:val="0"/>
          <w:numId w:val="1"/>
        </w:numPr>
        <w:spacing w:after="60" w:line="300"/>
      </w:pPr>
      <w:r>
        <w:rPr>
          <w:rFonts w:ascii="Times New Roman"/>
          <w:color w:val="000000"/>
          <w:sz w:val="22"/>
          <w:szCs w:val="22"/>
        </w:rPr>
        <w:t xml:space="preserve">Actual sailed distance exceeds the plan due to weather, current and traffic deviation.</w:t>
      </w:r>
    </w:p>
    <w:p>
      <w:pPr>
        <w:pStyle w:val="ListParagraph"/>
        <w:numPr>
          <w:ilvl w:val="0"/>
          <w:numId w:val="1"/>
        </w:numPr>
        <w:spacing w:after="60" w:line="300"/>
      </w:pPr>
      <w:r>
        <w:rPr>
          <w:rFonts w:ascii="Times New Roman"/>
          <w:color w:val="000000"/>
          <w:sz w:val="22"/>
          <w:szCs w:val="22"/>
        </w:rPr>
        <w:t xml:space="preserve">Noon-report distance is human-recorded and subject to rounding.</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IMO MEPC.1/Circ.684 — EEOI (distance basis).</w:t>
      </w:r>
    </w:p>
    <w:p>
      <w:pPr>
        <w:pStyle w:val="ListParagraph"/>
        <w:numPr>
          <w:ilvl w:val="0"/>
          <w:numId w:val="1"/>
        </w:numPr>
        <w:spacing w:after="60" w:line="300"/>
      </w:pPr>
      <w:r>
        <w:rPr>
          <w:rFonts w:ascii="Times New Roman"/>
          <w:color w:val="000000"/>
          <w:sz w:val="22"/>
          <w:szCs w:val="22"/>
        </w:rPr>
        <w:t xml:space="preserve">Bowditch — The American Practical Navigator (distance calculation).</w:t>
      </w:r>
    </w:p>
    <w:p>
      <w:pPr>
        <w:pStyle w:val="ListParagraph"/>
        <w:numPr>
          <w:ilvl w:val="0"/>
          <w:numId w:val="1"/>
        </w:numPr>
        <w:spacing w:after="60" w:line="300"/>
      </w:pPr>
      <w:r>
        <w:rPr>
          <w:rFonts w:ascii="Times New Roman"/>
          <w:color w:val="000000"/>
          <w:sz w:val="22"/>
          <w:szCs w:val="22"/>
        </w:rPr>
        <w:t xml:space="preserve">IHO S-52 / ECDIS route-distance standards.</w:t>
      </w:r>
    </w:p>
    <w:p>
      <w:pPr>
        <w:pStyle w:val="Heading1"/>
        <w:spacing w:after="200" w:before="420" w:line="312"/>
      </w:pPr>
      <w:bookmarkStart w:id="100012" w:name="_Toc100012"/>
      <w:r>
        <w:rPr>
          <w:rFonts w:ascii="Times New Roman"/>
          <w:b/>
          <w:bCs/>
          <w:color w:val="0B1C2C"/>
          <w:sz w:val="32"/>
          <w:szCs w:val="32"/>
        </w:rPr>
        <w:t xml:space="preserve">13. Great Circle Distance (Haversine / Spherical Law of Cosines)</w:t>
      </w:r>
      <w:bookmarkEnd w:id="100012"/>
    </w:p>
    <w:p>
      <w:pPr>
        <w:spacing w:after="80" w:line="312"/>
        <w:ind w:firstLine="360"/>
        <w:jc w:val="both"/>
      </w:pPr>
      <w:r>
        <w:rPr>
          <w:rFonts w:ascii="Times New Roman"/>
          <w:color w:val="000000"/>
          <w:sz w:val="22"/>
          <w:szCs w:val="22"/>
        </w:rPr>
        <w:t xml:space="preserve">The shortest distance between two points on the Earth's surface is the great-circle arc. The Haversine formula is numerically stable for small distances; the spherical law of cosines is preferred for well-separated points.</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Haversine formula (Earth as sphere, R = 3440.065 nm):</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a  =  sin^2(Delta_lat/2) + cos(lat1) x cos(lat2) x sin^2(Delta_lon/2)</w:t>
            </w:r>
          </w:p>
          <w:p>
            <w:pPr>
              <w:spacing w:after="60" w:line="300"/>
              <w:jc w:val="center"/>
            </w:pPr>
            <w:r>
              <w:rPr>
                <w:rFonts w:ascii="Courier New"/>
                <w:b/>
                <w:bCs/>
                <w:color w:val="000000"/>
                <w:sz w:val="22"/>
                <w:szCs w:val="22"/>
              </w:rPr>
              <w:t xml:space="preserve">c  =  2 x atan2( sqrt(a), sqrt(1-a) )</w:t>
            </w:r>
          </w:p>
          <w:p>
            <w:pPr>
              <w:spacing w:after="60" w:line="300"/>
              <w:jc w:val="center"/>
            </w:pPr>
            <w:r>
              <w:rPr>
                <w:rFonts w:ascii="Courier New"/>
                <w:b/>
                <w:bCs/>
                <w:color w:val="000000"/>
                <w:sz w:val="22"/>
                <w:szCs w:val="22"/>
              </w:rPr>
              <w:t xml:space="preserve">d  =  R x c</w:t>
            </w:r>
          </w:p>
          <w:p>
            <w:pPr>
              <w:spacing w:after="0" w:line="300"/>
              <w:jc w:val="center"/>
            </w:pPr>
            <w:r>
              <w:rPr>
                <w:rFonts w:ascii="Courier New"/>
                <w:b/>
                <w:bCs/>
                <w:color w:val="000000"/>
                <w:sz w:val="22"/>
                <w:szCs w:val="22"/>
              </w:rPr>
              <w:t xml:space="preserve">  (R = 3440.065 nm = 6371 km)</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lat1, lat2</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Latitudes of points 1 and 2 (radians)</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rad</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convert degrees x pi/180</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Delta_lat, Delta_lon</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Latitude / longitude differences (radians)</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rad</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in radians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R</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Mean Earth radius</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3440.065 nm (spherical model)</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d</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Great-circle distance</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shortest surface distance</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Result in nautical miles (R=3440.065) or kilometres (R=6371). Angles in radians.</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Rotterdam (51.95 N, 4.03 E) to New York (40.67 N, -74.04 W):</w:t>
      </w:r>
    </w:p>
    <w:p>
      <w:pPr>
        <w:spacing w:after="40" w:line="276"/>
        <w:jc w:val="left"/>
      </w:pPr>
      <w:r>
        <w:rPr>
          <w:rFonts w:ascii="Courier New"/>
          <w:color w:val="000000"/>
          <w:sz w:val="20"/>
          <w:szCs w:val="20"/>
        </w:rPr>
        <w:t xml:space="preserve">lat1 = 0.9075 rad, lat2 = 0.7102 rad</w:t>
      </w:r>
    </w:p>
    <w:p>
      <w:pPr>
        <w:spacing w:after="40" w:line="276"/>
        <w:jc w:val="left"/>
      </w:pPr>
      <w:r>
        <w:rPr>
          <w:rFonts w:ascii="Courier New"/>
          <w:color w:val="000000"/>
          <w:sz w:val="20"/>
          <w:szCs w:val="20"/>
        </w:rPr>
        <w:t xml:space="preserve">Delta_lat = -0.1973 rad ; Delta_lon = -1.3624 rad</w:t>
      </w:r>
    </w:p>
    <w:p>
      <w:pPr>
        <w:spacing w:after="40" w:line="276"/>
        <w:jc w:val="left"/>
      </w:pPr>
      <w:r>
        <w:rPr>
          <w:rFonts w:ascii="Courier New"/>
          <w:color w:val="000000"/>
          <w:sz w:val="20"/>
          <w:szCs w:val="20"/>
        </w:rPr>
        <w:t xml:space="preserve">a = sin^2(-0.0987) + cos(0.9075)cos(0.7102)sin^2(-0.6812)</w:t>
      </w:r>
    </w:p>
    <w:p>
      <w:pPr>
        <w:spacing w:after="40" w:line="276"/>
        <w:jc w:val="left"/>
      </w:pPr>
      <w:r>
        <w:rPr>
          <w:rFonts w:ascii="Courier New"/>
          <w:color w:val="000000"/>
          <w:sz w:val="20"/>
          <w:szCs w:val="20"/>
        </w:rPr>
        <w:t xml:space="preserve">  ~= 0.00973 + 0.6162 x 0.7583 x 0.3863 ~= 0.00973 + 0.1805 = 0.1902</w:t>
      </w:r>
    </w:p>
    <w:p>
      <w:pPr>
        <w:spacing w:after="40" w:line="276"/>
        <w:jc w:val="left"/>
      </w:pPr>
      <w:r>
        <w:rPr>
          <w:rFonts w:ascii="Courier New"/>
          <w:color w:val="000000"/>
          <w:sz w:val="20"/>
          <w:szCs w:val="20"/>
        </w:rPr>
        <w:t xml:space="preserve">c = 2 x atan2(sqrt(0.1902), sqrt(0.8098)) = 2 x 0.4469 = 0.8938 rad</w:t>
      </w:r>
    </w:p>
    <w:p>
      <w:pPr>
        <w:spacing w:after="40" w:line="276"/>
        <w:jc w:val="left"/>
      </w:pPr>
      <w:r>
        <w:rPr>
          <w:rFonts w:ascii="Courier New"/>
          <w:color w:val="000000"/>
          <w:sz w:val="20"/>
          <w:szCs w:val="20"/>
        </w:rPr>
        <w:t xml:space="preserve">d = 3440.065 x 0.8938 = 3,074 nm</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Great-circle distance is the planning baseline for ocean passages and for emissions allocation across long legs.</w:t>
      </w:r>
    </w:p>
    <w:p>
      <w:pPr>
        <w:pStyle w:val="ListParagraph"/>
        <w:numPr>
          <w:ilvl w:val="0"/>
          <w:numId w:val="1"/>
        </w:numPr>
        <w:spacing w:after="60" w:line="300"/>
      </w:pPr>
      <w:r>
        <w:rPr>
          <w:rFonts w:ascii="Times New Roman"/>
          <w:color w:val="000000"/>
          <w:sz w:val="22"/>
          <w:szCs w:val="22"/>
        </w:rPr>
        <w:t xml:space="preserve">Voyage planning (shortest route over ocean).</w:t>
      </w:r>
    </w:p>
    <w:p>
      <w:pPr>
        <w:pStyle w:val="ListParagraph"/>
        <w:numPr>
          <w:ilvl w:val="0"/>
          <w:numId w:val="1"/>
        </w:numPr>
        <w:spacing w:after="60" w:line="300"/>
      </w:pPr>
      <w:r>
        <w:rPr>
          <w:rFonts w:ascii="Times New Roman"/>
          <w:color w:val="000000"/>
          <w:sz w:val="22"/>
          <w:szCs w:val="22"/>
        </w:rPr>
        <w:t xml:space="preserve">Long-leg distance input to ETA and consumption estimates.</w:t>
      </w:r>
    </w:p>
    <w:p>
      <w:pPr>
        <w:pStyle w:val="ListParagraph"/>
        <w:numPr>
          <w:ilvl w:val="0"/>
          <w:numId w:val="1"/>
        </w:numPr>
        <w:spacing w:after="60" w:line="300"/>
      </w:pPr>
      <w:r>
        <w:rPr>
          <w:rFonts w:ascii="Times New Roman"/>
          <w:color w:val="000000"/>
          <w:sz w:val="22"/>
          <w:szCs w:val="22"/>
        </w:rPr>
        <w:t xml:space="preserve">Geographic allocation in emissions reporting.</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Treats Earth as a sphere; WGS-84 ellipsoidal (Vincenty) differs by up to ~0.5%.</w:t>
      </w:r>
    </w:p>
    <w:p>
      <w:pPr>
        <w:pStyle w:val="ListParagraph"/>
        <w:numPr>
          <w:ilvl w:val="0"/>
          <w:numId w:val="1"/>
        </w:numPr>
        <w:spacing w:after="60" w:line="300"/>
      </w:pPr>
      <w:r>
        <w:rPr>
          <w:rFonts w:ascii="Times New Roman"/>
          <w:color w:val="000000"/>
          <w:sz w:val="22"/>
          <w:szCs w:val="22"/>
        </w:rPr>
        <w:t xml:space="preserve">Does not account for navigational constraints (land, ice, traffic separation).</w:t>
      </w:r>
    </w:p>
    <w:p>
      <w:pPr>
        <w:pStyle w:val="ListParagraph"/>
        <w:numPr>
          <w:ilvl w:val="0"/>
          <w:numId w:val="1"/>
        </w:numPr>
        <w:spacing w:after="60" w:line="300"/>
      </w:pPr>
      <w:r>
        <w:rPr>
          <w:rFonts w:ascii="Times New Roman"/>
          <w:color w:val="000000"/>
          <w:sz w:val="22"/>
          <w:szCs w:val="22"/>
        </w:rPr>
        <w:t xml:space="preserve">Composite sailing is needed where the great-circle exceeds the limiting latitude.</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Sinnott — Haversine formula (Sky &amp; Telescope, 1984).</w:t>
      </w:r>
    </w:p>
    <w:p>
      <w:pPr>
        <w:pStyle w:val="ListParagraph"/>
        <w:numPr>
          <w:ilvl w:val="0"/>
          <w:numId w:val="1"/>
        </w:numPr>
        <w:spacing w:after="60" w:line="300"/>
      </w:pPr>
      <w:r>
        <w:rPr>
          <w:rFonts w:ascii="Times New Roman"/>
          <w:color w:val="000000"/>
          <w:sz w:val="22"/>
          <w:szCs w:val="22"/>
        </w:rPr>
        <w:t xml:space="preserve">Vincenty — geodetic inverse formula (WGS-84 ellipsoid).</w:t>
      </w:r>
    </w:p>
    <w:p>
      <w:pPr>
        <w:pStyle w:val="ListParagraph"/>
        <w:numPr>
          <w:ilvl w:val="0"/>
          <w:numId w:val="1"/>
        </w:numPr>
        <w:spacing w:after="60" w:line="300"/>
      </w:pPr>
      <w:r>
        <w:rPr>
          <w:rFonts w:ascii="Times New Roman"/>
          <w:color w:val="000000"/>
          <w:sz w:val="22"/>
          <w:szCs w:val="22"/>
        </w:rPr>
        <w:t xml:space="preserve">Bowditch — The American Practical Navigator.</w:t>
      </w:r>
    </w:p>
    <w:p>
      <w:pPr>
        <w:pStyle w:val="Heading1"/>
        <w:spacing w:after="200" w:before="420" w:line="312"/>
      </w:pPr>
      <w:bookmarkStart w:id="100013" w:name="_Toc100013"/>
      <w:r>
        <w:rPr>
          <w:rFonts w:ascii="Times New Roman"/>
          <w:b/>
          <w:bCs/>
          <w:color w:val="0B1C2C"/>
          <w:sz w:val="32"/>
          <w:szCs w:val="32"/>
        </w:rPr>
        <w:t xml:space="preserve">14. ETA Estimation</w:t>
      </w:r>
      <w:bookmarkEnd w:id="100013"/>
    </w:p>
    <w:p>
      <w:pPr>
        <w:spacing w:after="80" w:line="312"/>
        <w:ind w:firstLine="360"/>
        <w:jc w:val="both"/>
      </w:pPr>
      <w:r>
        <w:rPr>
          <w:rFonts w:ascii="Times New Roman"/>
          <w:color w:val="000000"/>
          <w:sz w:val="22"/>
          <w:szCs w:val="22"/>
        </w:rPr>
        <w:t xml:space="preserve">Estimated time of arrival combines the remaining sailing distance, planned service speed, and an allowance for weather and manoeuvring. It is the operational counterpart to distance and speed calculations.</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Time-to-go and ETA:</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TTG  =  D_remaining / V_planned</w:t>
            </w:r>
          </w:p>
          <w:p>
            <w:pPr>
              <w:spacing w:after="60" w:line="300"/>
              <w:jc w:val="center"/>
            </w:pPr>
            <w:r>
              <w:rPr>
                <w:rFonts w:ascii="Courier New"/>
                <w:b/>
                <w:bCs/>
                <w:color w:val="000000"/>
                <w:sz w:val="22"/>
                <w:szCs w:val="22"/>
              </w:rPr>
              <w:t xml:space="preserve">ETA  =  Now + TTG + t_allowance</w:t>
            </w:r>
          </w:p>
          <w:p>
            <w:pPr>
              <w:spacing w:after="0" w:line="300"/>
              <w:jc w:val="center"/>
            </w:pPr>
            <w:r>
              <w:rPr>
                <w:rFonts w:ascii="Courier New"/>
                <w:b/>
                <w:bCs/>
                <w:color w:val="000000"/>
                <w:sz w:val="22"/>
                <w:szCs w:val="22"/>
              </w:rPr>
              <w:t xml:space="preserve">t_allowance = t_weather + t_pilot + t_manoevering + t_buffer</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D_remaining</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Remaining distance to destination</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great-circle or planned route</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V_planned</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Planned service (order) speed</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may be weather-adjusted</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TTG</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Time to go (pure sailing time)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h</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D_remaining / V_planned</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t_allowance</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Non-sailing time allowance</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h</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weather, pilot, manoeuvring, buffer</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Now</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Current date-time of estimate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datetime</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UTC consistent</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TTG in hours; ETA in UTC date-time. Allowances are operator judgement and depend on trade and season.</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at 06:00 UTC, 1,820 nm remaining, order speed 14.0 kn, allowance 6.0 h (weather + pilot + manoeuvre):</w:t>
      </w:r>
    </w:p>
    <w:p>
      <w:pPr>
        <w:spacing w:after="40" w:line="276"/>
        <w:jc w:val="left"/>
      </w:pPr>
      <w:r>
        <w:rPr>
          <w:rFonts w:ascii="Courier New"/>
          <w:color w:val="000000"/>
          <w:sz w:val="20"/>
          <w:szCs w:val="20"/>
        </w:rPr>
        <w:t xml:space="preserve">TTG = 1,820 / 14.0 = 130.0 h = 5 days 10 h</w:t>
      </w:r>
    </w:p>
    <w:p>
      <w:pPr>
        <w:spacing w:after="40" w:line="276"/>
        <w:jc w:val="left"/>
      </w:pPr>
      <w:r>
        <w:rPr>
          <w:rFonts w:ascii="Courier New"/>
          <w:color w:val="000000"/>
          <w:sz w:val="20"/>
          <w:szCs w:val="20"/>
        </w:rPr>
        <w:t xml:space="preserve">ETA = 06:00 + 130.0 h + 6.0 h = 06:00 + 136 h</w:t>
      </w:r>
    </w:p>
    <w:p>
      <w:pPr>
        <w:spacing w:after="40" w:line="276"/>
        <w:jc w:val="left"/>
      </w:pPr>
      <w:r>
        <w:rPr>
          <w:rFonts w:ascii="Courier New"/>
          <w:color w:val="000000"/>
          <w:sz w:val="20"/>
          <w:szCs w:val="20"/>
        </w:rPr>
        <w:t xml:space="preserve">    = day +5 18:00 UTC  (i.e. 5 days, 6h after 06:00 -&gt; 5 days + 12h = day+5 18:00)</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Voyage reporting to charterers, just-in-time arrival and port-slot booking.</w:t>
      </w:r>
    </w:p>
    <w:p>
      <w:pPr>
        <w:pStyle w:val="ListParagraph"/>
        <w:numPr>
          <w:ilvl w:val="0"/>
          <w:numId w:val="1"/>
        </w:numPr>
        <w:spacing w:after="60" w:line="300"/>
      </w:pPr>
      <w:r>
        <w:rPr>
          <w:rFonts w:ascii="Times New Roman"/>
          <w:color w:val="000000"/>
          <w:sz w:val="22"/>
          <w:szCs w:val="22"/>
        </w:rPr>
        <w:t xml:space="preserve">Charterer and agent ETA reporting.</w:t>
      </w:r>
    </w:p>
    <w:p>
      <w:pPr>
        <w:pStyle w:val="ListParagraph"/>
        <w:numPr>
          <w:ilvl w:val="0"/>
          <w:numId w:val="1"/>
        </w:numPr>
        <w:spacing w:after="60" w:line="300"/>
      </w:pPr>
      <w:r>
        <w:rPr>
          <w:rFonts w:ascii="Times New Roman"/>
          <w:color w:val="000000"/>
          <w:sz w:val="22"/>
          <w:szCs w:val="22"/>
        </w:rPr>
        <w:t xml:space="preserve">Just-in-time arrival (slow-steaming to slot).</w:t>
      </w:r>
    </w:p>
    <w:p>
      <w:pPr>
        <w:pStyle w:val="ListParagraph"/>
        <w:numPr>
          <w:ilvl w:val="0"/>
          <w:numId w:val="1"/>
        </w:numPr>
        <w:spacing w:after="60" w:line="300"/>
      </w:pPr>
      <w:r>
        <w:rPr>
          <w:rFonts w:ascii="Times New Roman"/>
          <w:color w:val="000000"/>
          <w:sz w:val="22"/>
          <w:szCs w:val="22"/>
        </w:rPr>
        <w:t xml:space="preserve">Schedule recovery / reserve-speed decisions.</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Weather and current effects change V_planned en route; ETA drifts.</w:t>
      </w:r>
    </w:p>
    <w:p>
      <w:pPr>
        <w:pStyle w:val="ListParagraph"/>
        <w:numPr>
          <w:ilvl w:val="0"/>
          <w:numId w:val="1"/>
        </w:numPr>
        <w:spacing w:after="60" w:line="300"/>
      </w:pPr>
      <w:r>
        <w:rPr>
          <w:rFonts w:ascii="Times New Roman"/>
          <w:color w:val="000000"/>
          <w:sz w:val="22"/>
          <w:szCs w:val="22"/>
        </w:rPr>
        <w:t xml:space="preserve">Allowances are heuristic and trade-specific.</w:t>
      </w:r>
    </w:p>
    <w:p>
      <w:pPr>
        <w:pStyle w:val="ListParagraph"/>
        <w:numPr>
          <w:ilvl w:val="0"/>
          <w:numId w:val="1"/>
        </w:numPr>
        <w:spacing w:after="60" w:line="300"/>
      </w:pPr>
      <w:r>
        <w:rPr>
          <w:rFonts w:ascii="Times New Roman"/>
          <w:color w:val="000000"/>
          <w:sz w:val="22"/>
          <w:szCs w:val="22"/>
        </w:rPr>
        <w:t xml:space="preserve">CP ETA terms (good-weather, customary despatch) differ from pure arithmetic.</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BIMCO standard voyage-reporting practice.</w:t>
      </w:r>
    </w:p>
    <w:p>
      <w:pPr>
        <w:pStyle w:val="ListParagraph"/>
        <w:numPr>
          <w:ilvl w:val="0"/>
          <w:numId w:val="1"/>
        </w:numPr>
        <w:spacing w:after="60" w:line="300"/>
      </w:pPr>
      <w:r>
        <w:rPr>
          <w:rFonts w:ascii="Times New Roman"/>
          <w:color w:val="000000"/>
          <w:sz w:val="22"/>
          <w:szCs w:val="22"/>
        </w:rPr>
        <w:t xml:space="preserve">NYPE 2015 / BIMCO time-charter forms (speed/consumption/ETA warranties).</w:t>
      </w:r>
    </w:p>
    <w:p>
      <w:pPr>
        <w:pStyle w:val="Heading1"/>
        <w:spacing w:after="200" w:before="420" w:line="312"/>
      </w:pPr>
      <w:bookmarkStart w:id="100014" w:name="_Toc100014"/>
      <w:r>
        <w:rPr>
          <w:rFonts w:ascii="Times New Roman"/>
          <w:b/>
          <w:bCs/>
          <w:color w:val="0B1C2C"/>
          <w:sz w:val="32"/>
          <w:szCs w:val="32"/>
        </w:rPr>
        <w:t xml:space="preserve">15. Voyage Performance Calculations</w:t>
      </w:r>
      <w:bookmarkEnd w:id="100014"/>
    </w:p>
    <w:p>
      <w:pPr>
        <w:spacing w:after="80" w:line="312"/>
        <w:ind w:firstLine="360"/>
        <w:jc w:val="both"/>
      </w:pPr>
      <w:r>
        <w:rPr>
          <w:rFonts w:ascii="Times New Roman"/>
          <w:color w:val="000000"/>
          <w:sz w:val="22"/>
          <w:szCs w:val="22"/>
        </w:rPr>
        <w:t xml:space="preserve">Voyage performance synthesises speed, consumption, distance and time into a single review of how the ship performed against plan and against charter-party warranties. It is the basis of claims and off-hire discussions.</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Core voyage-performance ratios:</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Average speed (sailed)  =  D_sailed / t_underway</w:t>
            </w:r>
          </w:p>
          <w:p>
            <w:pPr>
              <w:spacing w:after="60" w:line="300"/>
              <w:jc w:val="center"/>
            </w:pPr>
            <w:r>
              <w:rPr>
                <w:rFonts w:ascii="Courier New"/>
                <w:b/>
                <w:bCs/>
                <w:color w:val="000000"/>
                <w:sz w:val="22"/>
                <w:szCs w:val="22"/>
              </w:rPr>
              <w:t xml:space="preserve">Voyage consumption rate  =  FC_actual / t_underway</w:t>
            </w:r>
          </w:p>
          <w:p>
            <w:pPr>
              <w:spacing w:after="60" w:line="300"/>
              <w:jc w:val="center"/>
            </w:pPr>
            <w:r>
              <w:rPr>
                <w:rFonts w:ascii="Courier New"/>
                <w:b/>
                <w:bCs/>
                <w:color w:val="000000"/>
                <w:sz w:val="22"/>
                <w:szCs w:val="22"/>
              </w:rPr>
              <w:t xml:space="preserve">Performance ratio  =  ( D_sailed / V_warranty )  vs  FC_allowed</w:t>
            </w:r>
          </w:p>
          <w:p>
            <w:pPr>
              <w:spacing w:after="0" w:line="300"/>
              <w:jc w:val="center"/>
            </w:pPr>
            <w:r>
              <w:rPr>
                <w:rFonts w:ascii="Courier New"/>
                <w:b/>
                <w:bCs/>
                <w:color w:val="000000"/>
                <w:sz w:val="22"/>
                <w:szCs w:val="22"/>
              </w:rPr>
              <w:t xml:space="preserve">FC_allowed  =  ( t_underway x FC_cp ) + ( t_idle x FC_idle_cp )</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D_sailed</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Actual distance sailed</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logbook / AIS</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t_underway</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Underway hours</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h</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engines on / making way</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FC_actual</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Fuel actually consumed (ME + AE)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sounded / MFM</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FC_cp</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Charter-party warranted consumption at the relevant speed</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t/day</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from CP speed/consumption clause</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t_idle</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Idle / port hours (AE only)</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h</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port-stay consumption</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Speed in knots, consumption in t/day or t/voyage. Performance ratios are dimensionless or in t (over/under-consumption).</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5,200 nm sailed in 380 h underway; actual FC 1,560 t; CP warranty 14.0 kn on 38 t/day:</w:t>
      </w:r>
    </w:p>
    <w:p>
      <w:pPr>
        <w:spacing w:after="40" w:line="276"/>
        <w:jc w:val="left"/>
      </w:pPr>
      <w:r>
        <w:rPr>
          <w:rFonts w:ascii="Courier New"/>
          <w:color w:val="000000"/>
          <w:sz w:val="20"/>
          <w:szCs w:val="20"/>
        </w:rPr>
        <w:t xml:space="preserve">Average speed = 5,200 / 380 = 13.68 kn  (vs 14.0 kn -&gt; slightly under)</w:t>
      </w:r>
    </w:p>
    <w:p>
      <w:pPr>
        <w:spacing w:after="40" w:line="276"/>
        <w:jc w:val="left"/>
      </w:pPr>
      <w:r>
        <w:rPr>
          <w:rFonts w:ascii="Courier New"/>
          <w:color w:val="000000"/>
          <w:sz w:val="20"/>
          <w:szCs w:val="20"/>
        </w:rPr>
        <w:t xml:space="preserve">CP-allowed underway consumption = 380/24 x 38 = 601.7 t  ...</w:t>
      </w:r>
    </w:p>
    <w:p>
      <w:pPr>
        <w:spacing w:after="40" w:line="276"/>
        <w:jc w:val="left"/>
      </w:pPr>
      <w:r>
        <w:rPr>
          <w:rFonts w:ascii="Courier New"/>
          <w:color w:val="000000"/>
          <w:sz w:val="20"/>
          <w:szCs w:val="20"/>
        </w:rPr>
        <w:t xml:space="preserve">  (note: CP consumption is usually expressed per day at sea; compare actual t/day)</w:t>
      </w:r>
    </w:p>
    <w:p>
      <w:pPr>
        <w:spacing w:after="40" w:line="276"/>
        <w:jc w:val="left"/>
      </w:pPr>
      <w:r>
        <w:rPr>
          <w:rFonts w:ascii="Courier New"/>
          <w:color w:val="000000"/>
          <w:sz w:val="20"/>
          <w:szCs w:val="20"/>
        </w:rPr>
        <w:t xml:space="preserve">Actual rate = 1,560 / (380/24) = 98.5 t/day</w:t>
      </w:r>
    </w:p>
    <w:p>
      <w:pPr>
        <w:spacing w:after="40" w:line="276"/>
        <w:jc w:val="left"/>
      </w:pPr>
      <w:r>
        <w:rPr>
          <w:rFonts w:ascii="Courier New"/>
          <w:color w:val="000000"/>
          <w:sz w:val="20"/>
          <w:szCs w:val="20"/>
        </w:rPr>
        <w:t xml:space="preserve">Performance review: investigate speed shortfall vs consumption -&gt; hull/propeller or weather.</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Post-voyage reconciliation against charter-party warranties and operational plan.</w:t>
      </w:r>
    </w:p>
    <w:p>
      <w:pPr>
        <w:pStyle w:val="ListParagraph"/>
        <w:numPr>
          <w:ilvl w:val="0"/>
          <w:numId w:val="1"/>
        </w:numPr>
        <w:spacing w:after="60" w:line="300"/>
      </w:pPr>
      <w:r>
        <w:rPr>
          <w:rFonts w:ascii="Times New Roman"/>
          <w:color w:val="000000"/>
          <w:sz w:val="22"/>
          <w:szCs w:val="22"/>
        </w:rPr>
        <w:t xml:space="preserve">Charter-party performance / claims evaluation.</w:t>
      </w:r>
    </w:p>
    <w:p>
      <w:pPr>
        <w:pStyle w:val="ListParagraph"/>
        <w:numPr>
          <w:ilvl w:val="0"/>
          <w:numId w:val="1"/>
        </w:numPr>
        <w:spacing w:after="60" w:line="300"/>
      </w:pPr>
      <w:r>
        <w:rPr>
          <w:rFonts w:ascii="Times New Roman"/>
          <w:color w:val="000000"/>
          <w:sz w:val="22"/>
          <w:szCs w:val="22"/>
        </w:rPr>
        <w:t xml:space="preserve">Hull and propeller performance trending.</w:t>
      </w:r>
    </w:p>
    <w:p>
      <w:pPr>
        <w:pStyle w:val="ListParagraph"/>
        <w:numPr>
          <w:ilvl w:val="0"/>
          <w:numId w:val="1"/>
        </w:numPr>
        <w:spacing w:after="60" w:line="300"/>
      </w:pPr>
      <w:r>
        <w:rPr>
          <w:rFonts w:ascii="Times New Roman"/>
          <w:color w:val="000000"/>
          <w:sz w:val="22"/>
          <w:szCs w:val="22"/>
        </w:rPr>
        <w:t xml:space="preserve">Voyage-cost actual-vs-budget review.</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CP warranties are 'good weather' — apply good-weather test before drawing conclusions.</w:t>
      </w:r>
    </w:p>
    <w:p>
      <w:pPr>
        <w:pStyle w:val="ListParagraph"/>
        <w:numPr>
          <w:ilvl w:val="0"/>
          <w:numId w:val="1"/>
        </w:numPr>
        <w:spacing w:after="60" w:line="300"/>
      </w:pPr>
      <w:r>
        <w:rPr>
          <w:rFonts w:ascii="Times New Roman"/>
          <w:color w:val="000000"/>
          <w:sz w:val="22"/>
          <w:szCs w:val="22"/>
        </w:rPr>
        <w:t xml:space="preserve">Speed over ground differs from speed through water (current).</w:t>
      </w:r>
    </w:p>
    <w:p>
      <w:pPr>
        <w:pStyle w:val="ListParagraph"/>
        <w:numPr>
          <w:ilvl w:val="0"/>
          <w:numId w:val="1"/>
        </w:numPr>
        <w:spacing w:after="60" w:line="300"/>
      </w:pPr>
      <w:r>
        <w:rPr>
          <w:rFonts w:ascii="Times New Roman"/>
          <w:color w:val="000000"/>
          <w:sz w:val="22"/>
          <w:szCs w:val="22"/>
        </w:rPr>
        <w:t xml:space="preserve">Sounding-based consumption carries measurement uncertainty.</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BIMCO / NYPE time-charter forms (speed/consumption warranties).</w:t>
      </w:r>
    </w:p>
    <w:p>
      <w:pPr>
        <w:pStyle w:val="ListParagraph"/>
        <w:numPr>
          <w:ilvl w:val="0"/>
          <w:numId w:val="1"/>
        </w:numPr>
        <w:spacing w:after="60" w:line="300"/>
      </w:pPr>
      <w:r>
        <w:rPr>
          <w:rFonts w:ascii="Times New Roman"/>
          <w:color w:val="000000"/>
          <w:sz w:val="22"/>
          <w:szCs w:val="22"/>
        </w:rPr>
        <w:t xml:space="preserve">English Court arbitration precedent on good-weather and under-performance claims.</w:t>
      </w:r>
    </w:p>
    <w:p>
      <w:pPr>
        <w:pStyle w:val="Heading1"/>
        <w:spacing w:after="200" w:before="420" w:line="312"/>
      </w:pPr>
      <w:bookmarkStart w:id="100015" w:name="_Toc100015"/>
      <w:r>
        <w:rPr>
          <w:rFonts w:ascii="Times New Roman"/>
          <w:b/>
          <w:bCs/>
          <w:color w:val="0B1C2C"/>
          <w:sz w:val="32"/>
          <w:szCs w:val="32"/>
        </w:rPr>
        <w:t xml:space="preserve">16. Speed vs Fuel Consumption (Cubic Law &amp; Admiralty)</w:t>
      </w:r>
      <w:bookmarkEnd w:id="100015"/>
    </w:p>
    <w:p>
      <w:pPr>
        <w:spacing w:after="80" w:line="312"/>
        <w:ind w:firstLine="360"/>
        <w:jc w:val="both"/>
      </w:pPr>
      <w:r>
        <w:rPr>
          <w:rFonts w:ascii="Times New Roman"/>
          <w:color w:val="000000"/>
          <w:sz w:val="22"/>
          <w:szCs w:val="22"/>
        </w:rPr>
        <w:t xml:space="preserve">For displacement ships, propulsive power (and hence main-engine fuel) scales approximately with the cube of speed. This cubic law underlies slow-steaming savings and consumption warranties at different speeds.</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Admiralty / cubic-law relationships:</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P ~ V^3        (displacement hull, fixed displacement)</w:t>
            </w:r>
          </w:p>
          <w:p>
            <w:pPr>
              <w:spacing w:after="60" w:line="300"/>
              <w:jc w:val="center"/>
            </w:pPr>
            <w:r>
              <w:rPr>
                <w:rFonts w:ascii="Courier New"/>
                <w:b/>
                <w:bCs/>
                <w:color w:val="000000"/>
                <w:sz w:val="22"/>
                <w:szCs w:val="22"/>
              </w:rPr>
              <w:t xml:space="preserve">FC ~ V^3       (since FC ~ P at near-constant SFC)</w:t>
            </w:r>
          </w:p>
          <w:p>
            <w:pPr>
              <w:spacing w:after="60" w:line="300"/>
              <w:jc w:val="center"/>
            </w:pPr>
            <w:r>
              <w:rPr>
                <w:rFonts w:ascii="Courier New"/>
                <w:b/>
                <w:bCs/>
                <w:color w:val="000000"/>
                <w:sz w:val="22"/>
                <w:szCs w:val="22"/>
              </w:rPr>
              <w:t xml:space="preserve">FC_2 / FC_1 = ( V_2 / V_1 )^3</w:t>
            </w:r>
          </w:p>
          <w:p>
            <w:pPr>
              <w:spacing w:after="0" w:line="300"/>
              <w:jc w:val="center"/>
            </w:pPr>
            <w:r>
              <w:rPr>
                <w:rFonts w:ascii="Courier New"/>
                <w:b/>
                <w:bCs/>
                <w:color w:val="000000"/>
                <w:sz w:val="22"/>
                <w:szCs w:val="22"/>
              </w:rPr>
              <w:t xml:space="preserve">Admiralty coefficient  C = ( Delta^(2/3) x V^3 ) / P</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P</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Propulsive power</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main-engine delivered</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V</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Ship speed</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through water, calm conditions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FC</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Main-engine fuel consumption</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t/day</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approximately ~ P x SFC</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Delta</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Ship displacement</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fixed for the comparison</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C</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Admiralty coefficient (efficiency indicator)</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higher = more efficient</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Ratios are dimensionless. The cubic law is an approximation; the real speed-power curve is steeper near the design speed and in heavy weather.</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service speed 14.0 kn consumes 38 t/day. Speed reduced to 12.0 kn (same draft):</w:t>
      </w:r>
    </w:p>
    <w:p>
      <w:pPr>
        <w:spacing w:after="40" w:line="276"/>
        <w:jc w:val="left"/>
      </w:pPr>
      <w:r>
        <w:rPr>
          <w:rFonts w:ascii="Courier New"/>
          <w:color w:val="000000"/>
          <w:sz w:val="20"/>
          <w:szCs w:val="20"/>
        </w:rPr>
        <w:t xml:space="preserve">FC_2 = FC_1 x (V_2/V_1)^3 = 38 x (12.0/14.0)^3</w:t>
      </w:r>
    </w:p>
    <w:p>
      <w:pPr>
        <w:spacing w:after="40" w:line="276"/>
        <w:jc w:val="left"/>
      </w:pPr>
      <w:r>
        <w:rPr>
          <w:rFonts w:ascii="Courier New"/>
          <w:color w:val="000000"/>
          <w:sz w:val="20"/>
          <w:szCs w:val="20"/>
        </w:rPr>
        <w:t xml:space="preserve">     = 38 x (0.857)^3 = 38 x 0.6297 = 23.9 t/day</w:t>
      </w:r>
    </w:p>
    <w:p>
      <w:pPr>
        <w:spacing w:after="40" w:line="276"/>
        <w:jc w:val="left"/>
      </w:pPr>
      <w:r>
        <w:rPr>
          <w:rFonts w:ascii="Courier New"/>
          <w:color w:val="000000"/>
          <w:sz w:val="20"/>
          <w:szCs w:val="20"/>
        </w:rPr>
        <w:t xml:space="preserve">Daily saving = 38 - 23.9 = 14.1 t/day (approx 37%)</w:t>
      </w:r>
    </w:p>
    <w:p>
      <w:pPr>
        <w:spacing w:after="40" w:line="276"/>
        <w:jc w:val="left"/>
      </w:pPr>
      <w:r>
        <w:rPr>
          <w:rFonts w:ascii="Courier New"/>
          <w:color w:val="000000"/>
          <w:sz w:val="20"/>
          <w:szCs w:val="20"/>
        </w:rPr>
        <w:t xml:space="preserve"/>
      </w:r>
    </w:p>
    <w:p>
      <w:pPr>
        <w:spacing w:after="40" w:line="276"/>
        <w:jc w:val="left"/>
      </w:pPr>
      <w:r>
        <w:rPr>
          <w:rFonts w:ascii="Courier New"/>
          <w:color w:val="000000"/>
          <w:sz w:val="20"/>
          <w:szCs w:val="20"/>
        </w:rPr>
        <w:t xml:space="preserve">Trade-off: voyage time rises from D/14 to D/12 (longer). Per-voyage fuel = rate x days.</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Slow-steaming economics, consumption warranties at varying speeds, and emissions reduction planning.</w:t>
      </w:r>
    </w:p>
    <w:p>
      <w:pPr>
        <w:pStyle w:val="ListParagraph"/>
        <w:numPr>
          <w:ilvl w:val="0"/>
          <w:numId w:val="1"/>
        </w:numPr>
        <w:spacing w:after="60" w:line="300"/>
      </w:pPr>
      <w:r>
        <w:rPr>
          <w:rFonts w:ascii="Times New Roman"/>
          <w:color w:val="000000"/>
          <w:sz w:val="22"/>
          <w:szCs w:val="22"/>
        </w:rPr>
        <w:t xml:space="preserve">Optimum-speed analysis (min cost or min emissions per voyage).</w:t>
      </w:r>
    </w:p>
    <w:p>
      <w:pPr>
        <w:pStyle w:val="ListParagraph"/>
        <w:numPr>
          <w:ilvl w:val="0"/>
          <w:numId w:val="1"/>
        </w:numPr>
        <w:spacing w:after="60" w:line="300"/>
      </w:pPr>
      <w:r>
        <w:rPr>
          <w:rFonts w:ascii="Times New Roman"/>
          <w:color w:val="000000"/>
          <w:sz w:val="22"/>
          <w:szCs w:val="22"/>
        </w:rPr>
        <w:t xml:space="preserve">Charter-party consumption warranties at reduced speed.</w:t>
      </w:r>
    </w:p>
    <w:p>
      <w:pPr>
        <w:pStyle w:val="ListParagraph"/>
        <w:numPr>
          <w:ilvl w:val="0"/>
          <w:numId w:val="1"/>
        </w:numPr>
        <w:spacing w:after="60" w:line="300"/>
      </w:pPr>
      <w:r>
        <w:rPr>
          <w:rFonts w:ascii="Times New Roman"/>
          <w:color w:val="000000"/>
          <w:sz w:val="22"/>
          <w:szCs w:val="22"/>
        </w:rPr>
        <w:t xml:space="preserve">CII/EEXI mitigation via power limitation (EPL/ShaPoLi).</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Cubic exponent is approximate; actual exponent varies 2.5-3.5 with hull form and condition.</w:t>
      </w:r>
    </w:p>
    <w:p>
      <w:pPr>
        <w:pStyle w:val="ListParagraph"/>
        <w:numPr>
          <w:ilvl w:val="0"/>
          <w:numId w:val="1"/>
        </w:numPr>
        <w:spacing w:after="60" w:line="300"/>
      </w:pPr>
      <w:r>
        <w:rPr>
          <w:rFonts w:ascii="Times New Roman"/>
          <w:color w:val="000000"/>
          <w:sz w:val="22"/>
          <w:szCs w:val="22"/>
        </w:rPr>
        <w:t xml:space="preserve">Auxiliary consumption does not follow the cubic law (roughly constant with speed).</w:t>
      </w:r>
    </w:p>
    <w:p>
      <w:pPr>
        <w:pStyle w:val="ListParagraph"/>
        <w:numPr>
          <w:ilvl w:val="0"/>
          <w:numId w:val="1"/>
        </w:numPr>
        <w:spacing w:after="60" w:line="300"/>
      </w:pPr>
      <w:r>
        <w:rPr>
          <w:rFonts w:ascii="Times New Roman"/>
          <w:color w:val="000000"/>
          <w:sz w:val="22"/>
          <w:szCs w:val="22"/>
        </w:rPr>
        <w:t xml:space="preserve">At very low speeds the cubic law overstates savings (engine minimum-load floor).</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SNAME — Marine engineering practice (speed-power scaling).</w:t>
      </w:r>
    </w:p>
    <w:p>
      <w:pPr>
        <w:pStyle w:val="ListParagraph"/>
        <w:numPr>
          <w:ilvl w:val="0"/>
          <w:numId w:val="1"/>
        </w:numPr>
        <w:spacing w:after="60" w:line="300"/>
      </w:pPr>
      <w:r>
        <w:rPr>
          <w:rFonts w:ascii="Times New Roman"/>
          <w:color w:val="000000"/>
          <w:sz w:val="22"/>
          <w:szCs w:val="22"/>
        </w:rPr>
        <w:t xml:space="preserve">ITTC — Recommended Procedures (performance prediction).</w:t>
      </w:r>
    </w:p>
    <w:p>
      <w:pPr>
        <w:pStyle w:val="ListParagraph"/>
        <w:numPr>
          <w:ilvl w:val="0"/>
          <w:numId w:val="1"/>
        </w:numPr>
        <w:spacing w:after="60" w:line="300"/>
      </w:pPr>
      <w:r>
        <w:rPr>
          <w:rFonts w:ascii="Times New Roman"/>
          <w:color w:val="000000"/>
          <w:sz w:val="22"/>
          <w:szCs w:val="22"/>
        </w:rPr>
        <w:t xml:space="preserve">IMO MEPC.1/Circ.684 — operational efficiency context.</w:t>
      </w:r>
    </w:p>
    <w:p>
      <w:pPr>
        <w:pStyle w:val="Heading1"/>
        <w:spacing w:after="200" w:before="420" w:line="312"/>
      </w:pPr>
      <w:bookmarkStart w:id="100016" w:name="_Toc100016"/>
      <w:r>
        <w:rPr>
          <w:rFonts w:ascii="Times New Roman"/>
          <w:b/>
          <w:bCs/>
          <w:color w:val="0B1C2C"/>
          <w:sz w:val="32"/>
          <w:szCs w:val="32"/>
        </w:rPr>
        <w:t xml:space="preserve">17. Weather Correction Concepts</w:t>
      </w:r>
      <w:bookmarkEnd w:id="100016"/>
    </w:p>
    <w:p>
      <w:pPr>
        <w:spacing w:after="80" w:line="312"/>
        <w:ind w:firstLine="360"/>
        <w:jc w:val="both"/>
      </w:pPr>
      <w:r>
        <w:rPr>
          <w:rFonts w:ascii="Times New Roman"/>
          <w:color w:val="000000"/>
          <w:sz w:val="22"/>
          <w:szCs w:val="22"/>
        </w:rPr>
        <w:t xml:space="preserve">Weather correction removes the effect of wind, waves and current from observed speed/consumption so that ship performance can be compared with the calm-water warranty. ISO 15016 specifies the standard method; the Admiralty and trial-data approaches give simpler approximations.</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Conceptual weather correction (ISO 15016 is the full method):</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V_still  =  V_observed + Delta_V_weather + Delta_V_current</w:t>
            </w:r>
          </w:p>
          <w:p>
            <w:pPr>
              <w:spacing w:after="60" w:line="300"/>
              <w:jc w:val="center"/>
            </w:pPr>
            <w:r>
              <w:rPr>
                <w:rFonts w:ascii="Courier New"/>
                <w:b/>
                <w:bCs/>
                <w:color w:val="000000"/>
                <w:sz w:val="22"/>
                <w:szCs w:val="22"/>
              </w:rPr>
              <w:t xml:space="preserve">Delta_V_weather = f(Beaufort, wave height, heading)</w:t>
            </w:r>
          </w:p>
          <w:p>
            <w:pPr>
              <w:spacing w:after="0" w:line="300"/>
              <w:jc w:val="center"/>
            </w:pPr>
            <w:r>
              <w:rPr>
                <w:rFonts w:ascii="Courier New"/>
                <w:b/>
                <w:bCs/>
                <w:color w:val="000000"/>
                <w:sz w:val="22"/>
                <w:szCs w:val="22"/>
              </w:rPr>
              <w:t xml:space="preserve">Delta_V_current = V_current x cos(angle)</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V_still</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Speed the ship would have made in calm water, no current</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comparable with CP warranty</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V_observed</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Speed over ground (or through water) actually sailed</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from logbook / AIS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Delta_V_weather</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Speed lost to wind and waves</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per ISO 15016 model or empirical</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Delta_V_current</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Speed gained/lost due to current</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current x cos(relative angle)</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Beaufort, wave height, heading</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Sea-state and relative-heading inputs</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various</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from noon reports</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Speeds in knots. ISO 15016 uses a force-balance (wind, wave-added resistance) approach; simplified Admiralty methods apply percentage allowances (e.g. allowance per Beaufort number).</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observed 12.5 kn SOG; following current +0.4 kn; weather penalty -0.3 kn (Beaufort 5 head sea approx):</w:t>
      </w:r>
    </w:p>
    <w:p>
      <w:pPr>
        <w:spacing w:after="40" w:line="276"/>
        <w:jc w:val="left"/>
      </w:pPr>
      <w:r>
        <w:rPr>
          <w:rFonts w:ascii="Courier New"/>
          <w:color w:val="000000"/>
          <w:sz w:val="20"/>
          <w:szCs w:val="20"/>
        </w:rPr>
        <w:t xml:space="preserve">V_still = 12.5 - 0.4 (subtract following current) + 0.3 (add back weather loss)</w:t>
      </w:r>
    </w:p>
    <w:p>
      <w:pPr>
        <w:spacing w:after="40" w:line="276"/>
        <w:jc w:val="left"/>
      </w:pPr>
      <w:r>
        <w:rPr>
          <w:rFonts w:ascii="Courier New"/>
          <w:color w:val="000000"/>
          <w:sz w:val="20"/>
          <w:szCs w:val="20"/>
        </w:rPr>
        <w:t xml:space="preserve">       = 12.4 kn  (calm-water, still-water equivalent for CP comparison)</w:t>
      </w:r>
    </w:p>
    <w:p>
      <w:pPr>
        <w:spacing w:after="40" w:line="276"/>
        <w:jc w:val="left"/>
      </w:pPr>
      <w:r>
        <w:rPr>
          <w:rFonts w:ascii="Courier New"/>
          <w:color w:val="000000"/>
          <w:sz w:val="20"/>
          <w:szCs w:val="20"/>
        </w:rPr>
        <w:t xml:space="preserve"/>
      </w:r>
    </w:p>
    <w:p>
      <w:pPr>
        <w:spacing w:after="40" w:line="276"/>
        <w:jc w:val="left"/>
      </w:pPr>
      <w:r>
        <w:rPr>
          <w:rFonts w:ascii="Courier New"/>
          <w:color w:val="000000"/>
          <w:sz w:val="20"/>
          <w:szCs w:val="20"/>
        </w:rPr>
        <w:t xml:space="preserve">Full ISO 15016 applies added-resistance models; this is the conceptual basis only.</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Charter-party performance evaluation requires calm-water speed; weather correction produces the comparable figure.</w:t>
      </w:r>
    </w:p>
    <w:p>
      <w:pPr>
        <w:pStyle w:val="ListParagraph"/>
        <w:numPr>
          <w:ilvl w:val="0"/>
          <w:numId w:val="1"/>
        </w:numPr>
        <w:spacing w:after="60" w:line="300"/>
      </w:pPr>
      <w:r>
        <w:rPr>
          <w:rFonts w:ascii="Times New Roman"/>
          <w:color w:val="000000"/>
          <w:sz w:val="22"/>
          <w:szCs w:val="22"/>
        </w:rPr>
        <w:t xml:space="preserve">Good-weather test for speed/consumption claims (BIMCO/NYPE).</w:t>
      </w:r>
    </w:p>
    <w:p>
      <w:pPr>
        <w:pStyle w:val="ListParagraph"/>
        <w:numPr>
          <w:ilvl w:val="0"/>
          <w:numId w:val="1"/>
        </w:numPr>
        <w:spacing w:after="60" w:line="300"/>
      </w:pPr>
      <w:r>
        <w:rPr>
          <w:rFonts w:ascii="Times New Roman"/>
          <w:color w:val="000000"/>
          <w:sz w:val="22"/>
          <w:szCs w:val="22"/>
        </w:rPr>
        <w:t xml:space="preserve">Hull-performance trending (corrected for weather).</w:t>
      </w:r>
    </w:p>
    <w:p>
      <w:pPr>
        <w:pStyle w:val="ListParagraph"/>
        <w:numPr>
          <w:ilvl w:val="0"/>
          <w:numId w:val="1"/>
        </w:numPr>
        <w:spacing w:after="60" w:line="300"/>
      </w:pPr>
      <w:r>
        <w:rPr>
          <w:rFonts w:ascii="Times New Roman"/>
          <w:color w:val="000000"/>
          <w:sz w:val="22"/>
          <w:szCs w:val="22"/>
        </w:rPr>
        <w:t xml:space="preserve">Voyage-estimate accuracy improvement.</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Full ISO 15016 is data-intensive (wind, waves, current, heading, trim); simplified methods are approximate.</w:t>
      </w:r>
    </w:p>
    <w:p>
      <w:pPr>
        <w:pStyle w:val="ListParagraph"/>
        <w:numPr>
          <w:ilvl w:val="0"/>
          <w:numId w:val="1"/>
        </w:numPr>
        <w:spacing w:after="60" w:line="300"/>
      </w:pPr>
      <w:r>
        <w:rPr>
          <w:rFonts w:ascii="Times New Roman"/>
          <w:color w:val="000000"/>
          <w:sz w:val="22"/>
          <w:szCs w:val="22"/>
        </w:rPr>
        <w:t xml:space="preserve">CP 'good weather' definitions vary by contract (e.g. Beaufort ceiling, no adverse current).</w:t>
      </w:r>
    </w:p>
    <w:p>
      <w:pPr>
        <w:pStyle w:val="ListParagraph"/>
        <w:numPr>
          <w:ilvl w:val="0"/>
          <w:numId w:val="1"/>
        </w:numPr>
        <w:spacing w:after="60" w:line="300"/>
      </w:pPr>
      <w:r>
        <w:rPr>
          <w:rFonts w:ascii="Times New Roman"/>
          <w:color w:val="000000"/>
          <w:sz w:val="22"/>
          <w:szCs w:val="22"/>
        </w:rPr>
        <w:t xml:space="preserve">Correction quality depends on noon-report sea-state data quality.</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ISO 15016 — Guidelines for the assessment of speed and power performance by analysis of trial data.</w:t>
      </w:r>
    </w:p>
    <w:p>
      <w:pPr>
        <w:pStyle w:val="ListParagraph"/>
        <w:numPr>
          <w:ilvl w:val="0"/>
          <w:numId w:val="1"/>
        </w:numPr>
        <w:spacing w:after="60" w:line="300"/>
      </w:pPr>
      <w:r>
        <w:rPr>
          <w:rFonts w:ascii="Times New Roman"/>
          <w:color w:val="000000"/>
          <w:sz w:val="22"/>
          <w:szCs w:val="22"/>
        </w:rPr>
        <w:t xml:space="preserve">ITTC — Recommended Procedures 7.5-04-01-01.1 (speed/power analysis).</w:t>
      </w:r>
    </w:p>
    <w:p>
      <w:pPr>
        <w:pStyle w:val="ListParagraph"/>
        <w:numPr>
          <w:ilvl w:val="0"/>
          <w:numId w:val="1"/>
        </w:numPr>
        <w:spacing w:after="60" w:line="300"/>
      </w:pPr>
      <w:r>
        <w:rPr>
          <w:rFonts w:ascii="Times New Roman"/>
          <w:color w:val="000000"/>
          <w:sz w:val="22"/>
          <w:szCs w:val="22"/>
        </w:rPr>
        <w:t xml:space="preserve">BIMCO / NYPE charter-party good-weather clauses.</w:t>
      </w:r>
    </w:p>
    <w:p>
      <w:pPr>
        <w:pStyle w:val="Heading1"/>
        <w:spacing w:after="200" w:before="420" w:line="312"/>
      </w:pPr>
      <w:bookmarkStart w:id="100017" w:name="_Toc100017"/>
      <w:r>
        <w:rPr>
          <w:rFonts w:ascii="Times New Roman"/>
          <w:b/>
          <w:bCs/>
          <w:color w:val="0B1C2C"/>
          <w:sz w:val="32"/>
          <w:szCs w:val="32"/>
        </w:rPr>
        <w:t xml:space="preserve">18. Engine Load Calculations</w:t>
      </w:r>
      <w:bookmarkEnd w:id="100017"/>
    </w:p>
    <w:p>
      <w:pPr>
        <w:spacing w:after="80" w:line="312"/>
        <w:ind w:firstLine="360"/>
        <w:jc w:val="both"/>
      </w:pPr>
      <w:r>
        <w:rPr>
          <w:rFonts w:ascii="Times New Roman"/>
          <w:color w:val="000000"/>
          <w:sz w:val="22"/>
          <w:szCs w:val="22"/>
        </w:rPr>
        <w:t xml:space="preserve">Engine load is the fraction of maximum continuous rating at which the engine operates. It governs specific fuel consumption, emissions and mechanical wear, and is central to EPL/ShaPoLi and slow-steaming analysis.</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Load factor and effective power:</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Load factor (LF)  =  P_output / MCR</w:t>
            </w:r>
          </w:p>
          <w:p>
            <w:pPr>
              <w:spacing w:after="60" w:line="300"/>
              <w:jc w:val="center"/>
            </w:pPr>
            <w:r>
              <w:rPr>
                <w:rFonts w:ascii="Courier New"/>
                <w:b/>
                <w:bCs/>
                <w:color w:val="000000"/>
                <w:sz w:val="22"/>
                <w:szCs w:val="22"/>
              </w:rPr>
              <w:t xml:space="preserve">P_output  =  LF x MCR</w:t>
            </w:r>
          </w:p>
          <w:p>
            <w:pPr>
              <w:spacing w:after="0" w:line="300"/>
              <w:jc w:val="center"/>
            </w:pPr>
            <w:r>
              <w:rPr>
                <w:rFonts w:ascii="Courier New"/>
                <w:b/>
                <w:bCs/>
                <w:color w:val="000000"/>
                <w:sz w:val="22"/>
                <w:szCs w:val="22"/>
              </w:rPr>
              <w:t xml:space="preserve">Torque x rpm relation:  P  =  ( T x n ) / 9.549</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P_output</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Instantaneous power output</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shaft or electrical</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MCR</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Maximum continuous rating (nameplate or limited)</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may be reduced by EPL/ShaPoLi</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LF</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Load factor (fraction of MCR)</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0-1 (0-100%)</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T</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Torque</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shaft torque</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n</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Rotational speed</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rpm</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engine or shaft</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Load factor dimensionless. EEDI/EEXI use 75% MCR as the reference load. Very low load (&lt; ~25-30%) raises SFC and can breach engine operational limits.</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engine MCR 12,000 kW, operating at 8,400 kW:</w:t>
      </w:r>
    </w:p>
    <w:p>
      <w:pPr>
        <w:spacing w:after="40" w:line="276"/>
        <w:jc w:val="left"/>
      </w:pPr>
      <w:r>
        <w:rPr>
          <w:rFonts w:ascii="Courier New"/>
          <w:color w:val="000000"/>
          <w:sz w:val="20"/>
          <w:szCs w:val="20"/>
        </w:rPr>
        <w:t xml:space="preserve">Load factor = 8,400 / 12,000 = 0.70 (70%)</w:t>
      </w:r>
    </w:p>
    <w:p>
      <w:pPr>
        <w:spacing w:after="40" w:line="276"/>
        <w:jc w:val="left"/>
      </w:pPr>
      <w:r>
        <w:rPr>
          <w:rFonts w:ascii="Courier New"/>
          <w:color w:val="000000"/>
          <w:sz w:val="20"/>
          <w:szCs w:val="20"/>
        </w:rPr>
        <w:t xml:space="preserve">With ShaPoLi limiting MCR to 9,000 kW: LF = 8,400 / 9,000 = 0.933 (93.3%)</w:t>
      </w:r>
    </w:p>
    <w:p>
      <w:pPr>
        <w:spacing w:after="40" w:line="276"/>
        <w:jc w:val="left"/>
      </w:pPr>
      <w:r>
        <w:rPr>
          <w:rFonts w:ascii="Courier New"/>
          <w:color w:val="000000"/>
          <w:sz w:val="20"/>
          <w:szCs w:val="20"/>
        </w:rPr>
        <w:t xml:space="preserve">Note: EEDI/EEXI reference load is 75% of the (limited) MCR.</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Engine load drives SFC, emissions and the basis of EPL/ShaPoLi certification and slow-steaming economics.</w:t>
      </w:r>
    </w:p>
    <w:p>
      <w:pPr>
        <w:pStyle w:val="ListParagraph"/>
        <w:numPr>
          <w:ilvl w:val="0"/>
          <w:numId w:val="1"/>
        </w:numPr>
        <w:spacing w:after="60" w:line="300"/>
      </w:pPr>
      <w:r>
        <w:rPr>
          <w:rFonts w:ascii="Times New Roman"/>
          <w:color w:val="000000"/>
          <w:sz w:val="22"/>
          <w:szCs w:val="22"/>
        </w:rPr>
        <w:t xml:space="preserve">SFC lookup (SFC varies with load).</w:t>
      </w:r>
    </w:p>
    <w:p>
      <w:pPr>
        <w:pStyle w:val="ListParagraph"/>
        <w:numPr>
          <w:ilvl w:val="0"/>
          <w:numId w:val="1"/>
        </w:numPr>
        <w:spacing w:after="60" w:line="300"/>
      </w:pPr>
      <w:r>
        <w:rPr>
          <w:rFonts w:ascii="Times New Roman"/>
          <w:color w:val="000000"/>
          <w:sz w:val="22"/>
          <w:szCs w:val="22"/>
        </w:rPr>
        <w:t xml:space="preserve">EPL/ShaPoLi compliance (effective MCR and override management).</w:t>
      </w:r>
    </w:p>
    <w:p>
      <w:pPr>
        <w:pStyle w:val="ListParagraph"/>
        <w:numPr>
          <w:ilvl w:val="0"/>
          <w:numId w:val="1"/>
        </w:numPr>
        <w:spacing w:after="60" w:line="300"/>
      </w:pPr>
      <w:r>
        <w:rPr>
          <w:rFonts w:ascii="Times New Roman"/>
          <w:color w:val="000000"/>
          <w:sz w:val="22"/>
          <w:szCs w:val="22"/>
        </w:rPr>
        <w:t xml:space="preserve">Maintenance / wear prediction.</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SFC is not constant with load; the SFC curve must be applied.</w:t>
      </w:r>
    </w:p>
    <w:p>
      <w:pPr>
        <w:pStyle w:val="ListParagraph"/>
        <w:numPr>
          <w:ilvl w:val="0"/>
          <w:numId w:val="1"/>
        </w:numPr>
        <w:spacing w:after="60" w:line="300"/>
      </w:pPr>
      <w:r>
        <w:rPr>
          <w:rFonts w:ascii="Times New Roman"/>
          <w:color w:val="000000"/>
          <w:sz w:val="22"/>
          <w:szCs w:val="22"/>
        </w:rPr>
        <w:t xml:space="preserve">Auxiliary engines and boilers have separate load profiles.</w:t>
      </w:r>
    </w:p>
    <w:p>
      <w:pPr>
        <w:pStyle w:val="ListParagraph"/>
        <w:numPr>
          <w:ilvl w:val="0"/>
          <w:numId w:val="1"/>
        </w:numPr>
        <w:spacing w:after="60" w:line="300"/>
      </w:pPr>
      <w:r>
        <w:rPr>
          <w:rFonts w:ascii="Times New Roman"/>
          <w:color w:val="000000"/>
          <w:sz w:val="22"/>
          <w:szCs w:val="22"/>
        </w:rPr>
        <w:t xml:space="preserve">Very low load is inefficient and may be operationally constrained.</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Engine manufacturer shop-test data (SFC vs load curves).</w:t>
      </w:r>
    </w:p>
    <w:p>
      <w:pPr>
        <w:pStyle w:val="ListParagraph"/>
        <w:numPr>
          <w:ilvl w:val="0"/>
          <w:numId w:val="1"/>
        </w:numPr>
        <w:spacing w:after="60" w:line="300"/>
      </w:pPr>
      <w:r>
        <w:rPr>
          <w:rFonts w:ascii="Times New Roman"/>
          <w:color w:val="000000"/>
          <w:sz w:val="22"/>
          <w:szCs w:val="22"/>
        </w:rPr>
        <w:t xml:space="preserve">IMO MEPC.245(66) / MEPC.333(76) — 75% MCR reference load.</w:t>
      </w:r>
    </w:p>
    <w:p>
      <w:pPr>
        <w:pStyle w:val="ListParagraph"/>
        <w:numPr>
          <w:ilvl w:val="0"/>
          <w:numId w:val="1"/>
        </w:numPr>
        <w:spacing w:after="60" w:line="300"/>
      </w:pPr>
      <w:r>
        <w:rPr>
          <w:rFonts w:ascii="Times New Roman"/>
          <w:color w:val="000000"/>
          <w:sz w:val="22"/>
          <w:szCs w:val="22"/>
        </w:rPr>
        <w:t xml:space="preserve">SNAME marine engineering practice.</w:t>
      </w:r>
    </w:p>
    <w:p>
      <w:pPr>
        <w:pStyle w:val="Heading1"/>
        <w:spacing w:after="200" w:before="420" w:line="312"/>
      </w:pPr>
      <w:bookmarkStart w:id="100018" w:name="_Toc100018"/>
      <w:r>
        <w:rPr>
          <w:rFonts w:ascii="Times New Roman"/>
          <w:b/>
          <w:bCs/>
          <w:color w:val="0B1C2C"/>
          <w:sz w:val="32"/>
          <w:szCs w:val="32"/>
        </w:rPr>
        <w:t xml:space="preserve">19. SFOC — Specific Fuel Oil Consumption</w:t>
      </w:r>
      <w:bookmarkEnd w:id="100018"/>
    </w:p>
    <w:p>
      <w:pPr>
        <w:spacing w:after="80" w:line="312"/>
        <w:ind w:firstLine="360"/>
        <w:jc w:val="both"/>
      </w:pPr>
      <w:r>
        <w:rPr>
          <w:rFonts w:ascii="Times New Roman"/>
          <w:color w:val="000000"/>
          <w:sz w:val="22"/>
          <w:szCs w:val="22"/>
        </w:rPr>
        <w:t xml:space="preserve">SFOC (also written SFC) is the mass of fuel consumed per unit of mechanical or electrical energy delivered. It is the key engine-efficiency parameter and varies with load, ambient conditions and engine condition.</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Definition and test-bench computation:</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SFOC  =  m_fuel / E_delivered</w:t>
            </w:r>
          </w:p>
          <w:p>
            <w:pPr>
              <w:spacing w:after="60" w:line="300"/>
              <w:jc w:val="center"/>
            </w:pPr>
            <w:r>
              <w:rPr>
                <w:rFonts w:ascii="Courier New"/>
                <w:b/>
                <w:bCs/>
                <w:color w:val="000000"/>
                <w:sz w:val="22"/>
                <w:szCs w:val="22"/>
              </w:rPr>
              <w:t xml:space="preserve">        =  ( m_fuel ) / ( P x t )</w:t>
            </w:r>
          </w:p>
          <w:p>
            <w:pPr>
              <w:spacing w:after="0" w:line="300"/>
              <w:jc w:val="center"/>
            </w:pPr>
            <w:r>
              <w:rPr>
                <w:rFonts w:ascii="Courier New"/>
                <w:b/>
                <w:bCs/>
                <w:color w:val="000000"/>
                <w:sz w:val="22"/>
                <w:szCs w:val="22"/>
              </w:rPr>
              <w:t xml:space="preserve">[units: g/kWh]</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m_fuel</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Mass of fuel consumed over the test period</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g</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measured</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E_delivered</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Energy delivered over the period</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kWh</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 P x t</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P</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Mean brake power output</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shaft or electrical</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t</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Test period</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h</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shop test or in-service period</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SFOC in g/kWh. Typical service values: ~160-175 g/kWh (slow-speed two-stroke on HFO), ~180-210 g/kWh (medium-speed), ~200-230 g/kWh (auxiliary diesels). Always confirm against the engine's specific load curve.</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over a 4-hour trial, an engine delivered 9,800 kW average and burned 6,720 kg of fuel:</w:t>
      </w:r>
    </w:p>
    <w:p>
      <w:pPr>
        <w:spacing w:after="40" w:line="276"/>
        <w:jc w:val="left"/>
      </w:pPr>
      <w:r>
        <w:rPr>
          <w:rFonts w:ascii="Courier New"/>
          <w:color w:val="000000"/>
          <w:sz w:val="20"/>
          <w:szCs w:val="20"/>
        </w:rPr>
        <w:t xml:space="preserve">E_delivered = 9,800 x 4 = 39,200 kWh</w:t>
      </w:r>
    </w:p>
    <w:p>
      <w:pPr>
        <w:spacing w:after="40" w:line="276"/>
        <w:jc w:val="left"/>
      </w:pPr>
      <w:r>
        <w:rPr>
          <w:rFonts w:ascii="Courier New"/>
          <w:color w:val="000000"/>
          <w:sz w:val="20"/>
          <w:szCs w:val="20"/>
        </w:rPr>
        <w:t xml:space="preserve">m_fuel = 6,720 kg = 6,720,000 g</w:t>
      </w:r>
    </w:p>
    <w:p>
      <w:pPr>
        <w:spacing w:after="40" w:line="276"/>
        <w:jc w:val="left"/>
      </w:pPr>
      <w:r>
        <w:rPr>
          <w:rFonts w:ascii="Courier New"/>
          <w:color w:val="000000"/>
          <w:sz w:val="20"/>
          <w:szCs w:val="20"/>
        </w:rPr>
        <w:t xml:space="preserve">SFOC = 6,720,000 / 39,200 = 171.4 g/kWh</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SFOC is the engine-efficiency input to EEDI/EEXI, fuel-consumption estimates and emissions calculations.</w:t>
      </w:r>
    </w:p>
    <w:p>
      <w:pPr>
        <w:pStyle w:val="ListParagraph"/>
        <w:numPr>
          <w:ilvl w:val="0"/>
          <w:numId w:val="1"/>
        </w:numPr>
        <w:spacing w:after="60" w:line="300"/>
      </w:pPr>
      <w:r>
        <w:rPr>
          <w:rFonts w:ascii="Times New Roman"/>
          <w:color w:val="000000"/>
          <w:sz w:val="22"/>
          <w:szCs w:val="22"/>
        </w:rPr>
        <w:t xml:space="preserve">EEDI/EEXI input (certified SFC from NOx Technical File).</w:t>
      </w:r>
    </w:p>
    <w:p>
      <w:pPr>
        <w:pStyle w:val="ListParagraph"/>
        <w:numPr>
          <w:ilvl w:val="0"/>
          <w:numId w:val="1"/>
        </w:numPr>
        <w:spacing w:after="60" w:line="300"/>
      </w:pPr>
      <w:r>
        <w:rPr>
          <w:rFonts w:ascii="Times New Roman"/>
          <w:color w:val="000000"/>
          <w:sz w:val="22"/>
          <w:szCs w:val="22"/>
        </w:rPr>
        <w:t xml:space="preserve">Pre-voyage fuel-consumption estimation (Topic 11).</w:t>
      </w:r>
    </w:p>
    <w:p>
      <w:pPr>
        <w:pStyle w:val="ListParagraph"/>
        <w:numPr>
          <w:ilvl w:val="0"/>
          <w:numId w:val="1"/>
        </w:numPr>
        <w:spacing w:after="60" w:line="300"/>
      </w:pPr>
      <w:r>
        <w:rPr>
          <w:rFonts w:ascii="Times New Roman"/>
          <w:color w:val="000000"/>
          <w:sz w:val="22"/>
          <w:szCs w:val="22"/>
        </w:rPr>
        <w:t xml:space="preserve">Condition-monitoring of engine performance.</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SFOC varies with load — use the value at the relevant load factor.</w:t>
      </w:r>
    </w:p>
    <w:p>
      <w:pPr>
        <w:pStyle w:val="ListParagraph"/>
        <w:numPr>
          <w:ilvl w:val="0"/>
          <w:numId w:val="1"/>
        </w:numPr>
        <w:spacing w:after="60" w:line="300"/>
      </w:pPr>
      <w:r>
        <w:rPr>
          <w:rFonts w:ascii="Times New Roman"/>
          <w:color w:val="000000"/>
          <w:sz w:val="22"/>
          <w:szCs w:val="22"/>
        </w:rPr>
        <w:t xml:space="preserve">Manufacturer values are shop-test; in-service SFOC is typically higher.</w:t>
      </w:r>
    </w:p>
    <w:p>
      <w:pPr>
        <w:pStyle w:val="ListParagraph"/>
        <w:numPr>
          <w:ilvl w:val="0"/>
          <w:numId w:val="1"/>
        </w:numPr>
        <w:spacing w:after="60" w:line="300"/>
      </w:pPr>
      <w:r>
        <w:rPr>
          <w:rFonts w:ascii="Times New Roman"/>
          <w:color w:val="000000"/>
          <w:sz w:val="22"/>
          <w:szCs w:val="22"/>
        </w:rPr>
        <w:t xml:space="preserve">Dual-fuel engines have separate gas/pilot-fuel SFOC curves.</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Engine manufacturer NOx Technical File (certified SFC).</w:t>
      </w:r>
    </w:p>
    <w:p>
      <w:pPr>
        <w:pStyle w:val="ListParagraph"/>
        <w:numPr>
          <w:ilvl w:val="0"/>
          <w:numId w:val="1"/>
        </w:numPr>
        <w:spacing w:after="60" w:line="300"/>
      </w:pPr>
      <w:r>
        <w:rPr>
          <w:rFonts w:ascii="Times New Roman"/>
          <w:color w:val="000000"/>
          <w:sz w:val="22"/>
          <w:szCs w:val="22"/>
        </w:rPr>
        <w:t xml:space="preserve">IMO MEPC.245(66) — EEDI guidelines (SFC basis).</w:t>
      </w:r>
    </w:p>
    <w:p>
      <w:pPr>
        <w:pStyle w:val="ListParagraph"/>
        <w:numPr>
          <w:ilvl w:val="0"/>
          <w:numId w:val="1"/>
        </w:numPr>
        <w:spacing w:after="60" w:line="300"/>
      </w:pPr>
      <w:r>
        <w:rPr>
          <w:rFonts w:ascii="Times New Roman"/>
          <w:color w:val="000000"/>
          <w:sz w:val="22"/>
          <w:szCs w:val="22"/>
        </w:rPr>
        <w:t xml:space="preserve">ISO 3046 — Reciprocating internal combustion engines (performance).</w:t>
      </w:r>
    </w:p>
    <w:p>
      <w:pPr>
        <w:pStyle w:val="Heading1"/>
        <w:spacing w:after="200" w:before="420" w:line="312"/>
      </w:pPr>
      <w:bookmarkStart w:id="100019" w:name="_Toc100019"/>
      <w:r>
        <w:rPr>
          <w:rFonts w:ascii="Times New Roman"/>
          <w:b/>
          <w:bCs/>
          <w:color w:val="0B1C2C"/>
          <w:sz w:val="32"/>
          <w:szCs w:val="32"/>
        </w:rPr>
        <w:t xml:space="preserve">20. Carbon Intensity Metrics — Consolidated Comparison</w:t>
      </w:r>
      <w:bookmarkEnd w:id="100019"/>
    </w:p>
    <w:p>
      <w:pPr>
        <w:spacing w:after="80" w:line="312"/>
        <w:ind w:firstLine="360"/>
        <w:jc w:val="both"/>
      </w:pPr>
      <w:r>
        <w:rPr>
          <w:rFonts w:ascii="Times New Roman"/>
          <w:color w:val="000000"/>
          <w:sz w:val="22"/>
          <w:szCs w:val="22"/>
        </w:rPr>
        <w:t xml:space="preserve">Carbon intensity expresses CO2 per unit of transport work or per unit of energy. Multiple variants exist for different purposes (regulatory vs voluntary, design vs operational, tank-to-wake vs well-to-wake). This topic consolidates them.</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Intensity metric definitions:</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EEOI  =  CO2 / ( Cargo x D )                 [gCO2/t-nm]</w:t>
            </w:r>
          </w:p>
          <w:p>
            <w:pPr>
              <w:spacing w:after="60" w:line="300"/>
              <w:jc w:val="center"/>
            </w:pPr>
            <w:r>
              <w:rPr>
                <w:rFonts w:ascii="Courier New"/>
                <w:b/>
                <w:bCs/>
                <w:color w:val="000000"/>
                <w:sz w:val="22"/>
                <w:szCs w:val="22"/>
              </w:rPr>
              <w:t xml:space="preserve">AER   =  CO2 / ( DWT x D_annualised )        [gCO2/dwt-nm]</w:t>
            </w:r>
          </w:p>
          <w:p>
            <w:pPr>
              <w:spacing w:after="60" w:line="300"/>
              <w:jc w:val="center"/>
            </w:pPr>
            <w:r>
              <w:rPr>
                <w:rFonts w:ascii="Courier New"/>
                <w:b/>
                <w:bCs/>
                <w:color w:val="000000"/>
                <w:sz w:val="22"/>
                <w:szCs w:val="22"/>
              </w:rPr>
              <w:t xml:space="preserve">CII   =  CO2 / ( Capacity x D )              [gCO2/dwt-nm or /GT-nm]</w:t>
            </w:r>
          </w:p>
          <w:p>
            <w:pPr>
              <w:spacing w:after="60" w:line="300"/>
              <w:jc w:val="center"/>
            </w:pPr>
            <w:r>
              <w:rPr>
                <w:rFonts w:ascii="Courier New"/>
                <w:b/>
                <w:bCs/>
                <w:color w:val="000000"/>
                <w:sz w:val="22"/>
                <w:szCs w:val="22"/>
              </w:rPr>
              <w:t xml:space="preserve">EEDI  =  CO2_design / ( Capacity x V_ref )   [gCO2/t-nm, design]</w:t>
            </w:r>
          </w:p>
          <w:p>
            <w:pPr>
              <w:spacing w:after="60" w:line="300"/>
              <w:jc w:val="center"/>
            </w:pPr>
            <w:r>
              <w:rPr>
                <w:rFonts w:ascii="Courier New"/>
                <w:b/>
                <w:bCs/>
                <w:color w:val="000000"/>
                <w:sz w:val="22"/>
                <w:szCs w:val="22"/>
              </w:rPr>
              <w:t xml:space="preserve">EEXI  =  same as EEDI, applied to existing ships</w:t>
            </w:r>
          </w:p>
          <w:p>
            <w:pPr>
              <w:spacing w:after="0" w:line="300"/>
              <w:jc w:val="center"/>
            </w:pPr>
            <w:r>
              <w:rPr>
                <w:rFonts w:ascii="Courier New"/>
                <w:b/>
                <w:bCs/>
                <w:color w:val="000000"/>
                <w:sz w:val="22"/>
                <w:szCs w:val="22"/>
              </w:rPr>
              <w:t xml:space="preserve">FuelEU = GHG / Energy   [gCO2eq/MJ, well-to-wake]</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CO2</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Mass of CO2 (sum of fuel x CF)</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g</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tank-to-wake unless stated</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Cargo</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Cargo carried</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 (TEU/pax)</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per voyage or period</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D</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Distance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actual sailed</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D_annualised</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V_design x 24 x days</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AER basis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Energy</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Fuel energy content (mass x LCV)</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MJ</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FuelEU basis</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GHG</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CO2-equivalent mass (CO2 + CH4 + N2O)</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gCO2eq</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FuelEU; GWP-100</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Intensity units vary: gCO2/t-nm (EEOI), gCO2/dwt-nm (AER/CII), gCO2/t-nm design (EEDI/EEXI), gCO2eq/MJ (FuelEU). Direct comparison across metrics requires unit reconciliation.</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alignment of a single voyage across metrics (45,000 t cargo, 50,000 DWT, 4,200 nm, 5,605.2 t-CO2):</w:t>
      </w:r>
    </w:p>
    <w:p>
      <w:pPr>
        <w:spacing w:after="40" w:line="276"/>
        <w:jc w:val="left"/>
      </w:pPr>
      <w:r>
        <w:rPr>
          <w:rFonts w:ascii="Courier New"/>
          <w:color w:val="000000"/>
          <w:sz w:val="20"/>
          <w:szCs w:val="20"/>
        </w:rPr>
        <w:t xml:space="preserve">EEOI  = 5.6052e9 g / (45,000 x 4,200) = 29.66 gCO2/t-nm</w:t>
      </w:r>
    </w:p>
    <w:p>
      <w:pPr>
        <w:spacing w:after="40" w:line="276"/>
        <w:jc w:val="left"/>
      </w:pPr>
      <w:r>
        <w:rPr>
          <w:rFonts w:ascii="Courier New"/>
          <w:color w:val="000000"/>
          <w:sz w:val="20"/>
          <w:szCs w:val="20"/>
        </w:rPr>
        <w:t xml:space="preserve">CII-style = 5.6052e9 g / (50,000 x 4,200) = 26.69 gCO2/dwt-nm (per-voyage; CII is annual)</w:t>
      </w:r>
    </w:p>
    <w:p>
      <w:pPr>
        <w:spacing w:after="40" w:line="276"/>
        <w:jc w:val="left"/>
      </w:pPr>
      <w:r>
        <w:rPr>
          <w:rFonts w:ascii="Courier New"/>
          <w:color w:val="000000"/>
          <w:sz w:val="20"/>
          <w:szCs w:val="20"/>
        </w:rPr>
        <w:t xml:space="preserve">AER would annualise the denominator differently -&gt; not directly comparable to the per-voyage value.</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Choosing the correct metric for each audience (regulator, charterer, financier, internal).</w:t>
      </w:r>
    </w:p>
    <w:p>
      <w:pPr>
        <w:pStyle w:val="ListParagraph"/>
        <w:numPr>
          <w:ilvl w:val="0"/>
          <w:numId w:val="1"/>
        </w:numPr>
        <w:spacing w:after="60" w:line="300"/>
      </w:pPr>
      <w:r>
        <w:rPr>
          <w:rFonts w:ascii="Times New Roman"/>
          <w:color w:val="000000"/>
          <w:sz w:val="22"/>
          <w:szCs w:val="22"/>
        </w:rPr>
        <w:t xml:space="preserve">Regulatory: CII (IMO), FuelEU (EU), EEXI/EEDI (IMO design).</w:t>
      </w:r>
    </w:p>
    <w:p>
      <w:pPr>
        <w:pStyle w:val="ListParagraph"/>
        <w:numPr>
          <w:ilvl w:val="0"/>
          <w:numId w:val="1"/>
        </w:numPr>
        <w:spacing w:after="60" w:line="300"/>
      </w:pPr>
      <w:r>
        <w:rPr>
          <w:rFonts w:ascii="Times New Roman"/>
          <w:color w:val="000000"/>
          <w:sz w:val="22"/>
          <w:szCs w:val="22"/>
        </w:rPr>
        <w:t xml:space="preserve">Voluntary: AER (Poseidon Principles, Sea Cargo Charter).</w:t>
      </w:r>
    </w:p>
    <w:p>
      <w:pPr>
        <w:pStyle w:val="ListParagraph"/>
        <w:numPr>
          <w:ilvl w:val="0"/>
          <w:numId w:val="1"/>
        </w:numPr>
        <w:spacing w:after="60" w:line="300"/>
      </w:pPr>
      <w:r>
        <w:rPr>
          <w:rFonts w:ascii="Times New Roman"/>
          <w:color w:val="000000"/>
          <w:sz w:val="22"/>
          <w:szCs w:val="22"/>
        </w:rPr>
        <w:t xml:space="preserve">Operational: EEOI (in-voyage efficiency).</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Different denominators (cargo vs capacity vs energy) make cross-metric comparison misleading without reconciliation.</w:t>
      </w:r>
    </w:p>
    <w:p>
      <w:pPr>
        <w:pStyle w:val="ListParagraph"/>
        <w:numPr>
          <w:ilvl w:val="0"/>
          <w:numId w:val="1"/>
        </w:numPr>
        <w:spacing w:after="60" w:line="300"/>
      </w:pPr>
      <w:r>
        <w:rPr>
          <w:rFonts w:ascii="Times New Roman"/>
          <w:color w:val="000000"/>
          <w:sz w:val="22"/>
          <w:szCs w:val="22"/>
        </w:rPr>
        <w:t xml:space="preserve">Tank-to-wake (CII/MRV) vs well-to-wake (FuelEU) scopes differ.</w:t>
      </w:r>
    </w:p>
    <w:p>
      <w:pPr>
        <w:pStyle w:val="ListParagraph"/>
        <w:numPr>
          <w:ilvl w:val="0"/>
          <w:numId w:val="1"/>
        </w:numPr>
        <w:spacing w:after="60" w:line="300"/>
      </w:pPr>
      <w:r>
        <w:rPr>
          <w:rFonts w:ascii="Times New Roman"/>
          <w:color w:val="000000"/>
          <w:sz w:val="22"/>
          <w:szCs w:val="22"/>
        </w:rPr>
        <w:t xml:space="preserve">Annual (CII/AER) vs per-voyage (EEOI) bases differ.</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IMO MEPC.1/Circ.684 — EEOI methodology.</w:t>
      </w:r>
    </w:p>
    <w:p>
      <w:pPr>
        <w:pStyle w:val="ListParagraph"/>
        <w:numPr>
          <w:ilvl w:val="0"/>
          <w:numId w:val="1"/>
        </w:numPr>
        <w:spacing w:after="60" w:line="300"/>
      </w:pPr>
      <w:r>
        <w:rPr>
          <w:rFonts w:ascii="Times New Roman"/>
          <w:color w:val="000000"/>
          <w:sz w:val="22"/>
          <w:szCs w:val="22"/>
        </w:rPr>
        <w:t xml:space="preserve">IMO Resolution MEPC.336(76) — CII guidelines.</w:t>
      </w:r>
    </w:p>
    <w:p>
      <w:pPr>
        <w:pStyle w:val="ListParagraph"/>
        <w:numPr>
          <w:ilvl w:val="0"/>
          <w:numId w:val="1"/>
        </w:numPr>
        <w:spacing w:after="60" w:line="300"/>
      </w:pPr>
      <w:r>
        <w:rPr>
          <w:rFonts w:ascii="Times New Roman"/>
          <w:color w:val="000000"/>
          <w:sz w:val="22"/>
          <w:szCs w:val="22"/>
        </w:rPr>
        <w:t xml:space="preserve">Sea Cargo Charter / Poseidon Principles — AER guidance.</w:t>
      </w:r>
    </w:p>
    <w:p>
      <w:pPr>
        <w:pStyle w:val="ListParagraph"/>
        <w:numPr>
          <w:ilvl w:val="0"/>
          <w:numId w:val="1"/>
        </w:numPr>
        <w:spacing w:after="60" w:line="300"/>
      </w:pPr>
      <w:r>
        <w:rPr>
          <w:rFonts w:ascii="Times New Roman"/>
          <w:color w:val="000000"/>
          <w:sz w:val="22"/>
          <w:szCs w:val="22"/>
        </w:rPr>
        <w:t xml:space="preserve">Regulation (EU) 2023/1805 — FuelEU intensity metric.</w:t>
      </w:r>
    </w:p>
    <w:p>
      <w:pPr>
        <w:pStyle w:val="Heading1"/>
        <w:spacing w:after="200" w:before="420" w:line="312"/>
      </w:pPr>
      <w:bookmarkStart w:id="100020" w:name="_Toc100020"/>
      <w:r>
        <w:rPr>
          <w:rFonts w:ascii="Times New Roman"/>
          <w:b/>
          <w:bCs/>
          <w:color w:val="0B1C2C"/>
          <w:sz w:val="32"/>
          <w:szCs w:val="32"/>
        </w:rPr>
        <w:t xml:space="preserve">21. Port Stay Calculations</w:t>
      </w:r>
      <w:bookmarkEnd w:id="100020"/>
    </w:p>
    <w:p>
      <w:pPr>
        <w:spacing w:after="80" w:line="312"/>
        <w:ind w:firstLine="360"/>
        <w:jc w:val="both"/>
      </w:pPr>
      <w:r>
        <w:rPr>
          <w:rFonts w:ascii="Times New Roman"/>
          <w:color w:val="000000"/>
          <w:sz w:val="22"/>
          <w:szCs w:val="22"/>
        </w:rPr>
        <w:t xml:space="preserve">Port-stay calculations determine the time a ship spends in port for loading, discharging and idle periods, and the fuel and emissions associated with auxiliary-engine and boiler consumption during that time. They underpin demurrage and just-in-time arrival.</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Port time and in-port consumption/emissions:</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t_port  =  t_arrival_to_NOR + t_ops + t_completion_to_dep</w:t>
            </w:r>
          </w:p>
          <w:p>
            <w:pPr>
              <w:spacing w:after="60" w:line="300"/>
              <w:jc w:val="center"/>
            </w:pPr>
            <w:r>
              <w:rPr>
                <w:rFonts w:ascii="Courier New"/>
                <w:b/>
                <w:bCs/>
                <w:color w:val="000000"/>
                <w:sz w:val="22"/>
                <w:szCs w:val="22"/>
              </w:rPr>
              <w:t xml:space="preserve">FC_port  =  ( t_ae x P_ae x SFC_ae ) + ( t_boiler x FC_boiler_rate )</w:t>
            </w:r>
          </w:p>
          <w:p>
            <w:pPr>
              <w:spacing w:after="0" w:line="300"/>
              <w:jc w:val="center"/>
            </w:pPr>
            <w:r>
              <w:rPr>
                <w:rFonts w:ascii="Courier New"/>
                <w:b/>
                <w:bCs/>
                <w:color w:val="000000"/>
                <w:sz w:val="22"/>
                <w:szCs w:val="22"/>
              </w:rPr>
              <w:t xml:space="preserve">CO2_port  =  FC_port x CF</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t_port</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Total time in port</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h</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from arrival to departure</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NOR</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Notice of Readiness tendered</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datetime</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starts laytime (per CP)</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t_ops</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Cargo operations time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h</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loading + discharging</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P_ae</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Auxiliary engine power in port</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kW</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reefer/crane/hotel load</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SFC_ae</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Auxiliary engine SFC</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g/kWh</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Topic 19</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FC_boiler_rate</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Boiler fuel rate</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t/h</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if applicable</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Time in hours; fuel in tonnes; CO2 in tonnes. Laytime and demurrage follow charter-party terms (e.g. BIMCO Gencon). Shore-power (OPS) displaces in-port fuel (relevant to FuelEU OPS requirements).</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36 h in port, AE 600 kW at SFC 210 g/kWh, boiler 0.3 t/h for 20 h, fuel MGO (CF 3.206):</w:t>
      </w:r>
    </w:p>
    <w:p>
      <w:pPr>
        <w:spacing w:after="40" w:line="276"/>
        <w:jc w:val="left"/>
      </w:pPr>
      <w:r>
        <w:rPr>
          <w:rFonts w:ascii="Courier New"/>
          <w:color w:val="000000"/>
          <w:sz w:val="20"/>
          <w:szCs w:val="20"/>
        </w:rPr>
        <w:t xml:space="preserve">FC_AE = 36 x 600 x 210 / 10^6 = 4.536 t</w:t>
      </w:r>
    </w:p>
    <w:p>
      <w:pPr>
        <w:spacing w:after="40" w:line="276"/>
        <w:jc w:val="left"/>
      </w:pPr>
      <w:r>
        <w:rPr>
          <w:rFonts w:ascii="Courier New"/>
          <w:color w:val="000000"/>
          <w:sz w:val="20"/>
          <w:szCs w:val="20"/>
        </w:rPr>
        <w:t xml:space="preserve">FC_boiler = 0.3 x 20 = 6.000 t</w:t>
      </w:r>
    </w:p>
    <w:p>
      <w:pPr>
        <w:spacing w:after="40" w:line="276"/>
        <w:jc w:val="left"/>
      </w:pPr>
      <w:r>
        <w:rPr>
          <w:rFonts w:ascii="Courier New"/>
          <w:color w:val="000000"/>
          <w:sz w:val="20"/>
          <w:szCs w:val="20"/>
        </w:rPr>
        <w:t xml:space="preserve">FC_port = 4.536 + 6.000 = 10.536 t</w:t>
      </w:r>
    </w:p>
    <w:p>
      <w:pPr>
        <w:spacing w:after="40" w:line="276"/>
        <w:jc w:val="left"/>
      </w:pPr>
      <w:r>
        <w:rPr>
          <w:rFonts w:ascii="Courier New"/>
          <w:color w:val="000000"/>
          <w:sz w:val="20"/>
          <w:szCs w:val="20"/>
        </w:rPr>
        <w:t xml:space="preserve">CO2_port = 10.536 x 3.206 = 33.78 t-CO2</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Port-stay time and consumption feed demurrage/despatch, total-voyage emissions and just-in-time optimisation.</w:t>
      </w:r>
    </w:p>
    <w:p>
      <w:pPr>
        <w:pStyle w:val="ListParagraph"/>
        <w:numPr>
          <w:ilvl w:val="0"/>
          <w:numId w:val="1"/>
        </w:numPr>
        <w:spacing w:after="60" w:line="300"/>
      </w:pPr>
      <w:r>
        <w:rPr>
          <w:rFonts w:ascii="Times New Roman"/>
          <w:color w:val="000000"/>
          <w:sz w:val="22"/>
          <w:szCs w:val="22"/>
        </w:rPr>
        <w:t xml:space="preserve">Laytime / demurrage calculation (BIMCO Gencon).</w:t>
      </w:r>
    </w:p>
    <w:p>
      <w:pPr>
        <w:pStyle w:val="ListParagraph"/>
        <w:numPr>
          <w:ilvl w:val="0"/>
          <w:numId w:val="1"/>
        </w:numPr>
        <w:spacing w:after="60" w:line="300"/>
      </w:pPr>
      <w:r>
        <w:rPr>
          <w:rFonts w:ascii="Times New Roman"/>
          <w:color w:val="000000"/>
          <w:sz w:val="22"/>
          <w:szCs w:val="22"/>
        </w:rPr>
        <w:t xml:space="preserve">In-port emissions reporting (MRV/FuelEU berth term).</w:t>
      </w:r>
    </w:p>
    <w:p>
      <w:pPr>
        <w:pStyle w:val="ListParagraph"/>
        <w:numPr>
          <w:ilvl w:val="0"/>
          <w:numId w:val="1"/>
        </w:numPr>
        <w:spacing w:after="60" w:line="300"/>
      </w:pPr>
      <w:r>
        <w:rPr>
          <w:rFonts w:ascii="Times New Roman"/>
          <w:color w:val="000000"/>
          <w:sz w:val="22"/>
          <w:szCs w:val="22"/>
        </w:rPr>
        <w:t xml:space="preserve">Just-in-time arrival and OPS planning.</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Laytime rules (excepted periods, NOR validity) are contract-specific.</w:t>
      </w:r>
    </w:p>
    <w:p>
      <w:pPr>
        <w:pStyle w:val="ListParagraph"/>
        <w:numPr>
          <w:ilvl w:val="0"/>
          <w:numId w:val="1"/>
        </w:numPr>
        <w:spacing w:after="60" w:line="300"/>
      </w:pPr>
      <w:r>
        <w:rPr>
          <w:rFonts w:ascii="Times New Roman"/>
          <w:color w:val="000000"/>
          <w:sz w:val="22"/>
          <w:szCs w:val="22"/>
        </w:rPr>
        <w:t xml:space="preserve">Reefer / cargo-heating loads vary greatly by trade.</w:t>
      </w:r>
    </w:p>
    <w:p>
      <w:pPr>
        <w:pStyle w:val="ListParagraph"/>
        <w:numPr>
          <w:ilvl w:val="0"/>
          <w:numId w:val="1"/>
        </w:numPr>
        <w:spacing w:after="60" w:line="300"/>
      </w:pPr>
      <w:r>
        <w:rPr>
          <w:rFonts w:ascii="Times New Roman"/>
          <w:color w:val="000000"/>
          <w:sz w:val="22"/>
          <w:szCs w:val="22"/>
        </w:rPr>
        <w:t xml:space="preserve">OPS availability changes in-port consumption to zero fuel.</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BIMCO Gencon — general voyage charter (laytime &amp; demurrage).</w:t>
      </w:r>
    </w:p>
    <w:p>
      <w:pPr>
        <w:pStyle w:val="ListParagraph"/>
        <w:numPr>
          <w:ilvl w:val="0"/>
          <w:numId w:val="1"/>
        </w:numPr>
        <w:spacing w:after="60" w:line="300"/>
      </w:pPr>
      <w:r>
        <w:rPr>
          <w:rFonts w:ascii="Times New Roman"/>
          <w:color w:val="000000"/>
          <w:sz w:val="22"/>
          <w:szCs w:val="22"/>
        </w:rPr>
        <w:t xml:space="preserve">Regulation (EU) 2023/1805 — FuelEU (berth/OPS requirements).</w:t>
      </w:r>
    </w:p>
    <w:p>
      <w:pPr>
        <w:pStyle w:val="ListParagraph"/>
        <w:numPr>
          <w:ilvl w:val="0"/>
          <w:numId w:val="1"/>
        </w:numPr>
        <w:spacing w:after="60" w:line="300"/>
      </w:pPr>
      <w:r>
        <w:rPr>
          <w:rFonts w:ascii="Times New Roman"/>
          <w:color w:val="000000"/>
          <w:sz w:val="22"/>
          <w:szCs w:val="22"/>
        </w:rPr>
        <w:t xml:space="preserve">IMO MEPC.1/Circ.684 — port-period emissions context.</w:t>
      </w:r>
    </w:p>
    <w:p>
      <w:pPr>
        <w:pStyle w:val="Heading1"/>
        <w:spacing w:after="200" w:before="420" w:line="312"/>
      </w:pPr>
      <w:bookmarkStart w:id="100021" w:name="_Toc100021"/>
      <w:r>
        <w:rPr>
          <w:rFonts w:ascii="Times New Roman"/>
          <w:b/>
          <w:bCs/>
          <w:color w:val="0B1C2C"/>
          <w:sz w:val="32"/>
          <w:szCs w:val="32"/>
        </w:rPr>
        <w:t xml:space="preserve">22. Off-Hire Calculations</w:t>
      </w:r>
      <w:bookmarkEnd w:id="100021"/>
    </w:p>
    <w:p>
      <w:pPr>
        <w:spacing w:after="80" w:line="312"/>
        <w:ind w:firstLine="360"/>
        <w:jc w:val="both"/>
      </w:pPr>
      <w:r>
        <w:rPr>
          <w:rFonts w:ascii="Times New Roman"/>
          <w:color w:val="000000"/>
          <w:sz w:val="22"/>
          <w:szCs w:val="22"/>
        </w:rPr>
        <w:t xml:space="preserve">Off-hire is the period during a time charter when the ship is unavailable due to breakdown, damage or other agreed cause, and hire ceases to be payable. The calculation determines the time and consumption adjustments under the charter-party off-hire clause.</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Standard off-hire time and consumption adjustment:</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t_offhire  =  t_from_event + t_to_recovery + t_underway_loss (per CP)</w:t>
            </w:r>
          </w:p>
          <w:p>
            <w:pPr>
              <w:spacing w:after="60" w:line="300"/>
              <w:jc w:val="center"/>
            </w:pPr>
            <w:r>
              <w:rPr>
                <w:rFonts w:ascii="Courier New"/>
                <w:b/>
                <w:bCs/>
                <w:color w:val="000000"/>
                <w:sz w:val="22"/>
                <w:szCs w:val="22"/>
              </w:rPr>
              <w:t xml:space="preserve">Hire saved  =  t_offhire x Hire_rate</w:t>
            </w:r>
          </w:p>
          <w:p>
            <w:pPr>
              <w:spacing w:after="60" w:line="300"/>
              <w:jc w:val="center"/>
            </w:pPr>
            <w:r>
              <w:rPr>
                <w:rFonts w:ascii="Courier New"/>
                <w:b/>
                <w:bCs/>
                <w:color w:val="000000"/>
                <w:sz w:val="22"/>
                <w:szCs w:val="22"/>
              </w:rPr>
              <w:t xml:space="preserve">Consumption credit  =  FC_offhire_event x CP_allocation</w:t>
            </w:r>
          </w:p>
          <w:p>
            <w:pPr>
              <w:spacing w:after="0" w:line="300"/>
              <w:jc w:val="center"/>
            </w:pPr>
            <w:r>
              <w:rPr>
                <w:rFonts w:ascii="Courier New"/>
                <w:b/>
                <w:bCs/>
                <w:color w:val="000000"/>
                <w:sz w:val="22"/>
                <w:szCs w:val="22"/>
              </w:rPr>
              <w:t xml:space="preserve">Net claim  =  Hire saved  +/-  consumption / bunker adjustments</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t_offhire</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Off-hire period (per CP clause)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d / h</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event to recovery, less excepted periods</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Hire_rate</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Daily time-charter hire rate</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USD/d</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from CP</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FC_offhire_event</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Fuel consumed during the off-hire event</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per CP off-hire clause</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CP_allocation</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Consumption/allocation rule in the off-hire clause</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varies by form (NYPE, Baltime)</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Time in days/hours; hire in currency; consumption in tonnes. Off-hire clauses differ by charter form (NYPE 2015, Baltime, BIMCO Time Charter) — apply the specific wording.</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main-engine breakdown 18 h; hire USD 12,000/day; off-hire event fuel 8 t; charterer's bunkers:</w:t>
      </w:r>
    </w:p>
    <w:p>
      <w:pPr>
        <w:spacing w:after="40" w:line="276"/>
        <w:jc w:val="left"/>
      </w:pPr>
      <w:r>
        <w:rPr>
          <w:rFonts w:ascii="Courier New"/>
          <w:color w:val="000000"/>
          <w:sz w:val="20"/>
          <w:szCs w:val="20"/>
        </w:rPr>
        <w:t xml:space="preserve">t_offhire = 18 h = 0.75 d</w:t>
      </w:r>
    </w:p>
    <w:p>
      <w:pPr>
        <w:spacing w:after="40" w:line="276"/>
        <w:jc w:val="left"/>
      </w:pPr>
      <w:r>
        <w:rPr>
          <w:rFonts w:ascii="Courier New"/>
          <w:color w:val="000000"/>
          <w:sz w:val="20"/>
          <w:szCs w:val="20"/>
        </w:rPr>
        <w:t xml:space="preserve">Hire saved = 0.75 x 12,000 = USD 9,000</w:t>
      </w:r>
    </w:p>
    <w:p>
      <w:pPr>
        <w:spacing w:after="40" w:line="276"/>
        <w:jc w:val="left"/>
      </w:pPr>
      <w:r>
        <w:rPr>
          <w:rFonts w:ascii="Courier New"/>
          <w:color w:val="000000"/>
          <w:sz w:val="20"/>
          <w:szCs w:val="20"/>
        </w:rPr>
        <w:t xml:space="preserve">Consumption adjustment per CP (illustrative): owner credits 8 t at the CP value</w:t>
      </w:r>
    </w:p>
    <w:p>
      <w:pPr>
        <w:spacing w:after="40" w:line="276"/>
        <w:jc w:val="left"/>
      </w:pPr>
      <w:r>
        <w:rPr>
          <w:rFonts w:ascii="Courier New"/>
          <w:color w:val="000000"/>
          <w:sz w:val="20"/>
          <w:szCs w:val="20"/>
        </w:rPr>
        <w:t xml:space="preserve">Net claim = USD 9,000  +  bunker adjustment  (per specific clause wording)</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Off-hire calculations settle the hire and bunker adjustments when a ship becomes unavailable under time charter.</w:t>
      </w:r>
    </w:p>
    <w:p>
      <w:pPr>
        <w:pStyle w:val="ListParagraph"/>
        <w:numPr>
          <w:ilvl w:val="0"/>
          <w:numId w:val="1"/>
        </w:numPr>
        <w:spacing w:after="60" w:line="300"/>
      </w:pPr>
      <w:r>
        <w:rPr>
          <w:rFonts w:ascii="Times New Roman"/>
          <w:color w:val="000000"/>
          <w:sz w:val="22"/>
          <w:szCs w:val="22"/>
        </w:rPr>
        <w:t xml:space="preserve">Time-charter hire reconciliation (NYPE, Baltime, BIMCO).</w:t>
      </w:r>
    </w:p>
    <w:p>
      <w:pPr>
        <w:pStyle w:val="ListParagraph"/>
        <w:numPr>
          <w:ilvl w:val="0"/>
          <w:numId w:val="1"/>
        </w:numPr>
        <w:spacing w:after="60" w:line="300"/>
      </w:pPr>
      <w:r>
        <w:rPr>
          <w:rFonts w:ascii="Times New Roman"/>
          <w:color w:val="000000"/>
          <w:sz w:val="22"/>
          <w:szCs w:val="22"/>
        </w:rPr>
        <w:t xml:space="preserve">Insurance / loss-of-hire claims.</w:t>
      </w:r>
    </w:p>
    <w:p>
      <w:pPr>
        <w:pStyle w:val="ListParagraph"/>
        <w:numPr>
          <w:ilvl w:val="0"/>
          <w:numId w:val="1"/>
        </w:numPr>
        <w:spacing w:after="60" w:line="300"/>
      </w:pPr>
      <w:r>
        <w:rPr>
          <w:rFonts w:ascii="Times New Roman"/>
          <w:color w:val="000000"/>
          <w:sz w:val="22"/>
          <w:szCs w:val="22"/>
        </w:rPr>
        <w:t xml:space="preserve">Operational availability (KPI) tracking.</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Off-hire wording is contract-specific; 'on/off-hire' and 'net loss' approaches differ.</w:t>
      </w:r>
    </w:p>
    <w:p>
      <w:pPr>
        <w:pStyle w:val="ListParagraph"/>
        <w:numPr>
          <w:ilvl w:val="0"/>
          <w:numId w:val="1"/>
        </w:numPr>
        <w:spacing w:after="60" w:line="300"/>
      </w:pPr>
      <w:r>
        <w:rPr>
          <w:rFonts w:ascii="Times New Roman"/>
          <w:color w:val="000000"/>
          <w:sz w:val="22"/>
          <w:szCs w:val="22"/>
        </w:rPr>
        <w:t xml:space="preserve">Consumption credits depend on whether bunkers are owner's or charterer's.</w:t>
      </w:r>
    </w:p>
    <w:p>
      <w:pPr>
        <w:pStyle w:val="ListParagraph"/>
        <w:numPr>
          <w:ilvl w:val="0"/>
          <w:numId w:val="1"/>
        </w:numPr>
        <w:spacing w:after="60" w:line="300"/>
      </w:pPr>
      <w:r>
        <w:rPr>
          <w:rFonts w:ascii="Times New Roman"/>
          <w:color w:val="000000"/>
          <w:sz w:val="22"/>
          <w:szCs w:val="22"/>
        </w:rPr>
        <w:t xml:space="preserve">Underway time lost during recovery may or may not be included per the clause.</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NYPE 2015 — time charter (off-hire clause, lines 17-21).</w:t>
      </w:r>
    </w:p>
    <w:p>
      <w:pPr>
        <w:pStyle w:val="ListParagraph"/>
        <w:numPr>
          <w:ilvl w:val="0"/>
          <w:numId w:val="1"/>
        </w:numPr>
        <w:spacing w:after="60" w:line="300"/>
      </w:pPr>
      <w:r>
        <w:rPr>
          <w:rFonts w:ascii="Times New Roman"/>
          <w:color w:val="000000"/>
          <w:sz w:val="22"/>
          <w:szCs w:val="22"/>
        </w:rPr>
        <w:t xml:space="preserve">BIMCO Time Charter / Baltime — off-hire provisions.</w:t>
      </w:r>
    </w:p>
    <w:p>
      <w:pPr>
        <w:pStyle w:val="ListParagraph"/>
        <w:numPr>
          <w:ilvl w:val="0"/>
          <w:numId w:val="1"/>
        </w:numPr>
        <w:spacing w:after="60" w:line="300"/>
      </w:pPr>
      <w:r>
        <w:rPr>
          <w:rFonts w:ascii="Times New Roman"/>
          <w:color w:val="000000"/>
          <w:sz w:val="22"/>
          <w:szCs w:val="22"/>
        </w:rPr>
        <w:t xml:space="preserve">English Court arbitration precedent on off-hire interpretation.</w:t>
      </w:r>
    </w:p>
    <w:p>
      <w:pPr>
        <w:pStyle w:val="Heading1"/>
        <w:spacing w:after="200" w:before="420" w:line="312"/>
      </w:pPr>
      <w:bookmarkStart w:id="100022" w:name="_Toc100022"/>
      <w:r>
        <w:rPr>
          <w:rFonts w:ascii="Times New Roman"/>
          <w:b/>
          <w:bCs/>
          <w:color w:val="0B1C2C"/>
          <w:sz w:val="32"/>
          <w:szCs w:val="32"/>
        </w:rPr>
        <w:t xml:space="preserve">23. Charter Performance Metrics</w:t>
      </w:r>
      <w:bookmarkEnd w:id="100022"/>
    </w:p>
    <w:p>
      <w:pPr>
        <w:spacing w:after="80" w:line="312"/>
        <w:ind w:firstLine="360"/>
        <w:jc w:val="both"/>
      </w:pPr>
      <w:r>
        <w:rPr>
          <w:rFonts w:ascii="Times New Roman"/>
          <w:color w:val="000000"/>
          <w:sz w:val="22"/>
          <w:szCs w:val="22"/>
        </w:rPr>
        <w:t xml:space="preserve">Charter performance metrics quantify how a chartered ship performed against the contractual speed, consumption and other warranties. They are the basis of under-performance claims and performance bonuses.</w:t>
      </w:r>
    </w:p>
    <w:p>
      <w:pPr>
        <w:keepNext/>
        <w:spacing w:after="80" w:before="220" w:line="300"/>
      </w:pPr>
      <w:r>
        <w:rPr>
          <w:rFonts w:ascii="Times New Roman"/>
          <w:b/>
          <w:bCs/>
          <w:color w:val="0B1C2C"/>
          <w:sz w:val="22"/>
          <w:szCs w:val="22"/>
        </w:rPr>
        <w:t xml:space="preserve">Formula</w:t>
      </w:r>
    </w:p>
    <w:p>
      <w:pPr>
        <w:spacing w:after="80" w:line="312"/>
        <w:ind w:firstLine="360"/>
        <w:jc w:val="both"/>
      </w:pPr>
      <w:r>
        <w:rPr>
          <w:rFonts w:ascii="Times New Roman"/>
          <w:color w:val="000000"/>
          <w:sz w:val="22"/>
          <w:szCs w:val="22"/>
        </w:rPr>
        <w:t xml:space="preserve">Key charter-performance formulas:</w:t>
      </w:r>
    </w:p>
    <w:tbl>
      <w:tblPr>
        <w:tblW w:type="pct" w:w="100%"/>
        <w:tblBorders>
          <w:top w:val="single" w:color="2A6B5E" w:sz="4"/>
          <w:left w:val="single" w:color="2A6B5E" w:sz="4"/>
          <w:bottom w:val="single" w:color="2A6B5E" w:sz="4"/>
          <w:right w:val="single" w:color="2A6B5E" w:sz="4"/>
          <w:insideH w:val="none" w:color="FFFFFF" w:sz="0"/>
          <w:insideV w:val="none" w:color="FFFFFF" w:sz="0"/>
        </w:tblBorders>
        <w:tblLayout w:type="fixed"/>
      </w:tblPr>
      <w:tblGrid>
        <w:gridCol w:w="100"/>
      </w:tblGrid>
      <w:tr>
        <w:trPr>
          <w:cantSplit/>
        </w:trPr>
        <w:tc>
          <w:tcPr>
            <w:tcW w:type="pct" w:w="100%"/>
            <w:shd w:fill="F4F6F8" w:val="clear"/>
            <w:tcMar>
              <w:top w:type="dxa" w:w="140"/>
              <w:left w:type="dxa" w:w="240"/>
              <w:bottom w:type="dxa" w:w="140"/>
              <w:right w:type="dxa" w:w="240"/>
            </w:tcMar>
          </w:tcPr>
          <w:p>
            <w:pPr>
              <w:spacing w:after="60" w:line="300"/>
              <w:jc w:val="center"/>
            </w:pPr>
            <w:r>
              <w:rPr>
                <w:rFonts w:ascii="Courier New"/>
                <w:b/>
                <w:bCs/>
                <w:color w:val="000000"/>
                <w:sz w:val="22"/>
                <w:szCs w:val="22"/>
              </w:rPr>
              <w:t xml:space="preserve">Speed performance  =  V_actual_good-weather / V_cp_warranty</w:t>
            </w:r>
          </w:p>
          <w:p>
            <w:pPr>
              <w:spacing w:after="60" w:line="300"/>
              <w:jc w:val="center"/>
            </w:pPr>
            <w:r>
              <w:rPr>
                <w:rFonts w:ascii="Courier New"/>
                <w:b/>
                <w:bCs/>
                <w:color w:val="000000"/>
                <w:sz w:val="22"/>
                <w:szCs w:val="22"/>
              </w:rPr>
              <w:t xml:space="preserve">Consumption performance  =  FC_actual / FC_cp_allowed</w:t>
            </w:r>
          </w:p>
          <w:p>
            <w:pPr>
              <w:spacing w:after="60" w:line="300"/>
              <w:jc w:val="center"/>
            </w:pPr>
            <w:r>
              <w:rPr>
                <w:rFonts w:ascii="Courier New"/>
                <w:b/>
                <w:bCs/>
                <w:color w:val="000000"/>
                <w:sz w:val="22"/>
                <w:szCs w:val="22"/>
              </w:rPr>
              <w:t xml:space="preserve">Time on hire used  =  t_underway + t_idle (+ off-hire adjustments)</w:t>
            </w:r>
          </w:p>
          <w:p>
            <w:pPr>
              <w:spacing w:after="0" w:line="300"/>
              <w:jc w:val="center"/>
            </w:pPr>
            <w:r>
              <w:rPr>
                <w:rFonts w:ascii="Courier New"/>
                <w:b/>
                <w:bCs/>
                <w:color w:val="000000"/>
                <w:sz w:val="22"/>
                <w:szCs w:val="22"/>
              </w:rPr>
              <w:t xml:space="preserve">Performance claim  =  ( D / V_cp ) x FC_cp_day  -  FC_actual   [good-weather basis]</w:t>
            </w:r>
          </w:p>
        </w:tc>
      </w:tr>
    </w:tbl>
    <w:p>
      <w:pPr>
        <w:keepNext/>
        <w:spacing w:after="80" w:before="220" w:line="300"/>
      </w:pPr>
      <w:r>
        <w:rPr>
          <w:rFonts w:ascii="Times New Roman"/>
          <w:b/>
          <w:bCs/>
          <w:color w:val="0B1C2C"/>
          <w:sz w:val="22"/>
          <w:szCs w:val="22"/>
        </w:rPr>
        <w:t xml:space="preserve">Variable Definitions</w:t>
      </w:r>
    </w:p>
    <w:tbl>
      <w:tblPr>
        <w:tblW w:type="pct" w:w="100%"/>
        <w:tblBorders>
          <w:top w:val="single" w:color="0B1C2C" w:sz="4"/>
          <w:left w:val="none" w:color="FFFFFF" w:sz="0"/>
          <w:bottom w:val="single" w:color="0B1C2C" w:sz="4"/>
          <w:right w:val="none" w:color="FFFFFF" w:sz="0"/>
          <w:insideH w:val="single" w:color="C4D2CE" w:sz="1"/>
          <w:insideV w:val="none" w:color="FFFFFF" w:sz="0"/>
        </w:tblBorders>
        <w:tblLayout w:type="fixed"/>
      </w:tblPr>
      <w:tblGrid>
        <w:gridCol w:w="100"/>
        <w:gridCol w:w="100"/>
        <w:gridCol w:w="100"/>
        <w:gridCol w:w="100"/>
      </w:tblGrid>
      <w:tr>
        <w:trPr>
          <w:cantSplit/>
          <w:tblHeader/>
        </w:trPr>
        <w:tc>
          <w:tcPr>
            <w:tcW w:type="pct" w:w="16%"/>
            <w:shd w:fill="2A6B5E" w:val="clear"/>
            <w:tcMar>
              <w:top w:type="dxa" w:w="70"/>
              <w:left w:type="dxa" w:w="110"/>
              <w:bottom w:type="dxa" w:w="70"/>
              <w:right w:type="dxa" w:w="110"/>
            </w:tcMar>
          </w:tcPr>
          <w:p>
            <w:pPr>
              <w:spacing w:line="276"/>
            </w:pPr>
            <w:r>
              <w:rPr>
                <w:rFonts w:ascii="Times New Roman"/>
                <w:b/>
                <w:bCs/>
                <w:color w:val="FFFFFF"/>
                <w:sz w:val="19"/>
                <w:szCs w:val="19"/>
              </w:rPr>
              <w:t xml:space="preserve">Symbol</w:t>
            </w:r>
          </w:p>
        </w:tc>
        <w:tc>
          <w:tcPr>
            <w:tcW w:type="pct" w:w="36%"/>
            <w:shd w:fill="2A6B5E" w:val="clear"/>
            <w:tcMar>
              <w:top w:type="dxa" w:w="70"/>
              <w:left w:type="dxa" w:w="110"/>
              <w:bottom w:type="dxa" w:w="70"/>
              <w:right w:type="dxa" w:w="110"/>
            </w:tcMar>
          </w:tcPr>
          <w:p>
            <w:pPr>
              <w:spacing w:line="276"/>
            </w:pPr>
            <w:r>
              <w:rPr>
                <w:rFonts w:ascii="Times New Roman"/>
                <w:b/>
                <w:bCs/>
                <w:color w:val="FFFFFF"/>
                <w:sz w:val="19"/>
                <w:szCs w:val="19"/>
              </w:rPr>
              <w:t xml:space="preserve">Variable</w:t>
            </w:r>
          </w:p>
        </w:tc>
        <w:tc>
          <w:tcPr>
            <w:tcW w:type="pct" w:w="18%"/>
            <w:shd w:fill="2A6B5E" w:val="clear"/>
            <w:tcMar>
              <w:top w:type="dxa" w:w="70"/>
              <w:left w:type="dxa" w:w="110"/>
              <w:bottom w:type="dxa" w:w="70"/>
              <w:right w:type="dxa" w:w="110"/>
            </w:tcMar>
          </w:tcPr>
          <w:p>
            <w:pPr>
              <w:spacing w:line="276"/>
            </w:pPr>
            <w:r>
              <w:rPr>
                <w:rFonts w:ascii="Times New Roman"/>
                <w:b/>
                <w:bCs/>
                <w:color w:val="FFFFFF"/>
                <w:sz w:val="19"/>
                <w:szCs w:val="19"/>
              </w:rPr>
              <w:t xml:space="preserve">Unit</w:t>
            </w:r>
          </w:p>
        </w:tc>
        <w:tc>
          <w:tcPr>
            <w:tcW w:type="pct" w:w="30%"/>
            <w:shd w:fill="2A6B5E" w:val="clear"/>
            <w:tcMar>
              <w:top w:type="dxa" w:w="70"/>
              <w:left w:type="dxa" w:w="110"/>
              <w:bottom w:type="dxa" w:w="70"/>
              <w:right w:type="dxa" w:w="110"/>
            </w:tcMar>
          </w:tcPr>
          <w:p>
            <w:pPr>
              <w:spacing w:line="276"/>
            </w:pPr>
            <w:r>
              <w:rPr>
                <w:rFonts w:ascii="Times New Roman"/>
                <w:b/>
                <w:bCs/>
                <w:color w:val="FFFFFF"/>
                <w:sz w:val="19"/>
                <w:szCs w:val="19"/>
              </w:rPr>
              <w:t xml:space="preserve">Notes</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V_actual_good-weather</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Calm-water speed actually achieved (weather-corrected)</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Topic 17</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V_cp_warranty</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Charter-party warranted speed (good weather)</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kn</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from CP</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FC_cp_allowed</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CP-allowed consumption for the good-weather underway time</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t</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warranted rate x days</w:t>
            </w:r>
          </w:p>
        </w:tc>
      </w:tr>
      <w:tr>
        <w:trPr>
          <w:cantSplit/>
        </w:trPr>
        <w:tc>
          <w:tcPr>
            <w:tcW w:type="pct" w:w="16%"/>
            <w:shd w:fill="FFFFFF" w:val="clear"/>
            <w:tcMar>
              <w:top w:type="dxa" w:w="60"/>
              <w:left w:type="dxa" w:w="110"/>
              <w:bottom w:type="dxa" w:w="60"/>
              <w:right w:type="dxa" w:w="110"/>
            </w:tcMar>
          </w:tcPr>
          <w:p>
            <w:pPr>
              <w:spacing w:line="276"/>
              <w:jc w:val="center"/>
            </w:pPr>
            <w:r>
              <w:rPr>
                <w:rFonts w:ascii="Courier New"/>
                <w:b/>
                <w:bCs/>
                <w:color w:val="000000"/>
                <w:sz w:val="19"/>
                <w:szCs w:val="19"/>
              </w:rPr>
              <w:t xml:space="preserve">FC_cp_day</w:t>
            </w:r>
          </w:p>
        </w:tc>
        <w:tc>
          <w:tcPr>
            <w:tcW w:type="pct" w:w="36%"/>
            <w:shd w:fill="FFFFFF" w:val="clear"/>
            <w:tcMar>
              <w:top w:type="dxa" w:w="60"/>
              <w:left w:type="dxa" w:w="110"/>
              <w:bottom w:type="dxa" w:w="60"/>
              <w:right w:type="dxa" w:w="110"/>
            </w:tcMar>
          </w:tcPr>
          <w:p>
            <w:pPr>
              <w:spacing w:line="276"/>
            </w:pPr>
            <w:r>
              <w:rPr>
                <w:rFonts w:ascii="Times New Roman"/>
                <w:color w:val="000000"/>
                <w:sz w:val="19"/>
                <w:szCs w:val="19"/>
              </w:rPr>
              <w:t xml:space="preserve">Warranted daily consumption</w:t>
            </w:r>
          </w:p>
        </w:tc>
        <w:tc>
          <w:tcPr>
            <w:tcW w:type="pct" w:w="18%"/>
            <w:shd w:fill="FFFFFF" w:val="clear"/>
            <w:tcMar>
              <w:top w:type="dxa" w:w="60"/>
              <w:left w:type="dxa" w:w="110"/>
              <w:bottom w:type="dxa" w:w="60"/>
              <w:right w:type="dxa" w:w="110"/>
            </w:tcMar>
          </w:tcPr>
          <w:p>
            <w:pPr>
              <w:spacing w:line="276"/>
            </w:pPr>
            <w:r>
              <w:rPr>
                <w:rFonts w:ascii="Courier New"/>
                <w:color w:val="000000"/>
                <w:sz w:val="19"/>
                <w:szCs w:val="19"/>
              </w:rPr>
              <w:t xml:space="preserve">t/day</w:t>
            </w:r>
          </w:p>
        </w:tc>
        <w:tc>
          <w:tcPr>
            <w:tcW w:type="pct" w:w="30%"/>
            <w:shd w:fill="FFFFFF" w:val="clear"/>
            <w:tcMar>
              <w:top w:type="dxa" w:w="60"/>
              <w:left w:type="dxa" w:w="110"/>
              <w:bottom w:type="dxa" w:w="60"/>
              <w:right w:type="dxa" w:w="110"/>
            </w:tcMar>
          </w:tcPr>
          <w:p>
            <w:pPr>
              <w:spacing w:line="276"/>
            </w:pPr>
            <w:r>
              <w:rPr>
                <w:rFonts w:ascii="Times New Roman"/>
                <w:color w:val="000000"/>
                <w:sz w:val="19"/>
                <w:szCs w:val="19"/>
              </w:rPr>
              <w:t xml:space="preserve">at the warranted speed</w:t>
            </w:r>
          </w:p>
        </w:tc>
      </w:tr>
      <w:tr>
        <w:trPr>
          <w:cantSplit/>
        </w:trPr>
        <w:tc>
          <w:tcPr>
            <w:tcW w:type="pct" w:w="16%"/>
            <w:shd w:fill="EAF0EE" w:val="clear"/>
            <w:tcMar>
              <w:top w:type="dxa" w:w="60"/>
              <w:left w:type="dxa" w:w="110"/>
              <w:bottom w:type="dxa" w:w="60"/>
              <w:right w:type="dxa" w:w="110"/>
            </w:tcMar>
          </w:tcPr>
          <w:p>
            <w:pPr>
              <w:spacing w:line="276"/>
              <w:jc w:val="center"/>
            </w:pPr>
            <w:r>
              <w:rPr>
                <w:rFonts w:ascii="Courier New"/>
                <w:b/>
                <w:bCs/>
                <w:color w:val="000000"/>
                <w:sz w:val="19"/>
                <w:szCs w:val="19"/>
              </w:rPr>
              <w:t xml:space="preserve">D</w:t>
            </w:r>
          </w:p>
        </w:tc>
        <w:tc>
          <w:tcPr>
            <w:tcW w:type="pct" w:w="36%"/>
            <w:shd w:fill="EAF0EE" w:val="clear"/>
            <w:tcMar>
              <w:top w:type="dxa" w:w="60"/>
              <w:left w:type="dxa" w:w="110"/>
              <w:bottom w:type="dxa" w:w="60"/>
              <w:right w:type="dxa" w:w="110"/>
            </w:tcMar>
          </w:tcPr>
          <w:p>
            <w:pPr>
              <w:spacing w:line="276"/>
            </w:pPr>
            <w:r>
              <w:rPr>
                <w:rFonts w:ascii="Times New Roman"/>
                <w:color w:val="000000"/>
                <w:sz w:val="19"/>
                <w:szCs w:val="19"/>
              </w:rPr>
              <w:t xml:space="preserve">Good-weather distance sailed</w:t>
            </w:r>
          </w:p>
        </w:tc>
        <w:tc>
          <w:tcPr>
            <w:tcW w:type="pct" w:w="18%"/>
            <w:shd w:fill="EAF0EE" w:val="clear"/>
            <w:tcMar>
              <w:top w:type="dxa" w:w="60"/>
              <w:left w:type="dxa" w:w="110"/>
              <w:bottom w:type="dxa" w:w="60"/>
              <w:right w:type="dxa" w:w="110"/>
            </w:tcMar>
          </w:tcPr>
          <w:p>
            <w:pPr>
              <w:spacing w:line="276"/>
            </w:pPr>
            <w:r>
              <w:rPr>
                <w:rFonts w:ascii="Courier New"/>
                <w:color w:val="000000"/>
                <w:sz w:val="19"/>
                <w:szCs w:val="19"/>
              </w:rPr>
              <w:t xml:space="preserve">nm</w:t>
            </w:r>
          </w:p>
        </w:tc>
        <w:tc>
          <w:tcPr>
            <w:tcW w:type="pct" w:w="30%"/>
            <w:shd w:fill="EAF0EE" w:val="clear"/>
            <w:tcMar>
              <w:top w:type="dxa" w:w="60"/>
              <w:left w:type="dxa" w:w="110"/>
              <w:bottom w:type="dxa" w:w="60"/>
              <w:right w:type="dxa" w:w="110"/>
            </w:tcMar>
          </w:tcPr>
          <w:p>
            <w:pPr>
              <w:spacing w:line="276"/>
            </w:pPr>
            <w:r>
              <w:rPr>
                <w:rFonts w:ascii="Times New Roman"/>
                <w:color w:val="000000"/>
                <w:sz w:val="19"/>
                <w:szCs w:val="19"/>
              </w:rPr>
              <w:t xml:space="preserve">only good-weather legs count</w:t>
            </w:r>
          </w:p>
        </w:tc>
      </w:tr>
    </w:tbl>
    <w:p>
      <w:pPr>
        <w:keepNext/>
        <w:spacing w:after="80" w:before="220" w:line="300"/>
      </w:pPr>
      <w:r>
        <w:rPr>
          <w:rFonts w:ascii="Times New Roman"/>
          <w:b/>
          <w:bCs/>
          <w:color w:val="0B1C2C"/>
          <w:sz w:val="22"/>
          <w:szCs w:val="22"/>
        </w:rPr>
        <w:t xml:space="preserve">Units</w:t>
      </w:r>
    </w:p>
    <w:p>
      <w:pPr>
        <w:spacing w:after="80" w:line="312"/>
        <w:ind w:firstLine="360"/>
        <w:jc w:val="both"/>
      </w:pPr>
      <w:r>
        <w:rPr>
          <w:rFonts w:ascii="Times New Roman"/>
          <w:color w:val="000000"/>
          <w:sz w:val="22"/>
          <w:szCs w:val="22"/>
        </w:rPr>
        <w:t xml:space="preserve">Speed and consumption ratios dimensionless (or in %). Claim quantities in tonnes of fuel or in hire-day equivalents. All evaluations are on a good-weather basis unless the CP allows alternative wording.</w:t>
      </w:r>
    </w:p>
    <w:p>
      <w:pPr>
        <w:keepNext/>
        <w:spacing w:after="80" w:before="220" w:line="300"/>
      </w:pPr>
      <w:r>
        <w:rPr>
          <w:rFonts w:ascii="Times New Roman"/>
          <w:b/>
          <w:bCs/>
          <w:color w:val="0B1C2C"/>
          <w:sz w:val="22"/>
          <w:szCs w:val="22"/>
        </w:rPr>
        <w:t xml:space="preserve">Worked Example</w:t>
      </w:r>
    </w:p>
    <w:p>
      <w:pPr>
        <w:spacing w:after="80" w:line="312"/>
        <w:ind w:firstLine="360"/>
        <w:jc w:val="both"/>
      </w:pPr>
      <w:r>
        <w:rPr>
          <w:rFonts w:ascii="Times New Roman"/>
          <w:color w:val="000000"/>
          <w:sz w:val="22"/>
          <w:szCs w:val="22"/>
        </w:rPr>
        <w:t xml:space="preserve">Illustrative — CP warranty 14.0 kn on 38 t/day. Good-weather legs: 3,000 nm in 222 h; actual consumption 360 t:</w:t>
      </w:r>
    </w:p>
    <w:p>
      <w:pPr>
        <w:spacing w:after="40" w:line="276"/>
        <w:jc w:val="left"/>
      </w:pPr>
      <w:r>
        <w:rPr>
          <w:rFonts w:ascii="Courier New"/>
          <w:color w:val="000000"/>
          <w:sz w:val="20"/>
          <w:szCs w:val="20"/>
        </w:rPr>
        <w:t xml:space="preserve">V_actual_good-weather = 3,000 / 222 = 13.51 kn  (vs 14.0 -&gt; under by 0.49 kn, ~3.5%)</w:t>
      </w:r>
    </w:p>
    <w:p>
      <w:pPr>
        <w:spacing w:after="40" w:line="276"/>
        <w:jc w:val="left"/>
      </w:pPr>
      <w:r>
        <w:rPr>
          <w:rFonts w:ascii="Courier New"/>
          <w:color w:val="000000"/>
          <w:sz w:val="20"/>
          <w:szCs w:val="20"/>
        </w:rPr>
        <w:t xml:space="preserve">CP-allowed time = 3,000 / 14.0 = 214.3 h = 8.93 d</w:t>
      </w:r>
    </w:p>
    <w:p>
      <w:pPr>
        <w:spacing w:after="40" w:line="276"/>
        <w:jc w:val="left"/>
      </w:pPr>
      <w:r>
        <w:rPr>
          <w:rFonts w:ascii="Courier New"/>
          <w:color w:val="000000"/>
          <w:sz w:val="20"/>
          <w:szCs w:val="20"/>
        </w:rPr>
        <w:t xml:space="preserve">CP-allowed consumption = 8.93 x 38 = 339.3 t</w:t>
      </w:r>
    </w:p>
    <w:p>
      <w:pPr>
        <w:spacing w:after="40" w:line="276"/>
        <w:jc w:val="left"/>
      </w:pPr>
      <w:r>
        <w:rPr>
          <w:rFonts w:ascii="Courier New"/>
          <w:color w:val="000000"/>
          <w:sz w:val="20"/>
          <w:szCs w:val="20"/>
        </w:rPr>
        <w:t xml:space="preserve">Over-consumption = 360 - 339.3 = 20.7 t  (approx, before detailed good-weather test)</w:t>
      </w:r>
    </w:p>
    <w:p>
      <w:pPr>
        <w:spacing w:after="40" w:line="276"/>
        <w:jc w:val="left"/>
      </w:pPr>
      <w:r>
        <w:rPr>
          <w:rFonts w:ascii="Courier New"/>
          <w:color w:val="000000"/>
          <w:sz w:val="20"/>
          <w:szCs w:val="20"/>
        </w:rPr>
        <w:t xml:space="preserve">Performance claim (charterer) ~ 20.7 t, subject to CP terms and arbitration practice.</w:t>
      </w:r>
    </w:p>
    <w:p>
      <w:pPr>
        <w:keepNext/>
        <w:spacing w:after="80" w:before="220" w:line="300"/>
      </w:pPr>
      <w:r>
        <w:rPr>
          <w:rFonts w:ascii="Times New Roman"/>
          <w:b/>
          <w:bCs/>
          <w:color w:val="0B1C2C"/>
          <w:sz w:val="22"/>
          <w:szCs w:val="22"/>
        </w:rPr>
        <w:t xml:space="preserve">Practical Use</w:t>
      </w:r>
    </w:p>
    <w:p>
      <w:pPr>
        <w:spacing w:after="80" w:line="312"/>
        <w:ind w:firstLine="360"/>
        <w:jc w:val="both"/>
      </w:pPr>
      <w:r>
        <w:rPr>
          <w:rFonts w:ascii="Times New Roman"/>
          <w:color w:val="000000"/>
          <w:sz w:val="22"/>
          <w:szCs w:val="22"/>
        </w:rPr>
        <w:t xml:space="preserve">Charter performance metrics settle under-performance claims and inform charterer fleet-selection decisions.</w:t>
      </w:r>
    </w:p>
    <w:p>
      <w:pPr>
        <w:pStyle w:val="ListParagraph"/>
        <w:numPr>
          <w:ilvl w:val="0"/>
          <w:numId w:val="1"/>
        </w:numPr>
        <w:spacing w:after="60" w:line="300"/>
      </w:pPr>
      <w:r>
        <w:rPr>
          <w:rFonts w:ascii="Times New Roman"/>
          <w:color w:val="000000"/>
          <w:sz w:val="22"/>
          <w:szCs w:val="22"/>
        </w:rPr>
        <w:t xml:space="preserve">Charter-party under/over-performance claims.</w:t>
      </w:r>
    </w:p>
    <w:p>
      <w:pPr>
        <w:pStyle w:val="ListParagraph"/>
        <w:numPr>
          <w:ilvl w:val="0"/>
          <w:numId w:val="1"/>
        </w:numPr>
        <w:spacing w:after="60" w:line="300"/>
      </w:pPr>
      <w:r>
        <w:rPr>
          <w:rFonts w:ascii="Times New Roman"/>
          <w:color w:val="000000"/>
          <w:sz w:val="22"/>
          <w:szCs w:val="22"/>
        </w:rPr>
        <w:t xml:space="preserve">Owner performance-bonus / penalty assessment.</w:t>
      </w:r>
    </w:p>
    <w:p>
      <w:pPr>
        <w:pStyle w:val="ListParagraph"/>
        <w:numPr>
          <w:ilvl w:val="0"/>
          <w:numId w:val="1"/>
        </w:numPr>
        <w:spacing w:after="60" w:line="300"/>
      </w:pPr>
      <w:r>
        <w:rPr>
          <w:rFonts w:ascii="Times New Roman"/>
          <w:color w:val="000000"/>
          <w:sz w:val="22"/>
          <w:szCs w:val="22"/>
        </w:rPr>
        <w:t xml:space="preserve">Charterer fleet-performance benchmarking.</w:t>
      </w:r>
    </w:p>
    <w:p>
      <w:pPr>
        <w:keepNext/>
        <w:spacing w:after="80" w:before="220" w:line="300"/>
      </w:pPr>
      <w:r>
        <w:rPr>
          <w:rFonts w:ascii="Times New Roman"/>
          <w:b/>
          <w:bCs/>
          <w:color w:val="0B1C2C"/>
          <w:sz w:val="22"/>
          <w:szCs w:val="22"/>
        </w:rPr>
        <w:t xml:space="preserve">Limitations</w:t>
      </w:r>
    </w:p>
    <w:p>
      <w:pPr>
        <w:pStyle w:val="ListParagraph"/>
        <w:numPr>
          <w:ilvl w:val="0"/>
          <w:numId w:val="1"/>
        </w:numPr>
        <w:spacing w:after="60" w:line="300"/>
      </w:pPr>
      <w:r>
        <w:rPr>
          <w:rFonts w:ascii="Times New Roman"/>
          <w:color w:val="000000"/>
          <w:sz w:val="22"/>
          <w:szCs w:val="22"/>
        </w:rPr>
        <w:t xml:space="preserve">Good-weather definitions and current treatment vary by CP and arbitral precedent.</w:t>
      </w:r>
    </w:p>
    <w:p>
      <w:pPr>
        <w:pStyle w:val="ListParagraph"/>
        <w:numPr>
          <w:ilvl w:val="0"/>
          <w:numId w:val="1"/>
        </w:numPr>
        <w:spacing w:after="60" w:line="300"/>
      </w:pPr>
      <w:r>
        <w:rPr>
          <w:rFonts w:ascii="Times New Roman"/>
          <w:color w:val="000000"/>
          <w:sz w:val="22"/>
          <w:szCs w:val="22"/>
        </w:rPr>
        <w:t xml:space="preserve">Requires reliable weather data and noon reports over sufficient legs.</w:t>
      </w:r>
    </w:p>
    <w:p>
      <w:pPr>
        <w:pStyle w:val="ListParagraph"/>
        <w:numPr>
          <w:ilvl w:val="0"/>
          <w:numId w:val="1"/>
        </w:numPr>
        <w:spacing w:after="60" w:line="300"/>
      </w:pPr>
      <w:r>
        <w:rPr>
          <w:rFonts w:ascii="Times New Roman"/>
          <w:color w:val="000000"/>
          <w:sz w:val="22"/>
          <w:szCs w:val="22"/>
        </w:rPr>
        <w:t xml:space="preserve">Sounding-based consumption introduces measurement uncertainty.</w:t>
      </w:r>
    </w:p>
    <w:p>
      <w:pPr>
        <w:keepNext/>
        <w:spacing w:after="80" w:before="220" w:line="300"/>
      </w:pPr>
      <w:r>
        <w:rPr>
          <w:rFonts w:ascii="Times New Roman"/>
          <w:b/>
          <w:bCs/>
          <w:color w:val="0B1C2C"/>
          <w:sz w:val="22"/>
          <w:szCs w:val="22"/>
        </w:rPr>
        <w:t xml:space="preserve">Official Source</w:t>
      </w:r>
    </w:p>
    <w:p>
      <w:pPr>
        <w:pStyle w:val="ListParagraph"/>
        <w:numPr>
          <w:ilvl w:val="0"/>
          <w:numId w:val="1"/>
        </w:numPr>
        <w:spacing w:after="60" w:line="300"/>
      </w:pPr>
      <w:r>
        <w:rPr>
          <w:rFonts w:ascii="Times New Roman"/>
          <w:color w:val="000000"/>
          <w:sz w:val="22"/>
          <w:szCs w:val="22"/>
        </w:rPr>
        <w:t xml:space="preserve">NYPE 2015 / BIMCO Time Charter — speed/consumption warranties.</w:t>
      </w:r>
    </w:p>
    <w:p>
      <w:pPr>
        <w:pStyle w:val="ListParagraph"/>
        <w:numPr>
          <w:ilvl w:val="0"/>
          <w:numId w:val="1"/>
        </w:numPr>
        <w:spacing w:after="60" w:line="300"/>
      </w:pPr>
      <w:r>
        <w:rPr>
          <w:rFonts w:ascii="Times New Roman"/>
          <w:color w:val="000000"/>
          <w:sz w:val="22"/>
          <w:szCs w:val="22"/>
        </w:rPr>
        <w:t xml:space="preserve">English Court arbitration precedent (e.g. The Didymi, The Gas Enterprise).</w:t>
      </w:r>
    </w:p>
    <w:p>
      <w:pPr>
        <w:pStyle w:val="ListParagraph"/>
        <w:numPr>
          <w:ilvl w:val="0"/>
          <w:numId w:val="1"/>
        </w:numPr>
        <w:spacing w:after="60" w:line="300"/>
      </w:pPr>
      <w:r>
        <w:rPr>
          <w:rFonts w:ascii="Times New Roman"/>
          <w:color w:val="000000"/>
          <w:sz w:val="22"/>
          <w:szCs w:val="22"/>
        </w:rPr>
        <w:t xml:space="preserve">BIMCO standard reporting and performance-evaluation practice.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6B5E" w:sz="4" w:space="4"/>
      </w:pBdr>
      <w:spacing w:after="40"/>
      <w:jc w:val="center"/>
    </w:pPr>
    <w:r>
      <w:rPr>
        <w:rFonts w:ascii="Times New Roman"/>
        <w:color w:val="808080"/>
        <w:sz w:val="18"/>
        <w:szCs w:val="18"/>
      </w:rPr>
      <w:t xml:space="preserve">Maritime Calculations Reference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6B5E" w:sz="4" w:space="4"/>
      </w:pBdr>
      <w:spacing w:after="40"/>
      <w:jc w:val="center"/>
    </w:pPr>
    <w:r>
      <w:rPr>
        <w:rFonts w:ascii="Times New Roman"/>
        <w:color w:val="808080"/>
        <w:sz w:val="18"/>
        <w:szCs w:val="18"/>
      </w:rPr>
      <w:t xml:space="preserve">Maritime Calculations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20" w:line="312"/>
      <w:outlineLvl w:val="0"/>
    </w:pPr>
    <w:rPr>
      <w:rFonts w:ascii="Times New Roman"/>
      <w:b/>
      <w:bCs/>
      <w:color w:val="0B1C2C"/>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Maritime Calculations Reference</dc:title>
  <dc:creator>Poseidon Ledger</dc:creator>
  <dc:description>Engineering reference manual for maritime compliance, voyage and charter performance calculations</dc:description>
  <cp:lastModifiedBy>Un-named</cp:lastModifiedBy>
  <cp:revision>1</cp:revision>
  <dcterms:created xsi:type="dcterms:W3CDTF">2026-07-06T13:29:58.045Z</dcterms:created>
  <dcterms:modified xsi:type="dcterms:W3CDTF">2026-07-06T13:29:58.046Z</dcterms:modified>
</cp:coreProperties>
</file>

<file path=docProps/custom.xml><?xml version="1.0" encoding="utf-8"?>
<Properties xmlns="http://schemas.openxmlformats.org/officeDocument/2006/custom-properties" xmlns:vt="http://schemas.openxmlformats.org/officeDocument/2006/docPropsVTypes"/>
</file>