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200"/>
            </w:pPr>
          </w:p>
          <w:p>
            <w:pPr>
              <w:pBdr>
                <w:bottom w:val="single" w:color="1F4E79" w:sz="6" w:space="8"/>
              </w:pBdr>
              <w:spacing w:after="500"/>
              <w:ind w:left="1200" w:right="800"/>
            </w:pPr>
            <w:r>
              <w:rPr>
                <w:rFonts w:ascii="Calibri" w:eastAsia="SimHei"/>
                <w:color w:val="1F4E79"/>
                <w:spacing w:val="40"/>
                <w:sz w:val="18"/>
                <w:szCs w:val="18"/>
              </w:rPr>
              <w:t xml:space="preserve">M  A  R  I  T  I  M  E     R  E  S  E  A  R  C  H</w:t>
            </w:r>
          </w:p>
          <w:p>
            <w:pPr>
              <w:spacing w:after="120" w:line="880" w:lineRule="atLeast"/>
              <w:ind w:left="1200"/>
            </w:pPr>
            <w:r>
              <w:rPr>
                <w:rFonts w:ascii="Calibri" w:eastAsia="SimHei"/>
                <w:b/>
                <w:bCs/>
                <w:color w:val="FFFFFF"/>
                <w:sz w:val="76"/>
                <w:szCs w:val="76"/>
              </w:rPr>
              <w:t xml:space="preserve">Maritime Documents</w:t>
            </w:r>
          </w:p>
          <w:p>
            <w:pPr>
              <w:spacing w:after="300" w:line="880" w:lineRule="atLeast"/>
              <w:ind w:left="1200"/>
            </w:pPr>
            <w:r>
              <w:rPr>
                <w:rFonts w:ascii="Calibri" w:eastAsia="SimHei"/>
                <w:b/>
                <w:bCs/>
                <w:color w:val="FFFFFF"/>
                <w:sz w:val="76"/>
                <w:szCs w:val="76"/>
              </w:rPr>
              <w:t xml:space="preserve">Reference &amp; OCR Assessment</w:t>
            </w:r>
          </w:p>
          <w:p>
            <w:pPr>
              <w:spacing w:after="800" w:line="360"/>
              <w:ind w:left="1200" w:right="800"/>
            </w:pPr>
            <w:r>
              <w:rPr>
                <w:rFonts w:ascii="Calibri" w:eastAsia="Microsoft YaHei"/>
                <w:color w:val="B0B8C0"/>
                <w:sz w:val="22"/>
                <w:szCs w:val="22"/>
              </w:rPr>
              <w:t xml:space="preserve">Documents used by Yacht Managers, Ship Operators and Classification Societies</w:t>
            </w:r>
          </w:p>
          <w:p>
            <w:pPr>
              <w:pBdr>
                <w:left w:val="single" w:color="1F4E79" w:sz="8" w:space="12"/>
              </w:pBdr>
              <w:spacing w:after="100" w:line="312"/>
              <w:ind w:left="1400"/>
            </w:pPr>
            <w:r>
              <w:rPr>
                <w:rFonts w:ascii="Calibri" w:eastAsia="Microsoft YaHei"/>
                <w:color w:val="90989F"/>
                <w:sz w:val="22"/>
                <w:szCs w:val="22"/>
              </w:rPr>
              <w:t xml:space="preserve">Prepared for: Poseidon Ledger</w:t>
            </w:r>
          </w:p>
          <w:p>
            <w:pPr>
              <w:pBdr>
                <w:left w:val="single" w:color="1F4E79" w:sz="8" w:space="12"/>
              </w:pBdr>
              <w:spacing w:after="100" w:line="312"/>
              <w:ind w:left="1400"/>
            </w:pPr>
            <w:r>
              <w:rPr>
                <w:rFonts w:ascii="Calibri" w:eastAsia="Microsoft YaHei"/>
                <w:color w:val="90989F"/>
                <w:sz w:val="22"/>
                <w:szCs w:val="22"/>
              </w:rPr>
              <w:t xml:space="preserve">Scope: Document typology, OCR difficulty, and structured-extraction feasibility</w:t>
            </w:r>
          </w:p>
          <w:p>
            <w:pPr>
              <w:pBdr>
                <w:left w:val="single" w:color="1F4E79" w:sz="8" w:space="12"/>
              </w:pBdr>
              <w:spacing w:after="100" w:line="312"/>
              <w:ind w:left="1400"/>
            </w:pPr>
            <w:r>
              <w:rPr>
                <w:rFonts w:ascii="Calibri" w:eastAsia="Microsoft YaHei"/>
                <w:color w:val="90989F"/>
                <w:sz w:val="22"/>
                <w:szCs w:val="22"/>
              </w:rPr>
              <w:t xml:space="preserve">Date: July 2026</w:t>
            </w:r>
          </w:p>
          <w:p>
            <w:pPr>
              <w:spacing w:before="3000"/>
            </w:pPr>
          </w:p>
          <w:p>
            <w:pPr>
              <w:pBdr>
                <w:top w:val="single" w:color="1F4E79" w:sz="2" w:space="8"/>
              </w:pBdr>
              <w:spacing w:before="200"/>
              <w:ind w:left="1200" w:right="800"/>
            </w:pPr>
            <w:r>
              <w:rPr>
                <w:rFonts w:ascii="Calibri" w:eastAsia="Microsoft YaHei"/>
                <w:color w:val="687078"/>
                <w:sz w:val="16"/>
                <w:szCs w:val="16"/>
              </w:rPr>
              <w:t xml:space="preserve">Poseidon Ledger  ·  Maritime Platform</w:t>
            </w:r>
            <w:r>
              <w:rPr>
                <w:rFonts w:ascii="Calibri" w:eastAsia="Microsoft YaHei"/>
              </w:rPr>
              <w:t xml:space="preserve">                                        </w:t>
            </w:r>
            <w:r>
              <w:rPr>
                <w:rFonts w:ascii="Calibri" w:eastAsia="Microsoft YaHei"/>
                <w:color w:val="687078"/>
                <w:sz w:val="16"/>
                <w:szCs w:val="16"/>
              </w:rPr>
              <w:t xml:space="preserve">Confidential — Internal Research</w:t>
            </w:r>
          </w:p>
        </w:tc>
      </w:tr>
    </w:tbl>
    <w:p>
      <w:pPr>
        <w:sectPr>
          <w:pgSz w:w="11906" w:h="16838" w:orient="portrait"/>
          <w:pgMar w:top="0" w:right="0" w:bottom="0" w:left="0" w:header="708" w:footer="708" w:gutter="0"/>
          <w:pgNumType/>
          <w:docGrid w:linePitch="360"/>
        </w:sectPr>
      </w:pPr>
    </w:p>
    <w:p>
      <w:pPr>
        <w:pStyle w:val="Heading1"/>
        <w:spacing w:after="160" w:before="360" w:line="312"/>
      </w:pPr>
      <w:r>
        <w:rPr>
          <w:rFonts w:ascii="Calibri" w:eastAsia="SimHei"/>
          <w:b/>
          <w:bCs/>
          <w:color w:val="1F4E79"/>
          <w:sz w:val="32"/>
          <w:szCs w:val="32"/>
        </w:rPr>
        <w:t xml:space="preserve">1. Executive Summary</w:t>
      </w:r>
    </w:p>
    <w:p>
      <w:pPr>
        <w:spacing w:after="120" w:line="312"/>
        <w:ind w:firstLine="360"/>
        <w:jc w:val="both"/>
      </w:pPr>
      <w:r>
        <w:rPr>
          <w:rFonts w:ascii="Calibri" w:eastAsia="Microsoft YaHei"/>
          <w:color w:val="000000"/>
          <w:sz w:val="22"/>
          <w:szCs w:val="22"/>
        </w:rPr>
        <w:t xml:space="preserve">This report catalogues the principal document types that flow through maritime operations — from bunkering and engine-room logs to chartering, cargo, port and certification paperwork — and assesses each one for automated Optical Character Recognition (OCR) and structured data extraction within the Poseidon Ledger platform.</w:t>
      </w:r>
    </w:p>
    <w:p>
      <w:pPr>
        <w:spacing w:after="120" w:line="312"/>
        <w:ind w:firstLine="360"/>
        <w:jc w:val="both"/>
      </w:pPr>
      <w:r>
        <w:rPr>
          <w:rFonts w:ascii="Calibri" w:eastAsia="Microsoft YaHei"/>
          <w:color w:val="000000"/>
          <w:sz w:val="22"/>
          <w:szCs w:val="22"/>
        </w:rPr>
        <w:t xml:space="preserve">The audience is three-fold: yacht managers (who handle smaller fleets, certificates, and crewing), commercial ship operators (who handle chartering, cargo, and bunkering at scale), and classification societies (who issue and survey statutory and class certificates). Each audience produces and consumes a different mix of the documents described here, but the same documents recur across all three.</w:t>
      </w:r>
    </w:p>
    <w:p>
      <w:pPr>
        <w:spacing w:after="120" w:line="312"/>
        <w:ind w:firstLine="360"/>
        <w:jc w:val="both"/>
      </w:pPr>
      <w:r>
        <w:rPr>
          <w:rFonts w:ascii="Calibri" w:eastAsia="Microsoft YaHei"/>
          <w:b/>
          <w:bCs/>
          <w:color w:val="1F4E79"/>
          <w:sz w:val="22"/>
          <w:szCs w:val="22"/>
        </w:rPr>
        <w:t xml:space="preserve">Key finding: </w:t>
      </w:r>
      <w:r>
        <w:rPr>
          <w:rFonts w:ascii="Calibri" w:eastAsia="Microsoft YaHei"/>
          <w:color w:val="000000"/>
          <w:sz w:val="22"/>
          <w:szCs w:val="22"/>
        </w:rPr>
        <w:t xml:space="preserve">The maritime document set splits cleanly into two OCR families. (1) Structured, recurring forms — Bunker Delivery Notes, Noon Reports, record books, crew and cargo manifests, certificates — are highly amenable to structured extraction with a layout-aware OCR engine such as Azure Document Intelligence. (2) Semi-structured legal and commercial documents — Charter Parties, Bills of Lading, port-clearance bundles, insurance policies — require layout OCR plus a generative extraction layer to pull named fields reliably across varying templates.</w:t>
      </w:r>
    </w:p>
    <w:p>
      <w:pPr>
        <w:spacing w:after="120" w:line="312"/>
        <w:ind w:firstLine="360"/>
        <w:jc w:val="both"/>
      </w:pPr>
      <w:r>
        <w:rPr>
          <w:rFonts w:ascii="Calibri" w:eastAsia="Microsoft YaHei"/>
          <w:color w:val="000000"/>
          <w:sz w:val="22"/>
          <w:szCs w:val="22"/>
        </w:rPr>
        <w:t xml:space="preserve">Every document covered is governed by an IMO convention (MARPOL, SOLAS, BWM), a flag-state regulation, or a commercial/legal regime. Structured extraction is therefore not merely a convenience — it is a compliance enabler, because extracted fields can be validated against regulatory thresholds (e.g. 0.10% sulphur in fuel, EEXI/CII carbon intensity thresholds, ballast water exchange reporting) at ingest time.</w:t>
      </w:r>
    </w:p>
    <w:p>
      <w:pPr>
        <w:pStyle w:val="Heading1"/>
        <w:spacing w:after="160" w:before="360" w:line="312"/>
      </w:pPr>
      <w:r>
        <w:rPr>
          <w:rFonts w:ascii="Calibri" w:eastAsia="SimHei"/>
          <w:b/>
          <w:bCs/>
          <w:color w:val="1F4E79"/>
          <w:sz w:val="32"/>
          <w:szCs w:val="32"/>
        </w:rPr>
        <w:t xml:space="preserve">2. Document Landscape — Overview</w:t>
      </w:r>
    </w:p>
    <w:p>
      <w:pPr>
        <w:spacing w:after="120" w:line="312"/>
        <w:ind w:firstLine="360"/>
        <w:jc w:val="both"/>
      </w:pPr>
      <w:r>
        <w:rPr>
          <w:rFonts w:ascii="Calibri" w:eastAsia="Microsoft YaHei"/>
          <w:color w:val="000000"/>
          <w:sz w:val="22"/>
          <w:szCs w:val="22"/>
        </w:rPr>
        <w:t xml:space="preserve">The 14 document types below are grouped into five functional families: operational logs, record books (statutory), cargo &amp; commercial, certificates &amp; statutory, and insurance. The summary table indicates each document's OCR difficulty (Low / Medium / High) and whether reliable structured extraction is feasible today (Yes / Mostly / Partial / No).</w:t>
      </w:r>
    </w:p>
    <w:p>
      <w:pPr>
        <w:keepNext/>
        <w:spacing w:after="100" w:before="60" w:line="312"/>
        <w:jc w:val="both"/>
      </w:pPr>
      <w:r>
        <w:rPr>
          <w:rFonts w:ascii="Calibri" w:eastAsia="Microsoft YaHei"/>
          <w:color w:val="000000"/>
          <w:sz w:val="22"/>
          <w:szCs w:val="22"/>
        </w:rPr>
        <w:t xml:space="preserve">Table 2.1 — Document overview. Difficulty reflects typical scanned/PDF input; structured-extraction verdict assumes a layout-aware OCR engine plus, where noted, a generative extraction pass.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5%"/>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w:t>
            </w:r>
          </w:p>
        </w:tc>
        <w:tc>
          <w:tcPr>
            <w:tcW w:type="pct" w:w="30%"/>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Document</w:t>
            </w:r>
          </w:p>
        </w:tc>
        <w:tc>
          <w:tcPr>
            <w:tcW w:type="pct" w:w="18%"/>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Family</w:t>
            </w:r>
          </w:p>
        </w:tc>
        <w:tc>
          <w:tcPr>
            <w:tcW w:type="pct" w:w="22%"/>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OCR Difficulty</w:t>
            </w:r>
          </w:p>
        </w:tc>
        <w:tc>
          <w:tcPr>
            <w:tcW w:type="pct" w:w="25%"/>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Structured Extraction</w:t>
            </w:r>
          </w:p>
        </w:tc>
      </w:tr>
      <w:tr>
        <w:trPr>
          <w:cantSplit/>
        </w:trPr>
        <w:tc>
          <w:tcPr>
            <w:tcW w:type="pct" w:w="5%"/>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1</w:t>
            </w:r>
          </w:p>
        </w:tc>
        <w:tc>
          <w:tcPr>
            <w:tcW w:type="pct" w:w="3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Bunker Delivery Note (BDN)</w:t>
            </w:r>
          </w:p>
        </w:tc>
        <w:tc>
          <w:tcPr>
            <w:tcW w:type="pct" w:w="1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Operational</w:t>
            </w:r>
          </w:p>
        </w:tc>
        <w:tc>
          <w:tcPr>
            <w:tcW w:type="pct" w:w="2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2E7D32"/>
                <w:sz w:val="20"/>
                <w:szCs w:val="20"/>
              </w:rPr>
              <w:t xml:space="preserve">Low</w:t>
            </w:r>
          </w:p>
        </w:tc>
        <w:tc>
          <w:tcPr>
            <w:tcW w:type="pct" w:w="25%"/>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2E7D32"/>
                <w:sz w:val="20"/>
                <w:szCs w:val="20"/>
              </w:rPr>
              <w:t xml:space="preserve">Yes</w:t>
            </w:r>
          </w:p>
        </w:tc>
      </w:tr>
      <w:tr>
        <w:trPr>
          <w:cantSplit/>
        </w:trPr>
        <w:tc>
          <w:tcPr>
            <w:tcW w:type="pct" w:w="5%"/>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2</w:t>
            </w:r>
          </w:p>
        </w:tc>
        <w:tc>
          <w:tcPr>
            <w:tcW w:type="pct" w:w="3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Noon Report</w:t>
            </w:r>
          </w:p>
        </w:tc>
        <w:tc>
          <w:tcPr>
            <w:tcW w:type="pct" w:w="1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Operational</w:t>
            </w:r>
          </w:p>
        </w:tc>
        <w:tc>
          <w:tcPr>
            <w:tcW w:type="pct" w:w="2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2E7D32"/>
                <w:sz w:val="20"/>
                <w:szCs w:val="20"/>
              </w:rPr>
              <w:t xml:space="preserve">Low</w:t>
            </w:r>
          </w:p>
        </w:tc>
        <w:tc>
          <w:tcPr>
            <w:tcW w:type="pct" w:w="25%"/>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2E7D32"/>
                <w:sz w:val="20"/>
                <w:szCs w:val="20"/>
              </w:rPr>
              <w:t xml:space="preserve">Yes</w:t>
            </w:r>
          </w:p>
        </w:tc>
      </w:tr>
      <w:tr>
        <w:trPr>
          <w:cantSplit/>
        </w:trPr>
        <w:tc>
          <w:tcPr>
            <w:tcW w:type="pct" w:w="5%"/>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3</w:t>
            </w:r>
          </w:p>
        </w:tc>
        <w:tc>
          <w:tcPr>
            <w:tcW w:type="pct" w:w="3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Oil Record Book</w:t>
            </w:r>
          </w:p>
        </w:tc>
        <w:tc>
          <w:tcPr>
            <w:tcW w:type="pct" w:w="1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Record book</w:t>
            </w:r>
          </w:p>
        </w:tc>
        <w:tc>
          <w:tcPr>
            <w:tcW w:type="pct" w:w="2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Medium</w:t>
            </w:r>
          </w:p>
        </w:tc>
        <w:tc>
          <w:tcPr>
            <w:tcW w:type="pct" w:w="25%"/>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Mostly</w:t>
            </w:r>
          </w:p>
        </w:tc>
      </w:tr>
      <w:tr>
        <w:trPr>
          <w:cantSplit/>
        </w:trPr>
        <w:tc>
          <w:tcPr>
            <w:tcW w:type="pct" w:w="5%"/>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4</w:t>
            </w:r>
          </w:p>
        </w:tc>
        <w:tc>
          <w:tcPr>
            <w:tcW w:type="pct" w:w="3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Engine Logbook</w:t>
            </w:r>
          </w:p>
        </w:tc>
        <w:tc>
          <w:tcPr>
            <w:tcW w:type="pct" w:w="1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Record book</w:t>
            </w:r>
          </w:p>
        </w:tc>
        <w:tc>
          <w:tcPr>
            <w:tcW w:type="pct" w:w="2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Medium</w:t>
            </w:r>
          </w:p>
        </w:tc>
        <w:tc>
          <w:tcPr>
            <w:tcW w:type="pct" w:w="25%"/>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Mostly</w:t>
            </w:r>
          </w:p>
        </w:tc>
      </w:tr>
      <w:tr>
        <w:trPr>
          <w:cantSplit/>
        </w:trPr>
        <w:tc>
          <w:tcPr>
            <w:tcW w:type="pct" w:w="5%"/>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5</w:t>
            </w:r>
          </w:p>
        </w:tc>
        <w:tc>
          <w:tcPr>
            <w:tcW w:type="pct" w:w="3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Garbage Record Book</w:t>
            </w:r>
          </w:p>
        </w:tc>
        <w:tc>
          <w:tcPr>
            <w:tcW w:type="pct" w:w="1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Record book</w:t>
            </w:r>
          </w:p>
        </w:tc>
        <w:tc>
          <w:tcPr>
            <w:tcW w:type="pct" w:w="2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Medium</w:t>
            </w:r>
          </w:p>
        </w:tc>
        <w:tc>
          <w:tcPr>
            <w:tcW w:type="pct" w:w="25%"/>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Mostly</w:t>
            </w:r>
          </w:p>
        </w:tc>
      </w:tr>
      <w:tr>
        <w:trPr>
          <w:cantSplit/>
        </w:trPr>
        <w:tc>
          <w:tcPr>
            <w:tcW w:type="pct" w:w="5%"/>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6</w:t>
            </w:r>
          </w:p>
        </w:tc>
        <w:tc>
          <w:tcPr>
            <w:tcW w:type="pct" w:w="3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Ballast Water Record Book</w:t>
            </w:r>
          </w:p>
        </w:tc>
        <w:tc>
          <w:tcPr>
            <w:tcW w:type="pct" w:w="1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Record book</w:t>
            </w:r>
          </w:p>
        </w:tc>
        <w:tc>
          <w:tcPr>
            <w:tcW w:type="pct" w:w="2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Medium</w:t>
            </w:r>
          </w:p>
        </w:tc>
        <w:tc>
          <w:tcPr>
            <w:tcW w:type="pct" w:w="25%"/>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Mostly</w:t>
            </w:r>
          </w:p>
        </w:tc>
      </w:tr>
      <w:tr>
        <w:trPr>
          <w:cantSplit/>
        </w:trPr>
        <w:tc>
          <w:tcPr>
            <w:tcW w:type="pct" w:w="5%"/>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7</w:t>
            </w:r>
          </w:p>
        </w:tc>
        <w:tc>
          <w:tcPr>
            <w:tcW w:type="pct" w:w="3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Crew List</w:t>
            </w:r>
          </w:p>
        </w:tc>
        <w:tc>
          <w:tcPr>
            <w:tcW w:type="pct" w:w="1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Commercial</w:t>
            </w:r>
          </w:p>
        </w:tc>
        <w:tc>
          <w:tcPr>
            <w:tcW w:type="pct" w:w="2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2E7D32"/>
                <w:sz w:val="20"/>
                <w:szCs w:val="20"/>
              </w:rPr>
              <w:t xml:space="preserve">Low</w:t>
            </w:r>
          </w:p>
        </w:tc>
        <w:tc>
          <w:tcPr>
            <w:tcW w:type="pct" w:w="25%"/>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2E7D32"/>
                <w:sz w:val="20"/>
                <w:szCs w:val="20"/>
              </w:rPr>
              <w:t xml:space="preserve">Yes</w:t>
            </w:r>
          </w:p>
        </w:tc>
      </w:tr>
      <w:tr>
        <w:trPr>
          <w:cantSplit/>
        </w:trPr>
        <w:tc>
          <w:tcPr>
            <w:tcW w:type="pct" w:w="5%"/>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8</w:t>
            </w:r>
          </w:p>
        </w:tc>
        <w:tc>
          <w:tcPr>
            <w:tcW w:type="pct" w:w="3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Cargo Manifest</w:t>
            </w:r>
          </w:p>
        </w:tc>
        <w:tc>
          <w:tcPr>
            <w:tcW w:type="pct" w:w="1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Cargo</w:t>
            </w:r>
          </w:p>
        </w:tc>
        <w:tc>
          <w:tcPr>
            <w:tcW w:type="pct" w:w="2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22222"/>
                <w:sz w:val="20"/>
                <w:szCs w:val="20"/>
              </w:rPr>
              <w:t xml:space="preserve">High</w:t>
            </w:r>
          </w:p>
        </w:tc>
        <w:tc>
          <w:tcPr>
            <w:tcW w:type="pct" w:w="25%"/>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Mostly</w:t>
            </w:r>
          </w:p>
        </w:tc>
      </w:tr>
      <w:tr>
        <w:trPr>
          <w:cantSplit/>
        </w:trPr>
        <w:tc>
          <w:tcPr>
            <w:tcW w:type="pct" w:w="5%"/>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9</w:t>
            </w:r>
          </w:p>
        </w:tc>
        <w:tc>
          <w:tcPr>
            <w:tcW w:type="pct" w:w="3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Bill of Lading</w:t>
            </w:r>
          </w:p>
        </w:tc>
        <w:tc>
          <w:tcPr>
            <w:tcW w:type="pct" w:w="1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Cargo / Legal</w:t>
            </w:r>
          </w:p>
        </w:tc>
        <w:tc>
          <w:tcPr>
            <w:tcW w:type="pct" w:w="2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22222"/>
                <w:sz w:val="20"/>
                <w:szCs w:val="20"/>
              </w:rPr>
              <w:t xml:space="preserve">High</w:t>
            </w:r>
          </w:p>
        </w:tc>
        <w:tc>
          <w:tcPr>
            <w:tcW w:type="pct" w:w="25%"/>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Mostly</w:t>
            </w:r>
          </w:p>
        </w:tc>
      </w:tr>
      <w:tr>
        <w:trPr>
          <w:cantSplit/>
        </w:trPr>
        <w:tc>
          <w:tcPr>
            <w:tcW w:type="pct" w:w="5%"/>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10</w:t>
            </w:r>
          </w:p>
        </w:tc>
        <w:tc>
          <w:tcPr>
            <w:tcW w:type="pct" w:w="3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Charter Party</w:t>
            </w:r>
          </w:p>
        </w:tc>
        <w:tc>
          <w:tcPr>
            <w:tcW w:type="pct" w:w="1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Commercial / Legal</w:t>
            </w:r>
          </w:p>
        </w:tc>
        <w:tc>
          <w:tcPr>
            <w:tcW w:type="pct" w:w="2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22222"/>
                <w:sz w:val="20"/>
                <w:szCs w:val="20"/>
              </w:rPr>
              <w:t xml:space="preserve">High</w:t>
            </w:r>
          </w:p>
        </w:tc>
        <w:tc>
          <w:tcPr>
            <w:tcW w:type="pct" w:w="25%"/>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Partial</w:t>
            </w:r>
          </w:p>
        </w:tc>
      </w:tr>
      <w:tr>
        <w:trPr>
          <w:cantSplit/>
        </w:trPr>
        <w:tc>
          <w:tcPr>
            <w:tcW w:type="pct" w:w="5%"/>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11</w:t>
            </w:r>
          </w:p>
        </w:tc>
        <w:tc>
          <w:tcPr>
            <w:tcW w:type="pct" w:w="3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Port Clearance</w:t>
            </w:r>
          </w:p>
        </w:tc>
        <w:tc>
          <w:tcPr>
            <w:tcW w:type="pct" w:w="1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Statutory</w:t>
            </w:r>
          </w:p>
        </w:tc>
        <w:tc>
          <w:tcPr>
            <w:tcW w:type="pct" w:w="2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Medium</w:t>
            </w:r>
          </w:p>
        </w:tc>
        <w:tc>
          <w:tcPr>
            <w:tcW w:type="pct" w:w="25%"/>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Mostly</w:t>
            </w:r>
          </w:p>
        </w:tc>
      </w:tr>
      <w:tr>
        <w:trPr>
          <w:cantSplit/>
        </w:trPr>
        <w:tc>
          <w:tcPr>
            <w:tcW w:type="pct" w:w="5%"/>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12</w:t>
            </w:r>
          </w:p>
        </w:tc>
        <w:tc>
          <w:tcPr>
            <w:tcW w:type="pct" w:w="3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Statutory Certificates</w:t>
            </w:r>
          </w:p>
        </w:tc>
        <w:tc>
          <w:tcPr>
            <w:tcW w:type="pct" w:w="1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Certificates</w:t>
            </w:r>
          </w:p>
        </w:tc>
        <w:tc>
          <w:tcPr>
            <w:tcW w:type="pct" w:w="2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Medium</w:t>
            </w:r>
          </w:p>
        </w:tc>
        <w:tc>
          <w:tcPr>
            <w:tcW w:type="pct" w:w="25%"/>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Mostly</w:t>
            </w:r>
          </w:p>
        </w:tc>
      </w:tr>
      <w:tr>
        <w:trPr>
          <w:cantSplit/>
        </w:trPr>
        <w:tc>
          <w:tcPr>
            <w:tcW w:type="pct" w:w="5%"/>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13</w:t>
            </w:r>
          </w:p>
        </w:tc>
        <w:tc>
          <w:tcPr>
            <w:tcW w:type="pct" w:w="30%"/>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Class Certificates</w:t>
            </w:r>
          </w:p>
        </w:tc>
        <w:tc>
          <w:tcPr>
            <w:tcW w:type="pct" w:w="1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Certificates</w:t>
            </w:r>
          </w:p>
        </w:tc>
        <w:tc>
          <w:tcPr>
            <w:tcW w:type="pct" w:w="2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Medium</w:t>
            </w:r>
          </w:p>
        </w:tc>
        <w:tc>
          <w:tcPr>
            <w:tcW w:type="pct" w:w="25%"/>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Mostly</w:t>
            </w:r>
          </w:p>
        </w:tc>
      </w:tr>
      <w:tr>
        <w:trPr>
          <w:cantSplit/>
        </w:trPr>
        <w:tc>
          <w:tcPr>
            <w:tcW w:type="pct" w:w="5%"/>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14</w:t>
            </w:r>
          </w:p>
        </w:tc>
        <w:tc>
          <w:tcPr>
            <w:tcW w:type="pct" w:w="30%"/>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Insurance Documents</w:t>
            </w:r>
          </w:p>
        </w:tc>
        <w:tc>
          <w:tcPr>
            <w:tcW w:type="pct" w:w="1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Insurance / Legal</w:t>
            </w:r>
          </w:p>
        </w:tc>
        <w:tc>
          <w:tcPr>
            <w:tcW w:type="pct" w:w="2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22222"/>
                <w:sz w:val="20"/>
                <w:szCs w:val="20"/>
              </w:rPr>
              <w:t xml:space="preserve">High</w:t>
            </w:r>
          </w:p>
        </w:tc>
        <w:tc>
          <w:tcPr>
            <w:tcW w:type="pct" w:w="25%"/>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Partial</w:t>
            </w:r>
          </w:p>
        </w:tc>
      </w:tr>
    </w:tbl>
    <w:p>
      <w:pPr>
        <w:spacing w:after="240" w:before="120" w:line="276"/>
        <w:jc w:val="left"/>
      </w:pPr>
      <w:r>
        <w:rPr>
          <w:rFonts w:ascii="Calibri" w:eastAsia="Microsoft YaHei"/>
          <w:i/>
          <w:iCs/>
          <w:color w:val="506070"/>
          <w:sz w:val="18"/>
          <w:szCs w:val="18"/>
        </w:rPr>
        <w:t xml:space="preserve">Table 2.1 — Maritime document overview with OCR difficulty and structured-extraction feasibility.</w:t>
      </w:r>
    </w:p>
    <w:p>
      <w:pPr>
        <w:pStyle w:val="Heading1"/>
        <w:spacing w:after="160" w:before="360" w:line="312"/>
      </w:pPr>
      <w:r>
        <w:rPr>
          <w:rFonts w:ascii="Calibri" w:eastAsia="SimHei"/>
          <w:b/>
          <w:bCs/>
          <w:color w:val="1F4E79"/>
          <w:sz w:val="32"/>
          <w:szCs w:val="32"/>
        </w:rPr>
        <w:t xml:space="preserve">3. Functional Families</w:t>
      </w:r>
    </w:p>
    <w:p>
      <w:pPr>
        <w:pStyle w:val="Heading2"/>
        <w:spacing w:after="120" w:before="280" w:line="312"/>
      </w:pPr>
      <w:r>
        <w:rPr>
          <w:rFonts w:ascii="Calibri" w:eastAsia="SimHei"/>
          <w:b/>
          <w:bCs/>
          <w:color w:val="1F4E79"/>
          <w:sz w:val="28"/>
          <w:szCs w:val="28"/>
        </w:rPr>
        <w:t xml:space="preserve">3.1 Operational logs</w:t>
      </w:r>
    </w:p>
    <w:p>
      <w:pPr>
        <w:spacing w:after="120" w:line="312"/>
        <w:ind w:firstLine="360"/>
        <w:jc w:val="both"/>
      </w:pPr>
      <w:r>
        <w:rPr>
          <w:rFonts w:ascii="Calibri" w:eastAsia="Microsoft YaHei"/>
          <w:color w:val="000000"/>
          <w:sz w:val="22"/>
          <w:szCs w:val="22"/>
        </w:rPr>
        <w:t xml:space="preserve">Bunker Delivery Notes and Noon Reports are short, daily, highly structured forms. They are produced in very high volume (one per bunker stem; one per vessel per day) and feed directly into commercial and environmental reporting. They are the easiest documents in the maritime set to extract automatically and offer the highest ROI for OCR investment.</w:t>
      </w:r>
    </w:p>
    <w:p>
      <w:pPr>
        <w:pStyle w:val="Heading2"/>
        <w:spacing w:after="120" w:before="280" w:line="312"/>
      </w:pPr>
      <w:r>
        <w:rPr>
          <w:rFonts w:ascii="Calibri" w:eastAsia="SimHei"/>
          <w:b/>
          <w:bCs/>
          <w:color w:val="1F4E79"/>
          <w:sz w:val="28"/>
          <w:szCs w:val="28"/>
        </w:rPr>
        <w:t xml:space="preserve">3.2 Statutory record books</w:t>
      </w:r>
    </w:p>
    <w:p>
      <w:pPr>
        <w:spacing w:after="120" w:line="312"/>
        <w:ind w:firstLine="360"/>
        <w:jc w:val="both"/>
      </w:pPr>
      <w:r>
        <w:rPr>
          <w:rFonts w:ascii="Calibri" w:eastAsia="Microsoft YaHei"/>
          <w:color w:val="000000"/>
          <w:sz w:val="22"/>
          <w:szCs w:val="22"/>
        </w:rPr>
        <w:t xml:space="preserve">The Oil Record Book, Engine Logbook, Garbage Record Book and Ballast Water Record Book are mandated by IMO conventions (MARPOL Annexes I, V, VI; BWM Convention 2004). They are paginated, ruled logbooks with handwritten or stamped entries, signatures, and running totals. Structured extraction is feasible for the entry-level fields but requires careful handling of running balances, code lists (e.g. MARPOL garbage categories A–K), and signed/initialled rows.</w:t>
      </w:r>
    </w:p>
    <w:p>
      <w:pPr>
        <w:pStyle w:val="Heading2"/>
        <w:spacing w:after="120" w:before="280" w:line="312"/>
      </w:pPr>
      <w:r>
        <w:rPr>
          <w:rFonts w:ascii="Calibri" w:eastAsia="SimHei"/>
          <w:b/>
          <w:bCs/>
          <w:color w:val="1F4E79"/>
          <w:sz w:val="28"/>
          <w:szCs w:val="28"/>
        </w:rPr>
        <w:t xml:space="preserve">3.3 Cargo and commercial documents</w:t>
      </w:r>
    </w:p>
    <w:p>
      <w:pPr>
        <w:spacing w:after="120" w:line="312"/>
        <w:ind w:firstLine="360"/>
        <w:jc w:val="both"/>
      </w:pPr>
      <w:r>
        <w:rPr>
          <w:rFonts w:ascii="Calibri" w:eastAsia="Microsoft YaHei"/>
          <w:color w:val="000000"/>
          <w:sz w:val="22"/>
          <w:szCs w:val="22"/>
        </w:rPr>
        <w:t xml:space="preserve">Cargo Manifests, Bills of Lading, and Charter Parties sit at the commercial heart of shipping. They vary in template between carriers, agents and lawyers; they mix dense tables (manifests) with long-form clauses (charter parties); and they carry high legal and financial weight. Structured extraction is feasible for the headline fields (vessel, voyage, cargo, parties) but partial for free-text clauses.</w:t>
      </w:r>
    </w:p>
    <w:p>
      <w:pPr>
        <w:pStyle w:val="Heading2"/>
        <w:spacing w:after="120" w:before="280" w:line="312"/>
      </w:pPr>
      <w:r>
        <w:rPr>
          <w:rFonts w:ascii="Calibri" w:eastAsia="SimHei"/>
          <w:b/>
          <w:bCs/>
          <w:color w:val="1F4E79"/>
          <w:sz w:val="28"/>
          <w:szCs w:val="28"/>
        </w:rPr>
        <w:t xml:space="preserve">3.4 Certificates and statutory documents</w:t>
      </w:r>
    </w:p>
    <w:p>
      <w:pPr>
        <w:spacing w:after="120" w:line="312"/>
        <w:ind w:firstLine="360"/>
        <w:jc w:val="both"/>
      </w:pPr>
      <w:r>
        <w:rPr>
          <w:rFonts w:ascii="Calibri" w:eastAsia="Microsoft YaHei"/>
          <w:color w:val="000000"/>
          <w:sz w:val="22"/>
          <w:szCs w:val="22"/>
        </w:rPr>
        <w:t xml:space="preserve">Statutory certificates (issued by flag states under SOLAS, MARPOL, ITC, ILL) and Class Certificates (issued by classification societies such as DNV, Lloyd's Register, ABS, Bureau Veritas, RINA) follow fairly stable templates per issuer, making field-level extraction reliable. The value of extraction here is expiry-date and condition monitoring: a missed expiry can immobilise a vessel.</w:t>
      </w:r>
    </w:p>
    <w:p>
      <w:pPr>
        <w:pStyle w:val="Heading2"/>
        <w:spacing w:after="120" w:before="280" w:line="312"/>
      </w:pPr>
      <w:r>
        <w:rPr>
          <w:rFonts w:ascii="Calibri" w:eastAsia="SimHei"/>
          <w:b/>
          <w:bCs/>
          <w:color w:val="1F4E79"/>
          <w:sz w:val="28"/>
          <w:szCs w:val="28"/>
        </w:rPr>
        <w:t xml:space="preserve">3.5 Insurance documents</w:t>
      </w:r>
    </w:p>
    <w:p>
      <w:pPr>
        <w:spacing w:after="120" w:line="312"/>
        <w:ind w:firstLine="360"/>
        <w:jc w:val="both"/>
      </w:pPr>
      <w:r>
        <w:rPr>
          <w:rFonts w:ascii="Calibri" w:eastAsia="Microsoft YaHei"/>
          <w:color w:val="000000"/>
          <w:sz w:val="22"/>
          <w:szCs w:val="22"/>
        </w:rPr>
        <w:t xml:space="preserve">P&amp;I entries, Hull &amp; Machinery policies, and Protection &amp; Indemnity certificates are contractual documents with free-text clauses, schedules of cover, and named-vessel annexes. They are the hardest of the set for structured extraction because the meaningful data (limits, deductibles, named perils) is buried in clause text rather than in labelled fields.</w:t>
      </w:r>
    </w:p>
    <w:p>
      <w:pPr>
        <w:pStyle w:val="Heading1"/>
        <w:spacing w:after="160" w:before="360" w:line="312"/>
      </w:pPr>
      <w:r>
        <w:rPr>
          <w:rFonts w:ascii="Calibri" w:eastAsia="SimHei"/>
          <w:b/>
          <w:bCs/>
          <w:color w:val="1F4E79"/>
          <w:sz w:val="32"/>
          <w:szCs w:val="32"/>
        </w:rPr>
        <w:t xml:space="preserve">4. Document Profiles</w:t>
      </w:r>
    </w:p>
    <w:p>
      <w:pPr>
        <w:spacing w:after="120" w:line="312"/>
        <w:ind w:firstLine="360"/>
        <w:jc w:val="both"/>
      </w:pPr>
      <w:r>
        <w:rPr>
          <w:rFonts w:ascii="Calibri" w:eastAsia="Microsoft YaHei"/>
          <w:color w:val="000000"/>
          <w:sz w:val="22"/>
          <w:szCs w:val="22"/>
        </w:rPr>
        <w:t xml:space="preserve">Each profile below covers the six required dimensions: purpose, typical format, OCR difficulty, important fields, compliance relevance, and whether structured extraction is possible.</w:t>
      </w:r>
    </w:p>
    <w:p>
      <w:pPr>
        <w:pStyle w:val="Heading2"/>
        <w:spacing w:after="120" w:before="280" w:line="312"/>
      </w:pPr>
      <w:r>
        <w:rPr>
          <w:rFonts w:ascii="Calibri" w:eastAsia="SimHei"/>
          <w:b/>
          <w:bCs/>
          <w:color w:val="1F4E79"/>
          <w:sz w:val="28"/>
          <w:szCs w:val="28"/>
        </w:rPr>
        <w:t xml:space="preserve">4.1  Bunker Delivery Note (BDN)</w:t>
      </w:r>
    </w:p>
    <w:p>
      <w:pPr>
        <w:spacing w:after="120" w:line="312"/>
        <w:ind w:firstLine="360"/>
        <w:jc w:val="both"/>
      </w:pPr>
      <w:r>
        <w:rPr>
          <w:rFonts w:ascii="Calibri" w:eastAsia="Microsoft YaHei"/>
          <w:b/>
          <w:bCs/>
          <w:color w:val="1F4E79"/>
          <w:sz w:val="22"/>
          <w:szCs w:val="22"/>
        </w:rPr>
        <w:t xml:space="preserve">Purpose: </w:t>
      </w:r>
      <w:r>
        <w:rPr>
          <w:rFonts w:ascii="Calibri" w:eastAsia="Microsoft YaHei"/>
          <w:color w:val="000000"/>
          <w:sz w:val="22"/>
          <w:szCs w:val="22"/>
        </w:rPr>
        <w:t xml:space="preserve">The BDN is the receipt and specification document issued by the bunker supplier to the receiving vessel at every fuel bunker stem. It records the quantity and grade of marine fuel delivered, its sulphur content, and the parties involved. It is the primary evidence of regulatory fuel-sulphur compliance.</w:t>
      </w:r>
    </w:p>
    <w:p>
      <w:pPr>
        <w:spacing w:after="120" w:line="312"/>
        <w:ind w:firstLine="360"/>
        <w:jc w:val="both"/>
      </w:pPr>
      <w:r>
        <w:rPr>
          <w:rFonts w:ascii="Calibri" w:eastAsia="Microsoft YaHei"/>
          <w:b/>
          <w:bCs/>
          <w:color w:val="1F4E79"/>
          <w:sz w:val="22"/>
          <w:szCs w:val="22"/>
        </w:rPr>
        <w:t xml:space="preserve">Typical format: </w:t>
      </w:r>
      <w:r>
        <w:rPr>
          <w:rFonts w:ascii="Calibri" w:eastAsia="Microsoft YaHei"/>
          <w:color w:val="000000"/>
          <w:sz w:val="22"/>
          <w:szCs w:val="22"/>
        </w:rPr>
        <w:t xml:space="preserve">Single-page A4 form, supplier-specific template. Mix of pre-printed labels and typed/handwritten values. Often a carbon-copy or scanned PDF; frequently smudged from the jetty.</w:t>
      </w:r>
    </w:p>
    <w:p>
      <w:pPr>
        <w:spacing w:after="120" w:line="312"/>
        <w:ind w:firstLine="360"/>
        <w:jc w:val="both"/>
      </w:pPr>
      <w:r>
        <w:rPr>
          <w:rFonts w:ascii="Calibri" w:eastAsia="Microsoft YaHei"/>
          <w:b/>
          <w:bCs/>
          <w:color w:val="1F4E79"/>
          <w:sz w:val="22"/>
          <w:szCs w:val="22"/>
        </w:rPr>
        <w:t xml:space="preserve">OCR difficulty: </w:t>
      </w:r>
      <w:r>
        <w:rPr>
          <w:rFonts w:ascii="Calibri" w:eastAsia="Microsoft YaHei"/>
          <w:b/>
          <w:bCs/>
          <w:color w:val="2E7D32"/>
          <w:sz w:val="22"/>
          <w:szCs w:val="22"/>
        </w:rPr>
        <w:t xml:space="preserve">Low</w:t>
      </w:r>
      <w:r>
        <w:rPr>
          <w:rFonts w:ascii="Calibri" w:eastAsia="Microsoft YaHei"/>
          <w:color w:val="000000"/>
          <w:sz w:val="22"/>
          <w:szCs w:val="22"/>
        </w:rPr>
        <w:t xml:space="preserve"> — Short form (≈30 fields), clear field labels, generally printed not handwritten. Scans can be skewed or stained.</w:t>
      </w:r>
    </w:p>
    <w:p>
      <w:pPr>
        <w:spacing w:after="120" w:line="312"/>
        <w:jc w:val="both"/>
      </w:pPr>
      <w:r>
        <w:rPr>
          <w:rFonts w:ascii="Calibri" w:eastAsia="Microsoft YaHei"/>
          <w:b/>
          <w:bCs/>
          <w:color w:val="1F4E79"/>
          <w:sz w:val="22"/>
          <w:szCs w:val="22"/>
        </w:rPr>
        <w:t xml:space="preserve">Important fields: </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Supplier name and address; receiving vessel name and IMO number</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Bunker port and date of delivery</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Product name and grade (e.g. VLSFO 0.50% S, HSFO, MGO 0.10% 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Density at 15 °C (kg/m³)</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Sulphur content (% m/m) — the single most regulated field</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Quantity delivered (metric tonnes) by grade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Bunker barge / tank sounding or mass-flow meter readings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Signatures of supplier representative and Chief Engineer</w:t>
      </w:r>
    </w:p>
    <w:p>
      <w:pPr>
        <w:spacing w:after="120" w:line="312"/>
        <w:ind w:firstLine="360"/>
        <w:jc w:val="both"/>
      </w:pPr>
      <w:r>
        <w:rPr>
          <w:rFonts w:ascii="Calibri" w:eastAsia="Microsoft YaHei"/>
          <w:b/>
          <w:bCs/>
          <w:color w:val="1F4E79"/>
          <w:sz w:val="22"/>
          <w:szCs w:val="22"/>
        </w:rPr>
        <w:t xml:space="preserve">Compliance relevance: </w:t>
      </w:r>
      <w:r>
        <w:rPr>
          <w:rFonts w:ascii="Calibri" w:eastAsia="Microsoft YaHei"/>
          <w:color w:val="000000"/>
          <w:sz w:val="22"/>
          <w:szCs w:val="22"/>
        </w:rPr>
        <w:t xml:space="preserve">Required under MARPOL Annex VI, Regulation 18. The 0.10% sulphur limit in Emission Control Areas and the 0.50% global cap (effective 1 January 2020) are verified against the BDN. The vessel must retain the BDN for at least 3 years and it is a primary target of Port State Control inspection.</w:t>
      </w:r>
    </w:p>
    <w:p>
      <w:pPr>
        <w:spacing w:after="120" w:line="312"/>
        <w:ind w:firstLine="360"/>
        <w:jc w:val="both"/>
      </w:pPr>
      <w:r>
        <w:rPr>
          <w:rFonts w:ascii="Calibri" w:eastAsia="Microsoft YaHei"/>
          <w:b/>
          <w:bCs/>
          <w:color w:val="1F4E79"/>
          <w:sz w:val="22"/>
          <w:szCs w:val="22"/>
        </w:rPr>
        <w:t xml:space="preserve">Structured extraction possible: </w:t>
      </w:r>
      <w:r>
        <w:rPr>
          <w:rFonts w:ascii="Calibri" w:eastAsia="Microsoft YaHei"/>
          <w:b/>
          <w:bCs/>
          <w:color w:val="2E7D32"/>
          <w:sz w:val="22"/>
          <w:szCs w:val="22"/>
        </w:rPr>
        <w:t xml:space="preserve">Yes</w:t>
      </w:r>
      <w:r>
        <w:rPr>
          <w:rFonts w:ascii="Calibri" w:eastAsia="Microsoft YaHei"/>
          <w:color w:val="000000"/>
          <w:sz w:val="22"/>
          <w:szCs w:val="22"/>
        </w:rPr>
        <w:t xml:space="preserve"> — Fully extractable. Field labels are stable across suppliers; sulphur %, density and quantity are typed numerals. A custom Document Intelligence model trained on 20–30 supplier templates achieves &gt;95% field accuracy.</w:t>
      </w:r>
    </w:p>
    <w:p>
      <w:pPr>
        <w:pStyle w:val="Heading2"/>
        <w:spacing w:after="120" w:before="280" w:line="312"/>
      </w:pPr>
      <w:r>
        <w:rPr>
          <w:rFonts w:ascii="Calibri" w:eastAsia="SimHei"/>
          <w:b/>
          <w:bCs/>
          <w:color w:val="1F4E79"/>
          <w:sz w:val="28"/>
          <w:szCs w:val="28"/>
        </w:rPr>
        <w:t xml:space="preserve">4.2  Noon Report</w:t>
      </w:r>
    </w:p>
    <w:p>
      <w:pPr>
        <w:spacing w:after="120" w:line="312"/>
        <w:ind w:firstLine="360"/>
        <w:jc w:val="both"/>
      </w:pPr>
      <w:r>
        <w:rPr>
          <w:rFonts w:ascii="Calibri" w:eastAsia="Microsoft YaHei"/>
          <w:b/>
          <w:bCs/>
          <w:color w:val="1F4E79"/>
          <w:sz w:val="22"/>
          <w:szCs w:val="22"/>
        </w:rPr>
        <w:t xml:space="preserve">Purpose: </w:t>
      </w:r>
      <w:r>
        <w:rPr>
          <w:rFonts w:ascii="Calibri" w:eastAsia="Microsoft YaHei"/>
          <w:color w:val="000000"/>
          <w:sz w:val="22"/>
          <w:szCs w:val="22"/>
        </w:rPr>
        <w:t xml:space="preserve">The daily operational snapshot sent by the Master to the ship operator or charterer at vessel local noon. It records position, progress, weather, and consumption so the operator can track ETA, monitor performance, and meet charter-party reporting obligations.</w:t>
      </w:r>
    </w:p>
    <w:p>
      <w:pPr>
        <w:spacing w:after="120" w:line="312"/>
        <w:ind w:firstLine="360"/>
        <w:jc w:val="both"/>
      </w:pPr>
      <w:r>
        <w:rPr>
          <w:rFonts w:ascii="Calibri" w:eastAsia="Microsoft YaHei"/>
          <w:b/>
          <w:bCs/>
          <w:color w:val="1F4E79"/>
          <w:sz w:val="22"/>
          <w:szCs w:val="22"/>
        </w:rPr>
        <w:t xml:space="preserve">Typical format: </w:t>
      </w:r>
      <w:r>
        <w:rPr>
          <w:rFonts w:ascii="Calibri" w:eastAsia="Microsoft YaHei"/>
          <w:color w:val="000000"/>
          <w:sz w:val="22"/>
          <w:szCs w:val="22"/>
        </w:rPr>
        <w:t xml:space="preserve">Email body or short form (free-text email, telex-style text, or a fleet-management-system form). Template varies by operator but is internally consistent. Increasingly digital (sensor-fed), but PDF/email-image noon reports remain common.</w:t>
      </w:r>
    </w:p>
    <w:p>
      <w:pPr>
        <w:spacing w:after="120" w:line="312"/>
        <w:ind w:firstLine="360"/>
        <w:jc w:val="both"/>
      </w:pPr>
      <w:r>
        <w:rPr>
          <w:rFonts w:ascii="Calibri" w:eastAsia="Microsoft YaHei"/>
          <w:b/>
          <w:bCs/>
          <w:color w:val="1F4E79"/>
          <w:sz w:val="22"/>
          <w:szCs w:val="22"/>
        </w:rPr>
        <w:t xml:space="preserve">OCR difficulty: </w:t>
      </w:r>
      <w:r>
        <w:rPr>
          <w:rFonts w:ascii="Calibri" w:eastAsia="Microsoft YaHei"/>
          <w:b/>
          <w:bCs/>
          <w:color w:val="2E7D32"/>
          <w:sz w:val="22"/>
          <w:szCs w:val="22"/>
        </w:rPr>
        <w:t xml:space="preserve">Low</w:t>
      </w:r>
      <w:r>
        <w:rPr>
          <w:rFonts w:ascii="Calibri" w:eastAsia="Microsoft YaHei"/>
          <w:color w:val="000000"/>
          <w:sz w:val="22"/>
          <w:szCs w:val="22"/>
        </w:rPr>
        <w:t xml:space="preserve"> — Predictable field layout, mostly typed, ASCII-friendly. Main risk is unit ambiguity (MT vs LT, nautical miles vs kilometres) and free-text remarks.</w:t>
      </w:r>
    </w:p>
    <w:p>
      <w:pPr>
        <w:spacing w:after="120" w:line="312"/>
        <w:jc w:val="both"/>
      </w:pPr>
      <w:r>
        <w:rPr>
          <w:rFonts w:ascii="Calibri" w:eastAsia="Microsoft YaHei"/>
          <w:b/>
          <w:bCs/>
          <w:color w:val="1F4E79"/>
          <w:sz w:val="22"/>
          <w:szCs w:val="22"/>
        </w:rPr>
        <w:t xml:space="preserve">Important fields: </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Vessel name, voyage number, leg (loaded/ballast)</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Date and time (ship's local noon) and UTC</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Position: latitude/longitude; port of departure / next port</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Distance run since last report (nautical miles); speed through water and over ground</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Engine RPM and slip; ME/AE running hours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Fuel consumption by grade (HSFO, VLSFO, MGO) since last report and remaining on board (ROB)</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Fresh water ROB; ballast condition</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Weather: wind direction and force (Beaufort), sea state, swell, visibility</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Cargo on board; draft forward/aft; hull stress indicators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ETA next port; remarks</w:t>
      </w:r>
    </w:p>
    <w:p>
      <w:pPr>
        <w:spacing w:after="120" w:line="312"/>
        <w:ind w:firstLine="360"/>
        <w:jc w:val="both"/>
      </w:pPr>
      <w:r>
        <w:rPr>
          <w:rFonts w:ascii="Calibri" w:eastAsia="Microsoft YaHei"/>
          <w:b/>
          <w:bCs/>
          <w:color w:val="1F4E79"/>
          <w:sz w:val="22"/>
          <w:szCs w:val="22"/>
        </w:rPr>
        <w:t xml:space="preserve">Compliance relevance: </w:t>
      </w:r>
      <w:r>
        <w:rPr>
          <w:rFonts w:ascii="Calibri" w:eastAsia="Microsoft YaHei"/>
          <w:color w:val="000000"/>
          <w:sz w:val="22"/>
          <w:szCs w:val="22"/>
        </w:rPr>
        <w:t xml:space="preserve">Underpins charter-party performance claims (speed/consumption warranties) and CII / EEXI carbon-intensity reporting under MARPOL Annex VI (short-term GHG measure). Inaccurate noon reports directly affect hire disputes and emissions reporting.</w:t>
      </w:r>
    </w:p>
    <w:p>
      <w:pPr>
        <w:spacing w:after="120" w:line="312"/>
        <w:ind w:firstLine="360"/>
        <w:jc w:val="both"/>
      </w:pPr>
      <w:r>
        <w:rPr>
          <w:rFonts w:ascii="Calibri" w:eastAsia="Microsoft YaHei"/>
          <w:b/>
          <w:bCs/>
          <w:color w:val="1F4E79"/>
          <w:sz w:val="22"/>
          <w:szCs w:val="22"/>
        </w:rPr>
        <w:t xml:space="preserve">Structured extraction possible: </w:t>
      </w:r>
      <w:r>
        <w:rPr>
          <w:rFonts w:ascii="Calibri" w:eastAsia="Microsoft YaHei"/>
          <w:b/>
          <w:bCs/>
          <w:color w:val="2E7D32"/>
          <w:sz w:val="22"/>
          <w:szCs w:val="22"/>
        </w:rPr>
        <w:t xml:space="preserve">Yes</w:t>
      </w:r>
      <w:r>
        <w:rPr>
          <w:rFonts w:ascii="Calibri" w:eastAsia="Microsoft YaHei"/>
          <w:color w:val="000000"/>
          <w:sz w:val="22"/>
          <w:szCs w:val="22"/>
        </w:rPr>
        <w:t xml:space="preserve"> — Highly structured and standardised in field vocabulary. A custom extractor targeting ~25 fields achieves reliable extraction; the main work is unit normalisation and field-disambiguation rules.</w:t>
      </w:r>
    </w:p>
    <w:p>
      <w:pPr>
        <w:pStyle w:val="Heading2"/>
        <w:spacing w:after="120" w:before="280" w:line="312"/>
      </w:pPr>
      <w:r>
        <w:rPr>
          <w:rFonts w:ascii="Calibri" w:eastAsia="SimHei"/>
          <w:b/>
          <w:bCs/>
          <w:color w:val="1F4E79"/>
          <w:sz w:val="28"/>
          <w:szCs w:val="28"/>
        </w:rPr>
        <w:t xml:space="preserve">4.3  Oil Record Book (ORB)</w:t>
      </w:r>
    </w:p>
    <w:p>
      <w:pPr>
        <w:spacing w:after="120" w:line="312"/>
        <w:ind w:firstLine="360"/>
        <w:jc w:val="both"/>
      </w:pPr>
      <w:r>
        <w:rPr>
          <w:rFonts w:ascii="Calibri" w:eastAsia="Microsoft YaHei"/>
          <w:b/>
          <w:bCs/>
          <w:color w:val="1F4E79"/>
          <w:sz w:val="22"/>
          <w:szCs w:val="22"/>
        </w:rPr>
        <w:t xml:space="preserve">Purpose: </w:t>
      </w:r>
      <w:r>
        <w:rPr>
          <w:rFonts w:ascii="Calibri" w:eastAsia="Microsoft YaHei"/>
          <w:color w:val="000000"/>
          <w:sz w:val="22"/>
          <w:szCs w:val="22"/>
        </w:rPr>
        <w:t xml:space="preserve">The statutory logbook of all oil-related operations onboard: bunkering, oily-water handling, sludge disposal, oily ballast and tank cleaning. The ORB is the primary document inspected during Port State Control to detect illegal oily-waste discharge (the 'magic pipe' offence).</w:t>
      </w:r>
    </w:p>
    <w:p>
      <w:pPr>
        <w:spacing w:after="120" w:line="312"/>
        <w:ind w:firstLine="360"/>
        <w:jc w:val="both"/>
      </w:pPr>
      <w:r>
        <w:rPr>
          <w:rFonts w:ascii="Calibri" w:eastAsia="Microsoft YaHei"/>
          <w:b/>
          <w:bCs/>
          <w:color w:val="1F4E79"/>
          <w:sz w:val="22"/>
          <w:szCs w:val="22"/>
        </w:rPr>
        <w:t xml:space="preserve">Typical format: </w:t>
      </w:r>
      <w:r>
        <w:rPr>
          <w:rFonts w:ascii="Calibri" w:eastAsia="Microsoft YaHei"/>
          <w:color w:val="000000"/>
          <w:sz w:val="22"/>
          <w:szCs w:val="22"/>
        </w:rPr>
        <w:t xml:space="preserve">Bound, pre-printed, ruled book. Two parts: Part I — Machinery Space Operations (all ships ≥400 GT and all oil tankers ≥150 GT); Part II — Cargo/Ballast Operations (oil tankers ≥150 GT). Entries are handwritten or stamped; each entry signed by the officer in charge and the Master.</w:t>
      </w:r>
    </w:p>
    <w:p>
      <w:pPr>
        <w:spacing w:after="120" w:line="312"/>
        <w:ind w:firstLine="360"/>
        <w:jc w:val="both"/>
      </w:pPr>
      <w:r>
        <w:rPr>
          <w:rFonts w:ascii="Calibri" w:eastAsia="Microsoft YaHei"/>
          <w:b/>
          <w:bCs/>
          <w:color w:val="1F4E79"/>
          <w:sz w:val="22"/>
          <w:szCs w:val="22"/>
        </w:rPr>
        <w:t xml:space="preserve">OCR difficulty: </w:t>
      </w:r>
      <w:r>
        <w:rPr>
          <w:rFonts w:ascii="Calibri" w:eastAsia="Microsoft YaHei"/>
          <w:b/>
          <w:bCs/>
          <w:color w:val="B8860B"/>
          <w:sz w:val="22"/>
          <w:szCs w:val="22"/>
        </w:rPr>
        <w:t xml:space="preserve">Medium</w:t>
      </w:r>
      <w:r>
        <w:rPr>
          <w:rFonts w:ascii="Calibri" w:eastAsia="Microsoft YaHei"/>
          <w:color w:val="000000"/>
          <w:sz w:val="22"/>
          <w:szCs w:val="22"/>
        </w:rPr>
        <w:t xml:space="preserve"> — Ruled layout helps, but handwritten entries, MARPOL code letters/codes (A–H operation codes), running totals, and ink stamps complicate extraction. Multi-page continuity is critical.</w:t>
      </w:r>
    </w:p>
    <w:p>
      <w:pPr>
        <w:spacing w:after="120" w:line="312"/>
        <w:jc w:val="both"/>
      </w:pPr>
      <w:r>
        <w:rPr>
          <w:rFonts w:ascii="Calibri" w:eastAsia="Microsoft YaHei"/>
          <w:b/>
          <w:bCs/>
          <w:color w:val="1F4E79"/>
          <w:sz w:val="22"/>
          <w:szCs w:val="22"/>
        </w:rPr>
        <w:t xml:space="preserve">Important fields: </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Date of operation; operation code and item number (per MARPOL Annex I Appendix III)</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Operation code letters (e.g. B = internal transfer of fuel oil; C = bunkering of fuel oil)</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Tank identity; position of ship at time of operation</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Quantity of oil / oily mixture handled, in tonnes or m³</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Running totals of sludge and oily water retained onboard</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Discharge to reception facility: location, port, quantity, receipt reference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Signature of officer in charge; counter-signature of Master</w:t>
      </w:r>
    </w:p>
    <w:p>
      <w:pPr>
        <w:spacing w:after="120" w:line="312"/>
        <w:ind w:firstLine="360"/>
        <w:jc w:val="both"/>
      </w:pPr>
      <w:r>
        <w:rPr>
          <w:rFonts w:ascii="Calibri" w:eastAsia="Microsoft YaHei"/>
          <w:b/>
          <w:bCs/>
          <w:color w:val="1F4E79"/>
          <w:sz w:val="22"/>
          <w:szCs w:val="22"/>
        </w:rPr>
        <w:t xml:space="preserve">Compliance relevance: </w:t>
      </w:r>
      <w:r>
        <w:rPr>
          <w:rFonts w:ascii="Calibri" w:eastAsia="Microsoft YaHei"/>
          <w:color w:val="000000"/>
          <w:sz w:val="22"/>
          <w:szCs w:val="22"/>
        </w:rPr>
        <w:t xml:space="preserve">Mandated by MARPOL Annex I, Regulations 17 (Part I) and 36 (Part II); format defined in Appendix III to Annex I. Failure to maintain the ORB, or false entries, are criminal offences under most flag-state law and have produced multi-million-dollar fines and crew imprisonment in the United States (Act to Prevent Pollution from Ships).</w:t>
      </w:r>
    </w:p>
    <w:p>
      <w:pPr>
        <w:spacing w:after="120" w:line="312"/>
        <w:ind w:firstLine="360"/>
        <w:jc w:val="both"/>
      </w:pPr>
      <w:r>
        <w:rPr>
          <w:rFonts w:ascii="Calibri" w:eastAsia="Microsoft YaHei"/>
          <w:b/>
          <w:bCs/>
          <w:color w:val="1F4E79"/>
          <w:sz w:val="22"/>
          <w:szCs w:val="22"/>
        </w:rPr>
        <w:t xml:space="preserve">Structured extraction possible: </w:t>
      </w:r>
      <w:r>
        <w:rPr>
          <w:rFonts w:ascii="Calibri" w:eastAsia="Microsoft YaHei"/>
          <w:b/>
          <w:bCs/>
          <w:color w:val="B8860B"/>
          <w:sz w:val="22"/>
          <w:szCs w:val="22"/>
        </w:rPr>
        <w:t xml:space="preserve">Mostly</w:t>
      </w:r>
      <w:r>
        <w:rPr>
          <w:rFonts w:ascii="Calibri" w:eastAsia="Microsoft YaHei"/>
          <w:color w:val="000000"/>
          <w:sz w:val="22"/>
          <w:szCs w:val="22"/>
        </w:rPr>
        <w:t xml:space="preserve"> — The per-entry structure is extractable, including MARPOL operation codes. Difficulties: handwritten numerals, signatures, ink-stamp overlap, and reconciling running totals across page breaks. Recommend layout OCR + handwritten-digit confidence scoring with human review of low-confidence rows.</w:t>
      </w:r>
    </w:p>
    <w:p>
      <w:pPr>
        <w:pStyle w:val="Heading2"/>
        <w:spacing w:after="120" w:before="280" w:line="312"/>
      </w:pPr>
      <w:r>
        <w:rPr>
          <w:rFonts w:ascii="Calibri" w:eastAsia="SimHei"/>
          <w:b/>
          <w:bCs/>
          <w:color w:val="1F4E79"/>
          <w:sz w:val="28"/>
          <w:szCs w:val="28"/>
        </w:rPr>
        <w:t xml:space="preserve">4.4  Engine Logbook</w:t>
      </w:r>
    </w:p>
    <w:p>
      <w:pPr>
        <w:spacing w:after="120" w:line="312"/>
        <w:ind w:firstLine="360"/>
        <w:jc w:val="both"/>
      </w:pPr>
      <w:r>
        <w:rPr>
          <w:rFonts w:ascii="Calibri" w:eastAsia="Microsoft YaHei"/>
          <w:b/>
          <w:bCs/>
          <w:color w:val="1F4E79"/>
          <w:sz w:val="22"/>
          <w:szCs w:val="22"/>
        </w:rPr>
        <w:t xml:space="preserve">Purpose: </w:t>
      </w:r>
      <w:r>
        <w:rPr>
          <w:rFonts w:ascii="Calibri" w:eastAsia="Microsoft YaHei"/>
          <w:color w:val="000000"/>
          <w:sz w:val="22"/>
          <w:szCs w:val="22"/>
        </w:rPr>
        <w:t xml:space="preserve">Continuous technical record of engine-room parameters: main and auxiliary engine running hours, temperatures, pressures, fuel and lubricant consumption, maintenance events, and alarms. It is the engineering counterpart to the deck logbook and the source of truth for maintenance planning and warranty claims.</w:t>
      </w:r>
    </w:p>
    <w:p>
      <w:pPr>
        <w:spacing w:after="120" w:line="312"/>
        <w:ind w:firstLine="360"/>
        <w:jc w:val="both"/>
      </w:pPr>
      <w:r>
        <w:rPr>
          <w:rFonts w:ascii="Calibri" w:eastAsia="Microsoft YaHei"/>
          <w:b/>
          <w:bCs/>
          <w:color w:val="1F4E79"/>
          <w:sz w:val="22"/>
          <w:szCs w:val="22"/>
        </w:rPr>
        <w:t xml:space="preserve">Typical format: </w:t>
      </w:r>
      <w:r>
        <w:rPr>
          <w:rFonts w:ascii="Calibri" w:eastAsia="Microsoft YaHei"/>
          <w:color w:val="000000"/>
          <w:sz w:val="22"/>
          <w:szCs w:val="22"/>
        </w:rPr>
        <w:t xml:space="preserve">Bound, ruled, hourly-watch and daily-summary pages. Pre-printed column headers; values handwritten or, on newer ships, printed from the alarm and monitoring system. Often accompanied by digital sensor logs (CSV exports).</w:t>
      </w:r>
    </w:p>
    <w:p>
      <w:pPr>
        <w:spacing w:after="120" w:line="312"/>
        <w:ind w:firstLine="360"/>
        <w:jc w:val="both"/>
      </w:pPr>
      <w:r>
        <w:rPr>
          <w:rFonts w:ascii="Calibri" w:eastAsia="Microsoft YaHei"/>
          <w:b/>
          <w:bCs/>
          <w:color w:val="1F4E79"/>
          <w:sz w:val="22"/>
          <w:szCs w:val="22"/>
        </w:rPr>
        <w:t xml:space="preserve">OCR difficulty: </w:t>
      </w:r>
      <w:r>
        <w:rPr>
          <w:rFonts w:ascii="Calibri" w:eastAsia="Microsoft YaHei"/>
          <w:b/>
          <w:bCs/>
          <w:color w:val="B8860B"/>
          <w:sz w:val="22"/>
          <w:szCs w:val="22"/>
        </w:rPr>
        <w:t xml:space="preserve">Medium</w:t>
      </w:r>
      <w:r>
        <w:rPr>
          <w:rFonts w:ascii="Calibri" w:eastAsia="Microsoft YaHei"/>
          <w:color w:val="000000"/>
          <w:sz w:val="22"/>
          <w:szCs w:val="22"/>
        </w:rPr>
        <w:t xml:space="preserve"> — Dense numerical tables; many columns per row; small handwriting; mixed units (bar, °C, RPM, kW). Tabular OCR is essential. Sensor-printed pages are easy; manual entries are harder.</w:t>
      </w:r>
    </w:p>
    <w:p>
      <w:pPr>
        <w:spacing w:after="120" w:line="312"/>
        <w:jc w:val="both"/>
      </w:pPr>
      <w:r>
        <w:rPr>
          <w:rFonts w:ascii="Calibri" w:eastAsia="Microsoft YaHei"/>
          <w:b/>
          <w:bCs/>
          <w:color w:val="1F4E79"/>
          <w:sz w:val="22"/>
          <w:szCs w:val="22"/>
        </w:rPr>
        <w:t xml:space="preserve">Important fields: </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Date; watch (00–04, 04–08, etc.); ship's position</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Main engine: RPM, power (kW or BHP), exhaust temperatures per cylinder, scavenging air pressure, fuel index</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Auxiliary engines: running hours per generator, kW load</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Boiler: steam pressure, feed-water temperature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Fuel consumption: ME, AE, boiler, by grade; cylinder oil feed rate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Cooling sea water and fresh water temperatures; lubricating oil pressures and temperatures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Maintenance performed, spare parts used, defects and alarms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Chief Engineer signature at end of day</w:t>
      </w:r>
    </w:p>
    <w:p>
      <w:pPr>
        <w:spacing w:after="120" w:line="312"/>
        <w:ind w:firstLine="360"/>
        <w:jc w:val="both"/>
      </w:pPr>
      <w:r>
        <w:rPr>
          <w:rFonts w:ascii="Calibri" w:eastAsia="Microsoft YaHei"/>
          <w:b/>
          <w:bCs/>
          <w:color w:val="1F4E79"/>
          <w:sz w:val="22"/>
          <w:szCs w:val="22"/>
        </w:rPr>
        <w:t xml:space="preserve">Compliance relevance: </w:t>
      </w:r>
      <w:r>
        <w:rPr>
          <w:rFonts w:ascii="Calibri" w:eastAsia="Microsoft YaHei"/>
          <w:color w:val="000000"/>
          <w:sz w:val="22"/>
          <w:szCs w:val="22"/>
        </w:rPr>
        <w:t xml:space="preserve">Required under SOLAS and flag-state regulations (e.g. the ISM Code requires records demonstrating safe operation). Engine logbook data feeds into classification society surveys and is examined after main-engine failures or casualties.</w:t>
      </w:r>
    </w:p>
    <w:p>
      <w:pPr>
        <w:spacing w:after="120" w:line="312"/>
        <w:ind w:firstLine="360"/>
        <w:jc w:val="both"/>
      </w:pPr>
      <w:r>
        <w:rPr>
          <w:rFonts w:ascii="Calibri" w:eastAsia="Microsoft YaHei"/>
          <w:b/>
          <w:bCs/>
          <w:color w:val="1F4E79"/>
          <w:sz w:val="22"/>
          <w:szCs w:val="22"/>
        </w:rPr>
        <w:t xml:space="preserve">Structured extraction possible: </w:t>
      </w:r>
      <w:r>
        <w:rPr>
          <w:rFonts w:ascii="Calibri" w:eastAsia="Microsoft YaHei"/>
          <w:b/>
          <w:bCs/>
          <w:color w:val="B8860B"/>
          <w:sz w:val="22"/>
          <w:szCs w:val="22"/>
        </w:rPr>
        <w:t xml:space="preserve">Mostly</w:t>
      </w:r>
      <w:r>
        <w:rPr>
          <w:rFonts w:ascii="Calibri" w:eastAsia="Microsoft YaHei"/>
          <w:color w:val="000000"/>
          <w:sz w:val="22"/>
          <w:szCs w:val="22"/>
        </w:rPr>
        <w:t xml:space="preserve"> — Tabular extraction works well on printed sensor logs. Handwritten hourly readings need a numeric-focused model. Per-cylinder exhaust-temperature tables (8–12 narrow columns) are the hardest single element.</w:t>
      </w:r>
    </w:p>
    <w:p>
      <w:pPr>
        <w:pStyle w:val="Heading2"/>
        <w:spacing w:after="120" w:before="280" w:line="312"/>
      </w:pPr>
      <w:r>
        <w:rPr>
          <w:rFonts w:ascii="Calibri" w:eastAsia="SimHei"/>
          <w:b/>
          <w:bCs/>
          <w:color w:val="1F4E79"/>
          <w:sz w:val="28"/>
          <w:szCs w:val="28"/>
        </w:rPr>
        <w:t xml:space="preserve">4.5  Garbage Record Book (GRB)</w:t>
      </w:r>
    </w:p>
    <w:p>
      <w:pPr>
        <w:spacing w:after="120" w:line="312"/>
        <w:ind w:firstLine="360"/>
        <w:jc w:val="both"/>
      </w:pPr>
      <w:r>
        <w:rPr>
          <w:rFonts w:ascii="Calibri" w:eastAsia="Microsoft YaHei"/>
          <w:b/>
          <w:bCs/>
          <w:color w:val="1F4E79"/>
          <w:sz w:val="22"/>
          <w:szCs w:val="22"/>
        </w:rPr>
        <w:t xml:space="preserve">Purpose: </w:t>
      </w:r>
      <w:r>
        <w:rPr>
          <w:rFonts w:ascii="Calibri" w:eastAsia="Microsoft YaHei"/>
          <w:color w:val="000000"/>
          <w:sz w:val="22"/>
          <w:szCs w:val="22"/>
        </w:rPr>
        <w:t xml:space="preserve">Statutory log of every garbage discharge, incineration, or delivery-to-reception-facility operation onboard, categorised by MARPOL garbage category. It is the principal evidence of compliance with shipboard waste-management rules.</w:t>
      </w:r>
    </w:p>
    <w:p>
      <w:pPr>
        <w:spacing w:after="120" w:line="312"/>
        <w:ind w:firstLine="360"/>
        <w:jc w:val="both"/>
      </w:pPr>
      <w:r>
        <w:rPr>
          <w:rFonts w:ascii="Calibri" w:eastAsia="Microsoft YaHei"/>
          <w:b/>
          <w:bCs/>
          <w:color w:val="1F4E79"/>
          <w:sz w:val="22"/>
          <w:szCs w:val="22"/>
        </w:rPr>
        <w:t xml:space="preserve">Typical format: </w:t>
      </w:r>
      <w:r>
        <w:rPr>
          <w:rFonts w:ascii="Calibri" w:eastAsia="Microsoft YaHei"/>
          <w:color w:val="000000"/>
          <w:sz w:val="22"/>
          <w:szCs w:val="22"/>
        </w:rPr>
        <w:t xml:space="preserve">Bound, ruled book with pre-printed columns. One entry per garbage operation. Handwritten entries with officer and Master signatures. Two parts (Part I for ships ≥400 GT and ≥15 persons, Part II for ships carrying dangerous goods).</w:t>
      </w:r>
    </w:p>
    <w:p>
      <w:pPr>
        <w:spacing w:after="120" w:line="312"/>
        <w:ind w:firstLine="360"/>
        <w:jc w:val="both"/>
      </w:pPr>
      <w:r>
        <w:rPr>
          <w:rFonts w:ascii="Calibri" w:eastAsia="Microsoft YaHei"/>
          <w:b/>
          <w:bCs/>
          <w:color w:val="1F4E79"/>
          <w:sz w:val="22"/>
          <w:szCs w:val="22"/>
        </w:rPr>
        <w:t xml:space="preserve">OCR difficulty: </w:t>
      </w:r>
      <w:r>
        <w:rPr>
          <w:rFonts w:ascii="Calibri" w:eastAsia="Microsoft YaHei"/>
          <w:b/>
          <w:bCs/>
          <w:color w:val="B8860B"/>
          <w:sz w:val="22"/>
          <w:szCs w:val="22"/>
        </w:rPr>
        <w:t xml:space="preserve">Medium</w:t>
      </w:r>
      <w:r>
        <w:rPr>
          <w:rFonts w:ascii="Calibri" w:eastAsia="Microsoft YaHei"/>
          <w:color w:val="000000"/>
          <w:sz w:val="22"/>
          <w:szCs w:val="22"/>
        </w:rPr>
        <w:t xml:space="preserve"> — Short entries but subject to MARPOL garbage-category codes (A–K), which the OCR layer must map correctly. Incinerator-start/stop times and reception-receipt references are often handwritten.</w:t>
      </w:r>
    </w:p>
    <w:p>
      <w:pPr>
        <w:spacing w:after="120" w:line="312"/>
        <w:jc w:val="both"/>
      </w:pPr>
      <w:r>
        <w:rPr>
          <w:rFonts w:ascii="Calibri" w:eastAsia="Microsoft YaHei"/>
          <w:b/>
          <w:bCs/>
          <w:color w:val="1F4E79"/>
          <w:sz w:val="22"/>
          <w:szCs w:val="22"/>
        </w:rPr>
        <w:t xml:space="preserve">Important fields: </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Date and time of operation; ship's position</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Garbage category (A = plastics; B–K = food wastes, domestic, cooking oil, incinerator ash, operational wastes, animal carcasses, e-waste, cargo residues)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Operation: discharged to sea / incinerated / delivered to reception facility</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Quantity (m³) by category</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Incineration start/stop times and total burned</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Reception facility name, port, receipt number</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Officer-in-charge signature; Master signature</w:t>
      </w:r>
    </w:p>
    <w:p>
      <w:pPr>
        <w:spacing w:after="120" w:line="312"/>
        <w:ind w:firstLine="360"/>
        <w:jc w:val="both"/>
      </w:pPr>
      <w:r>
        <w:rPr>
          <w:rFonts w:ascii="Calibri" w:eastAsia="Microsoft YaHei"/>
          <w:b/>
          <w:bCs/>
          <w:color w:val="1F4E79"/>
          <w:sz w:val="22"/>
          <w:szCs w:val="22"/>
        </w:rPr>
        <w:t xml:space="preserve">Compliance relevance: </w:t>
      </w:r>
      <w:r>
        <w:rPr>
          <w:rFonts w:ascii="Calibri" w:eastAsia="Microsoft YaHei"/>
          <w:color w:val="000000"/>
          <w:sz w:val="22"/>
          <w:szCs w:val="22"/>
        </w:rPr>
        <w:t xml:space="preserve">Mandated by MARPOL Annex V (Regulation 7 for Part I; Regulation 7.1 for Part II). Plastics discharge is prohibited everywhere; other categories are restricted by distance from shore and Special Area status. The GRB is a frequent Port State Control finding.</w:t>
      </w:r>
    </w:p>
    <w:p>
      <w:pPr>
        <w:spacing w:after="120" w:line="312"/>
        <w:ind w:firstLine="360"/>
        <w:jc w:val="both"/>
      </w:pPr>
      <w:r>
        <w:rPr>
          <w:rFonts w:ascii="Calibri" w:eastAsia="Microsoft YaHei"/>
          <w:b/>
          <w:bCs/>
          <w:color w:val="1F4E79"/>
          <w:sz w:val="22"/>
          <w:szCs w:val="22"/>
        </w:rPr>
        <w:t xml:space="preserve">Structured extraction possible: </w:t>
      </w:r>
      <w:r>
        <w:rPr>
          <w:rFonts w:ascii="Calibri" w:eastAsia="Microsoft YaHei"/>
          <w:b/>
          <w:bCs/>
          <w:color w:val="B8860B"/>
          <w:sz w:val="22"/>
          <w:szCs w:val="22"/>
        </w:rPr>
        <w:t xml:space="preserve">Mostly</w:t>
      </w:r>
      <w:r>
        <w:rPr>
          <w:rFonts w:ascii="Calibri" w:eastAsia="Microsoft YaHei"/>
          <w:color w:val="000000"/>
          <w:sz w:val="22"/>
          <w:szCs w:val="22"/>
        </w:rPr>
        <w:t xml:space="preserve"> — Field layout is stable; the GRB is the most tabular of the record books. The main extraction work is mapping free-text category descriptions to MARPOL A–K codes and reconciling cumulative quantities.</w:t>
      </w:r>
    </w:p>
    <w:p>
      <w:pPr>
        <w:pStyle w:val="Heading2"/>
        <w:spacing w:after="120" w:before="280" w:line="312"/>
      </w:pPr>
      <w:r>
        <w:rPr>
          <w:rFonts w:ascii="Calibri" w:eastAsia="SimHei"/>
          <w:b/>
          <w:bCs/>
          <w:color w:val="1F4E79"/>
          <w:sz w:val="28"/>
          <w:szCs w:val="28"/>
        </w:rPr>
        <w:t xml:space="preserve">4.6  Ballast Water Record Book (BWRB)</w:t>
      </w:r>
    </w:p>
    <w:p>
      <w:pPr>
        <w:spacing w:after="120" w:line="312"/>
        <w:ind w:firstLine="360"/>
        <w:jc w:val="both"/>
      </w:pPr>
      <w:r>
        <w:rPr>
          <w:rFonts w:ascii="Calibri" w:eastAsia="Microsoft YaHei"/>
          <w:b/>
          <w:bCs/>
          <w:color w:val="1F4E79"/>
          <w:sz w:val="22"/>
          <w:szCs w:val="22"/>
        </w:rPr>
        <w:t xml:space="preserve">Purpose: </w:t>
      </w:r>
      <w:r>
        <w:rPr>
          <w:rFonts w:ascii="Calibri" w:eastAsia="Microsoft YaHei"/>
          <w:color w:val="000000"/>
          <w:sz w:val="22"/>
          <w:szCs w:val="22"/>
        </w:rPr>
        <w:t xml:space="preserve">Statutory log of every ballast water operation: uptake, transfer, treatment, and discharge, together with the management method used (D-1 exchange, D-2 treatment, or reception facility). It demonstrates compliance with the ballast water performance standard.</w:t>
      </w:r>
    </w:p>
    <w:p>
      <w:pPr>
        <w:spacing w:after="120" w:line="312"/>
        <w:ind w:firstLine="360"/>
        <w:jc w:val="both"/>
      </w:pPr>
      <w:r>
        <w:rPr>
          <w:rFonts w:ascii="Calibri" w:eastAsia="Microsoft YaHei"/>
          <w:b/>
          <w:bCs/>
          <w:color w:val="1F4E79"/>
          <w:sz w:val="22"/>
          <w:szCs w:val="22"/>
        </w:rPr>
        <w:t xml:space="preserve">Typical format: </w:t>
      </w:r>
      <w:r>
        <w:rPr>
          <w:rFonts w:ascii="Calibri" w:eastAsia="Microsoft YaHei"/>
          <w:color w:val="000000"/>
          <w:sz w:val="22"/>
          <w:szCs w:val="22"/>
        </w:rPr>
        <w:t xml:space="preserve">Bound, ruled book with pre-printed codes and columns. Handwritten entries; officer and Master signatures. Code-based (Appendix II of the BWM Convention) so each operation is classified by a letter code.</w:t>
      </w:r>
    </w:p>
    <w:p>
      <w:pPr>
        <w:spacing w:after="120" w:line="312"/>
        <w:ind w:firstLine="360"/>
        <w:jc w:val="both"/>
      </w:pPr>
      <w:r>
        <w:rPr>
          <w:rFonts w:ascii="Calibri" w:eastAsia="Microsoft YaHei"/>
          <w:b/>
          <w:bCs/>
          <w:color w:val="1F4E79"/>
          <w:sz w:val="22"/>
          <w:szCs w:val="22"/>
        </w:rPr>
        <w:t xml:space="preserve">OCR difficulty: </w:t>
      </w:r>
      <w:r>
        <w:rPr>
          <w:rFonts w:ascii="Calibri" w:eastAsia="Microsoft YaHei"/>
          <w:b/>
          <w:bCs/>
          <w:color w:val="B8860B"/>
          <w:sz w:val="22"/>
          <w:szCs w:val="22"/>
        </w:rPr>
        <w:t xml:space="preserve">Medium</w:t>
      </w:r>
      <w:r>
        <w:rPr>
          <w:rFonts w:ascii="Calibri" w:eastAsia="Microsoft YaHei"/>
          <w:color w:val="000000"/>
          <w:sz w:val="22"/>
          <w:szCs w:val="22"/>
        </w:rPr>
        <w:t xml:space="preserve"> — Code-driven entries help structure; the difficulty is in handwritten tank/volume numerals, biological-treatment parameters (e.g. UV dose, active-substance concentration), and verification that D-2 discharge standards were met.</w:t>
      </w:r>
    </w:p>
    <w:p>
      <w:pPr>
        <w:spacing w:after="120" w:line="312"/>
        <w:jc w:val="both"/>
      </w:pPr>
      <w:r>
        <w:rPr>
          <w:rFonts w:ascii="Calibri" w:eastAsia="Microsoft YaHei"/>
          <w:b/>
          <w:bCs/>
          <w:color w:val="1F4E79"/>
          <w:sz w:val="22"/>
          <w:szCs w:val="22"/>
        </w:rPr>
        <w:t xml:space="preserve">Important fields: </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Date and time; ship's position at uptake and discharge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Ballast tank ID; capacity (m³)</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Operation code (A = uptake; B = discharge; C = exchange; D = treatment; etc.)</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Volume uptake / discharge (m³); temperature; salinity</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Management method: D-1 (exchange ≥95% volumetric) or D-2 (treatment — UV, electrochlorination, etc.)</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Treatment-system parameters (UV dose, TRO concentration, neutralisation)</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Sea depth at exchange; distance from nearest land</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Signature of officer in charge; Master signature</w:t>
      </w:r>
    </w:p>
    <w:p>
      <w:pPr>
        <w:spacing w:after="120" w:line="312"/>
        <w:ind w:firstLine="360"/>
        <w:jc w:val="both"/>
      </w:pPr>
      <w:r>
        <w:rPr>
          <w:rFonts w:ascii="Calibri" w:eastAsia="Microsoft YaHei"/>
          <w:b/>
          <w:bCs/>
          <w:color w:val="1F4E79"/>
          <w:sz w:val="22"/>
          <w:szCs w:val="22"/>
        </w:rPr>
        <w:t xml:space="preserve">Compliance relevance: </w:t>
      </w:r>
      <w:r>
        <w:rPr>
          <w:rFonts w:ascii="Calibri" w:eastAsia="Microsoft YaHei"/>
          <w:color w:val="000000"/>
          <w:sz w:val="22"/>
          <w:szCs w:val="22"/>
        </w:rPr>
        <w:t xml:space="preserve">Mandated by the International Convention for the Control and Management of Ships' Ballast Water and Sediments (BWM Convention, in force since 8 September 2017). D-2 performance standard became mandatory for all vessels from 8 September 2024. Non-compliance is a top-five Port State Control deficiency.</w:t>
      </w:r>
    </w:p>
    <w:p>
      <w:pPr>
        <w:spacing w:after="120" w:line="312"/>
        <w:ind w:firstLine="360"/>
        <w:jc w:val="both"/>
      </w:pPr>
      <w:r>
        <w:rPr>
          <w:rFonts w:ascii="Calibri" w:eastAsia="Microsoft YaHei"/>
          <w:b/>
          <w:bCs/>
          <w:color w:val="1F4E79"/>
          <w:sz w:val="22"/>
          <w:szCs w:val="22"/>
        </w:rPr>
        <w:t xml:space="preserve">Structured extraction possible: </w:t>
      </w:r>
      <w:r>
        <w:rPr>
          <w:rFonts w:ascii="Calibri" w:eastAsia="Microsoft YaHei"/>
          <w:b/>
          <w:bCs/>
          <w:color w:val="B8860B"/>
          <w:sz w:val="22"/>
          <w:szCs w:val="22"/>
        </w:rPr>
        <w:t xml:space="preserve">Mostly</w:t>
      </w:r>
      <w:r>
        <w:rPr>
          <w:rFonts w:ascii="Calibri" w:eastAsia="Microsoft YaHei"/>
          <w:color w:val="000000"/>
          <w:sz w:val="22"/>
          <w:szCs w:val="22"/>
        </w:rPr>
        <w:t xml:space="preserve"> — Code structure is well-defined and extractable. Difficulty concentrated in treatment-parameter readings (often handwritten, scientific units) and verifying D-2 discharge-compliance logic.</w:t>
      </w:r>
    </w:p>
    <w:p>
      <w:pPr>
        <w:pStyle w:val="Heading2"/>
        <w:spacing w:after="120" w:before="280" w:line="312"/>
      </w:pPr>
      <w:r>
        <w:rPr>
          <w:rFonts w:ascii="Calibri" w:eastAsia="SimHei"/>
          <w:b/>
          <w:bCs/>
          <w:color w:val="1F4E79"/>
          <w:sz w:val="28"/>
          <w:szCs w:val="28"/>
        </w:rPr>
        <w:t xml:space="preserve">4.7  Crew List</w:t>
      </w:r>
    </w:p>
    <w:p>
      <w:pPr>
        <w:spacing w:after="120" w:line="312"/>
        <w:ind w:firstLine="360"/>
        <w:jc w:val="both"/>
      </w:pPr>
      <w:r>
        <w:rPr>
          <w:rFonts w:ascii="Calibri" w:eastAsia="Microsoft YaHei"/>
          <w:b/>
          <w:bCs/>
          <w:color w:val="1F4E79"/>
          <w:sz w:val="22"/>
          <w:szCs w:val="22"/>
        </w:rPr>
        <w:t xml:space="preserve">Purpose: </w:t>
      </w:r>
      <w:r>
        <w:rPr>
          <w:rFonts w:ascii="Calibri" w:eastAsia="Microsoft YaHei"/>
          <w:color w:val="000000"/>
          <w:sz w:val="22"/>
          <w:szCs w:val="22"/>
        </w:rPr>
        <w:t xml:space="preserve">The official list of all persons onboard a vessel: name, rank, nationality, date and place of birth, seafarer's book and passport numbers, time of joining and sign-off. Submitted to port authorities, immigration, and the flag state; underpins crew wage, repatriation, and immigration compliance.</w:t>
      </w:r>
    </w:p>
    <w:p>
      <w:pPr>
        <w:spacing w:after="120" w:line="312"/>
        <w:ind w:firstLine="360"/>
        <w:jc w:val="both"/>
      </w:pPr>
      <w:r>
        <w:rPr>
          <w:rFonts w:ascii="Calibri" w:eastAsia="Microsoft YaHei"/>
          <w:b/>
          <w:bCs/>
          <w:color w:val="1F4E79"/>
          <w:sz w:val="22"/>
          <w:szCs w:val="22"/>
        </w:rPr>
        <w:t xml:space="preserve">Typical format: </w:t>
      </w:r>
      <w:r>
        <w:rPr>
          <w:rFonts w:ascii="Calibri" w:eastAsia="Microsoft YaHei"/>
          <w:color w:val="000000"/>
          <w:sz w:val="22"/>
          <w:szCs w:val="22"/>
        </w:rPr>
        <w:t xml:space="preserve">Tabular form (one row per crew member). May be a one-page typed list, a printed CSV/PDF from the crewing system, or a stamped manifest. Often issued in duplicate with port authority stamp.</w:t>
      </w:r>
    </w:p>
    <w:p>
      <w:pPr>
        <w:spacing w:after="120" w:line="312"/>
        <w:ind w:firstLine="360"/>
        <w:jc w:val="both"/>
      </w:pPr>
      <w:r>
        <w:rPr>
          <w:rFonts w:ascii="Calibri" w:eastAsia="Microsoft YaHei"/>
          <w:b/>
          <w:bCs/>
          <w:color w:val="1F4E79"/>
          <w:sz w:val="22"/>
          <w:szCs w:val="22"/>
        </w:rPr>
        <w:t xml:space="preserve">OCR difficulty: </w:t>
      </w:r>
      <w:r>
        <w:rPr>
          <w:rFonts w:ascii="Calibri" w:eastAsia="Microsoft YaHei"/>
          <w:b/>
          <w:bCs/>
          <w:color w:val="2E7D32"/>
          <w:sz w:val="22"/>
          <w:szCs w:val="22"/>
        </w:rPr>
        <w:t xml:space="preserve">Low</w:t>
      </w:r>
      <w:r>
        <w:rPr>
          <w:rFonts w:ascii="Calibri" w:eastAsia="Microsoft YaHei"/>
          <w:color w:val="000000"/>
          <w:sz w:val="22"/>
          <w:szCs w:val="22"/>
        </w:rPr>
        <w:t xml:space="preserve"> — Tabular, typed, mostly Latin-script. Risks: non-Latin names (Chinese, Arabic, Cyrillic) transliterated inconsistently; multiple passports/seafarer books per row; port-authority ink stamps overlapping rows.</w:t>
      </w:r>
    </w:p>
    <w:p>
      <w:pPr>
        <w:spacing w:after="120" w:line="312"/>
        <w:jc w:val="both"/>
      </w:pPr>
      <w:r>
        <w:rPr>
          <w:rFonts w:ascii="Calibri" w:eastAsia="Microsoft YaHei"/>
          <w:b/>
          <w:bCs/>
          <w:color w:val="1F4E79"/>
          <w:sz w:val="22"/>
          <w:szCs w:val="22"/>
        </w:rPr>
        <w:t xml:space="preserve">Important fields: </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Vessel name, IMO number, flag, port of registry</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Crew member: family name, given name(s), rank</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Nationality; date and place of birth</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Seafarer's Identification Document (SID) / Continuous Discharge Certificate (CDC) number</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Passport number and expiry; visa numbers where applicable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Date of joining; port of joining; sign-on contract duration</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Next of kin (for emergency and repatriation)</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Total number of crew; signature and stamp of Master</w:t>
      </w:r>
    </w:p>
    <w:p>
      <w:pPr>
        <w:spacing w:after="120" w:line="312"/>
        <w:ind w:firstLine="360"/>
        <w:jc w:val="both"/>
      </w:pPr>
      <w:r>
        <w:rPr>
          <w:rFonts w:ascii="Calibri" w:eastAsia="Microsoft YaHei"/>
          <w:b/>
          <w:bCs/>
          <w:color w:val="1F4E79"/>
          <w:sz w:val="22"/>
          <w:szCs w:val="22"/>
        </w:rPr>
        <w:t xml:space="preserve">Compliance relevance: </w:t>
      </w:r>
      <w:r>
        <w:rPr>
          <w:rFonts w:ascii="Calibri" w:eastAsia="Microsoft YaHei"/>
          <w:color w:val="000000"/>
          <w:sz w:val="22"/>
          <w:szCs w:val="22"/>
        </w:rPr>
        <w:t xml:space="preserve">Required under SOLAS Regulation V/14 (safe manning) and the Maritime Labour Convention, 2006 (MLC) for crew welfare and repatriation. Used at every port arrival for immigration clearance; errors cause fines or vessel detention.</w:t>
      </w:r>
    </w:p>
    <w:p>
      <w:pPr>
        <w:spacing w:after="120" w:line="312"/>
        <w:ind w:firstLine="360"/>
        <w:jc w:val="both"/>
      </w:pPr>
      <w:r>
        <w:rPr>
          <w:rFonts w:ascii="Calibri" w:eastAsia="Microsoft YaHei"/>
          <w:b/>
          <w:bCs/>
          <w:color w:val="1F4E79"/>
          <w:sz w:val="22"/>
          <w:szCs w:val="22"/>
        </w:rPr>
        <w:t xml:space="preserve">Structured extraction possible: </w:t>
      </w:r>
      <w:r>
        <w:rPr>
          <w:rFonts w:ascii="Calibri" w:eastAsia="Microsoft YaHei"/>
          <w:b/>
          <w:bCs/>
          <w:color w:val="2E7D32"/>
          <w:sz w:val="22"/>
          <w:szCs w:val="22"/>
        </w:rPr>
        <w:t xml:space="preserve">Yes</w:t>
      </w:r>
      <w:r>
        <w:rPr>
          <w:rFonts w:ascii="Calibri" w:eastAsia="Microsoft YaHei"/>
          <w:color w:val="000000"/>
          <w:sz w:val="22"/>
          <w:szCs w:val="22"/>
        </w:rPr>
        <w:t xml:space="preserve"> — Clean tabular structure; standardised columns. Non-Latin name handling requires multi-language OCR (Azure's 163-language coverage handles this). A custom extractor reliably produces a JSON crew roster.</w:t>
      </w:r>
    </w:p>
    <w:p>
      <w:pPr>
        <w:pStyle w:val="Heading2"/>
        <w:spacing w:after="120" w:before="280" w:line="312"/>
      </w:pPr>
      <w:r>
        <w:rPr>
          <w:rFonts w:ascii="Calibri" w:eastAsia="SimHei"/>
          <w:b/>
          <w:bCs/>
          <w:color w:val="1F4E79"/>
          <w:sz w:val="28"/>
          <w:szCs w:val="28"/>
        </w:rPr>
        <w:t xml:space="preserve">4.8  Cargo Manifest</w:t>
      </w:r>
    </w:p>
    <w:p>
      <w:pPr>
        <w:spacing w:after="120" w:line="312"/>
        <w:ind w:firstLine="360"/>
        <w:jc w:val="both"/>
      </w:pPr>
      <w:r>
        <w:rPr>
          <w:rFonts w:ascii="Calibri" w:eastAsia="Microsoft YaHei"/>
          <w:b/>
          <w:bCs/>
          <w:color w:val="1F4E79"/>
          <w:sz w:val="22"/>
          <w:szCs w:val="22"/>
        </w:rPr>
        <w:t xml:space="preserve">Purpose: </w:t>
      </w:r>
      <w:r>
        <w:rPr>
          <w:rFonts w:ascii="Calibri" w:eastAsia="Microsoft YaHei"/>
          <w:color w:val="000000"/>
          <w:sz w:val="22"/>
          <w:szCs w:val="22"/>
        </w:rPr>
        <w:t xml:space="preserve">The complete cargo inventory for a voyage: every container or consignment, with description, weight, shipper, consignee, ports of loading and discharge, and dangerous-goods declaration. It is the master reference for stowage, customs, and revenue accounting.</w:t>
      </w:r>
    </w:p>
    <w:p>
      <w:pPr>
        <w:spacing w:after="120" w:line="312"/>
        <w:ind w:firstLine="360"/>
        <w:jc w:val="both"/>
      </w:pPr>
      <w:r>
        <w:rPr>
          <w:rFonts w:ascii="Calibri" w:eastAsia="Microsoft YaHei"/>
          <w:b/>
          <w:bCs/>
          <w:color w:val="1F4E79"/>
          <w:sz w:val="22"/>
          <w:szCs w:val="22"/>
        </w:rPr>
        <w:t xml:space="preserve">Typical format: </w:t>
      </w:r>
      <w:r>
        <w:rPr>
          <w:rFonts w:ascii="Calibri" w:eastAsia="Microsoft YaHei"/>
          <w:color w:val="000000"/>
          <w:sz w:val="22"/>
          <w:szCs w:val="22"/>
        </w:rPr>
        <w:t xml:space="preserve">Long, dense, multi-page table — sometimes hundreds of rows. Carrier-specific template, often delivered as PDF or EDI (BAPLIE / UN/EDIFACT) export. May include a separate dangerous-goods (IMDG) manifest and a reefer-cargo manifest.</w:t>
      </w:r>
    </w:p>
    <w:p>
      <w:pPr>
        <w:spacing w:after="120" w:line="312"/>
        <w:ind w:firstLine="360"/>
        <w:jc w:val="both"/>
      </w:pPr>
      <w:r>
        <w:rPr>
          <w:rFonts w:ascii="Calibri" w:eastAsia="Microsoft YaHei"/>
          <w:b/>
          <w:bCs/>
          <w:color w:val="1F4E79"/>
          <w:sz w:val="22"/>
          <w:szCs w:val="22"/>
        </w:rPr>
        <w:t xml:space="preserve">OCR difficulty: </w:t>
      </w:r>
      <w:r>
        <w:rPr>
          <w:rFonts w:ascii="Calibri" w:eastAsia="Microsoft YaHei"/>
          <w:b/>
          <w:bCs/>
          <w:color w:val="B22222"/>
          <w:sz w:val="22"/>
          <w:szCs w:val="22"/>
        </w:rPr>
        <w:t xml:space="preserve">High</w:t>
      </w:r>
      <w:r>
        <w:rPr>
          <w:rFonts w:ascii="Calibri" w:eastAsia="Microsoft YaHei"/>
          <w:color w:val="000000"/>
          <w:sz w:val="22"/>
          <w:szCs w:val="22"/>
        </w:rPr>
        <w:t xml:space="preserve"> — Many narrow columns; multi-line commodity descriptions; IMO IMDG class codes (e.g. 3, 8, 2.1); container numbers (4 letters + 7 digits with check digit); seal numbers; weights in kg and lb on the same page. Multi-page continuity and column-lineage tracking are hard.</w:t>
      </w:r>
    </w:p>
    <w:p>
      <w:pPr>
        <w:spacing w:after="120" w:line="312"/>
        <w:jc w:val="both"/>
      </w:pPr>
      <w:r>
        <w:rPr>
          <w:rFonts w:ascii="Calibri" w:eastAsia="Microsoft YaHei"/>
          <w:b/>
          <w:bCs/>
          <w:color w:val="1F4E79"/>
          <w:sz w:val="22"/>
          <w:szCs w:val="22"/>
        </w:rPr>
        <w:t xml:space="preserve">Important fields: </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Carrier / vessel name; voyage number; ports of loading and discharge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Container / equipment number (ISO 6346 format) and check digit</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Bill of Lading reference; shipper; consignee; notify party</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Commodity description and HS (Harmonized System) code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Package count and type; gross weight, net weight, volume (TEU / FEU)</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Dangerous goods: IMDG class, UN number, packing group, flashpoint</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Reefer settings: set temperature, ventilation, humidity</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Seal number(s); special stowage instructions (on deck, away from heat)</w:t>
      </w:r>
    </w:p>
    <w:p>
      <w:pPr>
        <w:spacing w:after="120" w:line="312"/>
        <w:ind w:firstLine="360"/>
        <w:jc w:val="both"/>
      </w:pPr>
      <w:r>
        <w:rPr>
          <w:rFonts w:ascii="Calibri" w:eastAsia="Microsoft YaHei"/>
          <w:b/>
          <w:bCs/>
          <w:color w:val="1F4E79"/>
          <w:sz w:val="22"/>
          <w:szCs w:val="22"/>
        </w:rPr>
        <w:t xml:space="preserve">Compliance relevance: </w:t>
      </w:r>
      <w:r>
        <w:rPr>
          <w:rFonts w:ascii="Calibri" w:eastAsia="Microsoft YaHei"/>
          <w:color w:val="000000"/>
          <w:sz w:val="22"/>
          <w:szCs w:val="22"/>
        </w:rPr>
        <w:t xml:space="preserve">Required under SOLAS V/2 (definition of cargo) and the IMO Convention on Facilitation of International Maritime Traffic (FAL). Verified Gross Mass (VGM) declaration under SOLAS is mandatory. IMDG dangerous-goods entries must match the dangerous-goods declaration.</w:t>
      </w:r>
    </w:p>
    <w:p>
      <w:pPr>
        <w:spacing w:after="120" w:line="312"/>
        <w:ind w:firstLine="360"/>
        <w:jc w:val="both"/>
      </w:pPr>
      <w:r>
        <w:rPr>
          <w:rFonts w:ascii="Calibri" w:eastAsia="Microsoft YaHei"/>
          <w:b/>
          <w:bCs/>
          <w:color w:val="1F4E79"/>
          <w:sz w:val="22"/>
          <w:szCs w:val="22"/>
        </w:rPr>
        <w:t xml:space="preserve">Structured extraction possible: </w:t>
      </w:r>
      <w:r>
        <w:rPr>
          <w:rFonts w:ascii="Calibri" w:eastAsia="Microsoft YaHei"/>
          <w:b/>
          <w:bCs/>
          <w:color w:val="B8860B"/>
          <w:sz w:val="22"/>
          <w:szCs w:val="22"/>
        </w:rPr>
        <w:t xml:space="preserve">Mostly</w:t>
      </w:r>
      <w:r>
        <w:rPr>
          <w:rFonts w:ascii="Calibri" w:eastAsia="Microsoft YaHei"/>
          <w:color w:val="000000"/>
          <w:sz w:val="22"/>
          <w:szCs w:val="22"/>
        </w:rPr>
        <w:t xml:space="preserve"> — Table extraction at scale is the core challenge. Azure Document Intelligence's Layout model handles multi-page tables and merged cells well; container-number and seal-number regex validation post-extraction catches most errors. Where EDI is the source, prefer the EDI feed over OCR.</w:t>
      </w:r>
    </w:p>
    <w:p>
      <w:pPr>
        <w:pStyle w:val="Heading2"/>
        <w:spacing w:after="120" w:before="280" w:line="312"/>
      </w:pPr>
      <w:r>
        <w:rPr>
          <w:rFonts w:ascii="Calibri" w:eastAsia="SimHei"/>
          <w:b/>
          <w:bCs/>
          <w:color w:val="1F4E79"/>
          <w:sz w:val="28"/>
          <w:szCs w:val="28"/>
        </w:rPr>
        <w:t xml:space="preserve">4.9  Bill of Lading (B/L)</w:t>
      </w:r>
    </w:p>
    <w:p>
      <w:pPr>
        <w:spacing w:after="120" w:line="312"/>
        <w:ind w:firstLine="360"/>
        <w:jc w:val="both"/>
      </w:pPr>
      <w:r>
        <w:rPr>
          <w:rFonts w:ascii="Calibri" w:eastAsia="Microsoft YaHei"/>
          <w:b/>
          <w:bCs/>
          <w:color w:val="1F4E79"/>
          <w:sz w:val="22"/>
          <w:szCs w:val="22"/>
        </w:rPr>
        <w:t xml:space="preserve">Purpose: </w:t>
      </w:r>
      <w:r>
        <w:rPr>
          <w:rFonts w:ascii="Calibri" w:eastAsia="Microsoft YaHei"/>
          <w:color w:val="000000"/>
          <w:sz w:val="22"/>
          <w:szCs w:val="22"/>
        </w:rPr>
        <w:t xml:space="preserve">Three-function document: receipt for cargo, evidence of the contract of carriage, and document of title (transferable). The B/L governs release of cargo at destination and underpins letters of credit in international trade.</w:t>
      </w:r>
    </w:p>
    <w:p>
      <w:pPr>
        <w:spacing w:after="120" w:line="312"/>
        <w:ind w:firstLine="360"/>
        <w:jc w:val="both"/>
      </w:pPr>
      <w:r>
        <w:rPr>
          <w:rFonts w:ascii="Calibri" w:eastAsia="Microsoft YaHei"/>
          <w:b/>
          <w:bCs/>
          <w:color w:val="1F4E79"/>
          <w:sz w:val="22"/>
          <w:szCs w:val="22"/>
        </w:rPr>
        <w:t xml:space="preserve">Typical format: </w:t>
      </w:r>
      <w:r>
        <w:rPr>
          <w:rFonts w:ascii="Calibri" w:eastAsia="Microsoft YaHei"/>
          <w:color w:val="000000"/>
          <w:sz w:val="22"/>
          <w:szCs w:val="22"/>
        </w:rPr>
        <w:t xml:space="preserve">One-to-three page carrier-specific form. Mix of pre-printed terms and conditions (often very small font, dense legalese) and typed cargo/parties data. Frequently stamped and endorsed on the reverse. Originals are negotiable instruments.</w:t>
      </w:r>
    </w:p>
    <w:p>
      <w:pPr>
        <w:spacing w:after="120" w:line="312"/>
        <w:ind w:firstLine="360"/>
        <w:jc w:val="both"/>
      </w:pPr>
      <w:r>
        <w:rPr>
          <w:rFonts w:ascii="Calibri" w:eastAsia="Microsoft YaHei"/>
          <w:b/>
          <w:bCs/>
          <w:color w:val="1F4E79"/>
          <w:sz w:val="22"/>
          <w:szCs w:val="22"/>
        </w:rPr>
        <w:t xml:space="preserve">OCR difficulty: </w:t>
      </w:r>
      <w:r>
        <w:rPr>
          <w:rFonts w:ascii="Calibri" w:eastAsia="Microsoft YaHei"/>
          <w:b/>
          <w:bCs/>
          <w:color w:val="B22222"/>
          <w:sz w:val="22"/>
          <w:szCs w:val="22"/>
        </w:rPr>
        <w:t xml:space="preserve">High</w:t>
      </w:r>
      <w:r>
        <w:rPr>
          <w:rFonts w:ascii="Calibri" w:eastAsia="Microsoft YaHei"/>
          <w:color w:val="000000"/>
          <w:sz w:val="22"/>
          <w:szCs w:val="22"/>
        </w:rPr>
        <w:t xml:space="preserve"> — Template variance across hundreds of carriers; multilingual variants (Chinese, Arabic, Spanish B/Ls are common); stamped endorsements; multi-line cargo descriptions with measurements; small-font terms on the reverse.</w:t>
      </w:r>
    </w:p>
    <w:p>
      <w:pPr>
        <w:spacing w:after="120" w:line="312"/>
        <w:jc w:val="both"/>
      </w:pPr>
      <w:r>
        <w:rPr>
          <w:rFonts w:ascii="Calibri" w:eastAsia="Microsoft YaHei"/>
          <w:b/>
          <w:bCs/>
          <w:color w:val="1F4E79"/>
          <w:sz w:val="22"/>
          <w:szCs w:val="22"/>
        </w:rPr>
        <w:t xml:space="preserve">Important fields: </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Shipper; consignee (or 'to order'); notify party</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Vessel name; voyage number; port of loading; port of discharge; place of delivery</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B/L number and original-issue count (e.g. '3/3 original Bills of Lading')</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Marks and numbers; container and seal numbers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Number and kind of packages; commodity description</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Gross weight; measurement (CBM); total packages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Freight terms (prepaid / collect); freight payer</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Place and date of issue; carrier signature; shipper signature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Endorsements on the reverse (for negotiable B/Ls)</w:t>
      </w:r>
    </w:p>
    <w:p>
      <w:pPr>
        <w:spacing w:after="120" w:line="312"/>
        <w:ind w:firstLine="360"/>
        <w:jc w:val="both"/>
      </w:pPr>
      <w:r>
        <w:rPr>
          <w:rFonts w:ascii="Calibri" w:eastAsia="Microsoft YaHei"/>
          <w:b/>
          <w:bCs/>
          <w:color w:val="1F4E79"/>
          <w:sz w:val="22"/>
          <w:szCs w:val="22"/>
        </w:rPr>
        <w:t xml:space="preserve">Compliance relevance: </w:t>
      </w:r>
      <w:r>
        <w:rPr>
          <w:rFonts w:ascii="Calibri" w:eastAsia="Microsoft YaHei"/>
          <w:color w:val="000000"/>
          <w:sz w:val="22"/>
          <w:szCs w:val="22"/>
        </w:rPr>
        <w:t xml:space="preserve">Governed by the Hague Rules, Hague-Visby Rules, or the Rotterdam Rules depending on trade route. Letter-of-credit (UCP 600) compliance requires exact matching of B/L data to the credit terms. Errors cause refusal of payment by banks.</w:t>
      </w:r>
    </w:p>
    <w:p>
      <w:pPr>
        <w:spacing w:after="120" w:line="312"/>
        <w:ind w:firstLine="360"/>
        <w:jc w:val="both"/>
      </w:pPr>
      <w:r>
        <w:rPr>
          <w:rFonts w:ascii="Calibri" w:eastAsia="Microsoft YaHei"/>
          <w:b/>
          <w:bCs/>
          <w:color w:val="1F4E79"/>
          <w:sz w:val="22"/>
          <w:szCs w:val="22"/>
        </w:rPr>
        <w:t xml:space="preserve">Structured extraction possible: </w:t>
      </w:r>
      <w:r>
        <w:rPr>
          <w:rFonts w:ascii="Calibri" w:eastAsia="Microsoft YaHei"/>
          <w:b/>
          <w:bCs/>
          <w:color w:val="B8860B"/>
          <w:sz w:val="22"/>
          <w:szCs w:val="22"/>
        </w:rPr>
        <w:t xml:space="preserve">Mostly</w:t>
      </w:r>
      <w:r>
        <w:rPr>
          <w:rFonts w:ascii="Calibri" w:eastAsia="Microsoft YaHei"/>
          <w:color w:val="000000"/>
          <w:sz w:val="22"/>
          <w:szCs w:val="22"/>
        </w:rPr>
        <w:t xml:space="preserve"> — Headline commercial fields (parties, vessel, ports, cargo, B/L number) extract reliably with a custom model trained across carrier templates. The reverse-side terms and the freight-and-charges block need generative extraction. Mature OCR vendors quote 95–99% on B/L headline fields.</w:t>
      </w:r>
    </w:p>
    <w:p>
      <w:pPr>
        <w:pStyle w:val="Heading2"/>
        <w:spacing w:after="120" w:before="280" w:line="312"/>
      </w:pPr>
      <w:r>
        <w:rPr>
          <w:rFonts w:ascii="Calibri" w:eastAsia="SimHei"/>
          <w:b/>
          <w:bCs/>
          <w:color w:val="1F4E79"/>
          <w:sz w:val="28"/>
          <w:szCs w:val="28"/>
        </w:rPr>
        <w:t xml:space="preserve">4.10  Charter Party</w:t>
      </w:r>
    </w:p>
    <w:p>
      <w:pPr>
        <w:spacing w:after="120" w:line="312"/>
        <w:ind w:firstLine="360"/>
        <w:jc w:val="both"/>
      </w:pPr>
      <w:r>
        <w:rPr>
          <w:rFonts w:ascii="Calibri" w:eastAsia="Microsoft YaHei"/>
          <w:b/>
          <w:bCs/>
          <w:color w:val="1F4E79"/>
          <w:sz w:val="22"/>
          <w:szCs w:val="22"/>
        </w:rPr>
        <w:t xml:space="preserve">Purpose: </w:t>
      </w:r>
      <w:r>
        <w:rPr>
          <w:rFonts w:ascii="Calibri" w:eastAsia="Microsoft YaHei"/>
          <w:color w:val="000000"/>
          <w:sz w:val="22"/>
          <w:szCs w:val="22"/>
        </w:rPr>
        <w:t xml:space="preserve">The contract of hire between shipowner and charterer. Three main forms: voyage charter (one voyage), time charter (a period), and bareboat/demise charter (full possession). It fixes hire rate, duration, permitted trades, and the parties' obligations.</w:t>
      </w:r>
    </w:p>
    <w:p>
      <w:pPr>
        <w:spacing w:after="120" w:line="312"/>
        <w:ind w:firstLine="360"/>
        <w:jc w:val="both"/>
      </w:pPr>
      <w:r>
        <w:rPr>
          <w:rFonts w:ascii="Calibri" w:eastAsia="Microsoft YaHei"/>
          <w:b/>
          <w:bCs/>
          <w:color w:val="1F4E79"/>
          <w:sz w:val="22"/>
          <w:szCs w:val="22"/>
        </w:rPr>
        <w:t xml:space="preserve">Typical format: </w:t>
      </w:r>
      <w:r>
        <w:rPr>
          <w:rFonts w:ascii="Calibri" w:eastAsia="Microsoft YaHei"/>
          <w:color w:val="000000"/>
          <w:sz w:val="22"/>
          <w:szCs w:val="22"/>
        </w:rPr>
        <w:t xml:space="preserve">Multi-page contract built on a standard form (e.g. GENCON, NYPE, BALTIME, SHELLTIME) with rider clauses and agreed amendments. Increasingly executed as a PDF; many still circulated as scanned counterpart-signed copies with fixtures agreed by email recap.</w:t>
      </w:r>
    </w:p>
    <w:p>
      <w:pPr>
        <w:spacing w:after="120" w:line="312"/>
        <w:ind w:firstLine="360"/>
        <w:jc w:val="both"/>
      </w:pPr>
      <w:r>
        <w:rPr>
          <w:rFonts w:ascii="Calibri" w:eastAsia="Microsoft YaHei"/>
          <w:b/>
          <w:bCs/>
          <w:color w:val="1F4E79"/>
          <w:sz w:val="22"/>
          <w:szCs w:val="22"/>
        </w:rPr>
        <w:t xml:space="preserve">OCR difficulty: </w:t>
      </w:r>
      <w:r>
        <w:rPr>
          <w:rFonts w:ascii="Calibri" w:eastAsia="Microsoft YaHei"/>
          <w:b/>
          <w:bCs/>
          <w:color w:val="B22222"/>
          <w:sz w:val="22"/>
          <w:szCs w:val="22"/>
        </w:rPr>
        <w:t xml:space="preserve">High</w:t>
      </w:r>
      <w:r>
        <w:rPr>
          <w:rFonts w:ascii="Calibri" w:eastAsia="Microsoft YaHei"/>
          <w:color w:val="000000"/>
          <w:sz w:val="22"/>
          <w:szCs w:val="22"/>
        </w:rPr>
        <w:t xml:space="preserve"> — Long-form free-text legal clauses, clause-numbering, multiple amendment layers (rider to rider to rider), and a separate recap email that often supersedes the printed form. Mixed typed/handwritten amendments; initialled changes per page.</w:t>
      </w:r>
    </w:p>
    <w:p>
      <w:pPr>
        <w:spacing w:after="120" w:line="312"/>
        <w:jc w:val="both"/>
      </w:pPr>
      <w:r>
        <w:rPr>
          <w:rFonts w:ascii="Calibri" w:eastAsia="Microsoft YaHei"/>
          <w:b/>
          <w:bCs/>
          <w:color w:val="1F4E79"/>
          <w:sz w:val="22"/>
          <w:szCs w:val="22"/>
        </w:rPr>
        <w:t xml:space="preserve">Important fields: </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Owner; charterer; broker(s)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Vessel particulars: name, IMO, flag, class, DWT, GRT, draft, LOA, grain/bale capacity, speed and consumption</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Charter type and period (time) or voyage (with load/discharge ports and laycan)</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Hire rate (USD/day or lump sum) and payment terms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Speed and consumption warranty (laden/ballast, by grade)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Bunkers on delivery and redelivery (quantity and price)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Off-hire clauses; laytime and demurrage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Trading limits and exclusions; sublet and assignment rights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Law and arbitration clause (London, New York, Singapore)</w:t>
      </w:r>
    </w:p>
    <w:p>
      <w:pPr>
        <w:spacing w:after="120" w:line="312"/>
        <w:ind w:firstLine="360"/>
        <w:jc w:val="both"/>
      </w:pPr>
      <w:r>
        <w:rPr>
          <w:rFonts w:ascii="Calibri" w:eastAsia="Microsoft YaHei"/>
          <w:b/>
          <w:bCs/>
          <w:color w:val="1F4E79"/>
          <w:sz w:val="22"/>
          <w:szCs w:val="22"/>
        </w:rPr>
        <w:t xml:space="preserve">Compliance relevance: </w:t>
      </w:r>
      <w:r>
        <w:rPr>
          <w:rFonts w:ascii="Calibri" w:eastAsia="Microsoft YaHei"/>
          <w:color w:val="000000"/>
          <w:sz w:val="22"/>
          <w:szCs w:val="22"/>
        </w:rPr>
        <w:t xml:space="preserve">Pure commercial contract — not a statutory document — but governs billions of dollars of trade and is the most-litigated document in shipping. Compliance relevance is to the operator's internal contract-management obligations and ISM documentation.</w:t>
      </w:r>
    </w:p>
    <w:p>
      <w:pPr>
        <w:spacing w:after="120" w:line="312"/>
        <w:ind w:firstLine="360"/>
        <w:jc w:val="both"/>
      </w:pPr>
      <w:r>
        <w:rPr>
          <w:rFonts w:ascii="Calibri" w:eastAsia="Microsoft YaHei"/>
          <w:b/>
          <w:bCs/>
          <w:color w:val="1F4E79"/>
          <w:sz w:val="22"/>
          <w:szCs w:val="22"/>
        </w:rPr>
        <w:t xml:space="preserve">Structured extraction possible: </w:t>
      </w:r>
      <w:r>
        <w:rPr>
          <w:rFonts w:ascii="Calibri" w:eastAsia="Microsoft YaHei"/>
          <w:b/>
          <w:bCs/>
          <w:color w:val="B8860B"/>
          <w:sz w:val="22"/>
          <w:szCs w:val="22"/>
        </w:rPr>
        <w:t xml:space="preserve">Partial</w:t>
      </w:r>
      <w:r>
        <w:rPr>
          <w:rFonts w:ascii="Calibri" w:eastAsia="Microsoft YaHei"/>
          <w:color w:val="000000"/>
          <w:sz w:val="22"/>
          <w:szCs w:val="22"/>
        </w:rPr>
        <w:t xml:space="preserve"> — Box-form fields (vessel particulars, hire, period) extract reliably with a templated extractor. Free-text clauses, rider amendments, and the recap-vs-form precedence problem require a generative extraction layer (LLM) and cannot be solved by layout OCR alone.</w:t>
      </w:r>
    </w:p>
    <w:p>
      <w:pPr>
        <w:pStyle w:val="Heading2"/>
        <w:spacing w:after="120" w:before="280" w:line="312"/>
      </w:pPr>
      <w:r>
        <w:rPr>
          <w:rFonts w:ascii="Calibri" w:eastAsia="SimHei"/>
          <w:b/>
          <w:bCs/>
          <w:color w:val="1F4E79"/>
          <w:sz w:val="28"/>
          <w:szCs w:val="28"/>
        </w:rPr>
        <w:t xml:space="preserve">4.11  Port Clearance (Port Documents Bundle)</w:t>
      </w:r>
    </w:p>
    <w:p>
      <w:pPr>
        <w:spacing w:after="120" w:line="312"/>
        <w:ind w:firstLine="360"/>
        <w:jc w:val="both"/>
      </w:pPr>
      <w:r>
        <w:rPr>
          <w:rFonts w:ascii="Calibri" w:eastAsia="Microsoft YaHei"/>
          <w:b/>
          <w:bCs/>
          <w:color w:val="1F4E79"/>
          <w:sz w:val="22"/>
          <w:szCs w:val="22"/>
        </w:rPr>
        <w:t xml:space="preserve">Purpose: </w:t>
      </w:r>
      <w:r>
        <w:rPr>
          <w:rFonts w:ascii="Calibri" w:eastAsia="Microsoft YaHei"/>
          <w:color w:val="000000"/>
          <w:sz w:val="22"/>
          <w:szCs w:val="22"/>
        </w:rPr>
        <w:t xml:space="preserve">Collective term for the bundle of documents a vessel submits to and receives from port, customs, immigration, and health authorities at each port call: Notice of Arrival, General Declaration, Cargo Declaration, Crew Effects Declaration, Stores and Provisions List, and the outward Port Clearance certificate itself.</w:t>
      </w:r>
    </w:p>
    <w:p>
      <w:pPr>
        <w:spacing w:after="120" w:line="312"/>
        <w:ind w:firstLine="360"/>
        <w:jc w:val="both"/>
      </w:pPr>
      <w:r>
        <w:rPr>
          <w:rFonts w:ascii="Calibri" w:eastAsia="Microsoft YaHei"/>
          <w:b/>
          <w:bCs/>
          <w:color w:val="1F4E79"/>
          <w:sz w:val="22"/>
          <w:szCs w:val="22"/>
        </w:rPr>
        <w:t xml:space="preserve">Typical format: </w:t>
      </w:r>
      <w:r>
        <w:rPr>
          <w:rFonts w:ascii="Calibri" w:eastAsia="Microsoft YaHei"/>
          <w:color w:val="000000"/>
          <w:sz w:val="22"/>
          <w:szCs w:val="22"/>
        </w:rPr>
        <w:t xml:space="preserve">Heterogeneous: a mix of standardised IMO FAL forms (FAL Form 1–7), national custom forms, and free-text letters. Often a multi-page PDF assembled by the agent. The outward clearance itself is a one-page stamped certificate.</w:t>
      </w:r>
    </w:p>
    <w:p>
      <w:pPr>
        <w:spacing w:after="120" w:line="312"/>
        <w:ind w:firstLine="360"/>
        <w:jc w:val="both"/>
      </w:pPr>
      <w:r>
        <w:rPr>
          <w:rFonts w:ascii="Calibri" w:eastAsia="Microsoft YaHei"/>
          <w:b/>
          <w:bCs/>
          <w:color w:val="1F4E79"/>
          <w:sz w:val="22"/>
          <w:szCs w:val="22"/>
        </w:rPr>
        <w:t xml:space="preserve">OCR difficulty: </w:t>
      </w:r>
      <w:r>
        <w:rPr>
          <w:rFonts w:ascii="Calibri" w:eastAsia="Microsoft YaHei"/>
          <w:b/>
          <w:bCs/>
          <w:color w:val="B8860B"/>
          <w:sz w:val="22"/>
          <w:szCs w:val="22"/>
        </w:rPr>
        <w:t xml:space="preserve">Medium</w:t>
      </w:r>
      <w:r>
        <w:rPr>
          <w:rFonts w:ascii="Calibri" w:eastAsia="Microsoft YaHei"/>
          <w:color w:val="000000"/>
          <w:sz w:val="22"/>
          <w:szCs w:val="22"/>
        </w:rPr>
        <w:t xml:space="preserve"> — Standardised FAL forms extract cleanly; national customs forms vary by country; the clearance certificate is a one-page stamp-heavy certificate. Mixed languages (Spanish, Arabic, Chinese port documents are common).</w:t>
      </w:r>
    </w:p>
    <w:p>
      <w:pPr>
        <w:spacing w:after="120" w:line="312"/>
        <w:jc w:val="both"/>
      </w:pPr>
      <w:r>
        <w:rPr>
          <w:rFonts w:ascii="Calibri" w:eastAsia="Microsoft YaHei"/>
          <w:b/>
          <w:bCs/>
          <w:color w:val="1F4E79"/>
          <w:sz w:val="22"/>
          <w:szCs w:val="22"/>
        </w:rPr>
        <w:t xml:space="preserve">Important fields: </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General Declaration (FAL Form 3): vessel, voyage, crew count, cargo summary</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Cargo Declaration (FAL Form 4 / cargo manifest reference)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Crew list and passenger list references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Ship's Stores Declaration (FAL Form 6) and Provisions List</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Crew's Effects Declaration (FAL Form 5)</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Maritime Declaration of Health (FAL Form 8)</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Port of call, dates of arrival and departure, berth</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Customs and immigration stamps; agent details; clearance number and validity</w:t>
      </w:r>
    </w:p>
    <w:p>
      <w:pPr>
        <w:spacing w:after="120" w:line="312"/>
        <w:ind w:firstLine="360"/>
        <w:jc w:val="both"/>
      </w:pPr>
      <w:r>
        <w:rPr>
          <w:rFonts w:ascii="Calibri" w:eastAsia="Microsoft YaHei"/>
          <w:b/>
          <w:bCs/>
          <w:color w:val="1F4E79"/>
          <w:sz w:val="22"/>
          <w:szCs w:val="22"/>
        </w:rPr>
        <w:t xml:space="preserve">Compliance relevance: </w:t>
      </w:r>
      <w:r>
        <w:rPr>
          <w:rFonts w:ascii="Calibri" w:eastAsia="Microsoft YaHei"/>
          <w:color w:val="000000"/>
          <w:sz w:val="22"/>
          <w:szCs w:val="22"/>
        </w:rPr>
        <w:t xml:space="preserve">Required under the IMO FAL Convention (Convention on Facilitation of International Maritime Traffic), which mandates the standardised FAL forms and a single-window submission. Without valid clearance, the vessel cannot lawfully enter or leave port.</w:t>
      </w:r>
    </w:p>
    <w:p>
      <w:pPr>
        <w:spacing w:after="120" w:line="312"/>
        <w:ind w:firstLine="360"/>
        <w:jc w:val="both"/>
      </w:pPr>
      <w:r>
        <w:rPr>
          <w:rFonts w:ascii="Calibri" w:eastAsia="Microsoft YaHei"/>
          <w:b/>
          <w:bCs/>
          <w:color w:val="1F4E79"/>
          <w:sz w:val="22"/>
          <w:szCs w:val="22"/>
        </w:rPr>
        <w:t xml:space="preserve">Structured extraction possible: </w:t>
      </w:r>
      <w:r>
        <w:rPr>
          <w:rFonts w:ascii="Calibri" w:eastAsia="Microsoft YaHei"/>
          <w:b/>
          <w:bCs/>
          <w:color w:val="B8860B"/>
          <w:sz w:val="22"/>
          <w:szCs w:val="22"/>
        </w:rPr>
        <w:t xml:space="preserve">Mostly</w:t>
      </w:r>
      <w:r>
        <w:rPr>
          <w:rFonts w:ascii="Calibri" w:eastAsia="Microsoft YaHei"/>
          <w:color w:val="000000"/>
          <w:sz w:val="22"/>
          <w:szCs w:val="22"/>
        </w:rPr>
        <w:t xml:space="preserve"> — FAL forms have a stable field layout and extract well. The port-clearance certificate itself is a one-page stamped document with a small number of high-value fields (clearance number, port, date, validity). National custom-form variety is the main residual difficulty.</w:t>
      </w:r>
    </w:p>
    <w:p>
      <w:pPr>
        <w:pStyle w:val="Heading2"/>
        <w:spacing w:after="120" w:before="280" w:line="312"/>
      </w:pPr>
      <w:r>
        <w:rPr>
          <w:rFonts w:ascii="Calibri" w:eastAsia="SimHei"/>
          <w:b/>
          <w:bCs/>
          <w:color w:val="1F4E79"/>
          <w:sz w:val="28"/>
          <w:szCs w:val="28"/>
        </w:rPr>
        <w:t xml:space="preserve">4.12  Statutory Certificates</w:t>
      </w:r>
    </w:p>
    <w:p>
      <w:pPr>
        <w:spacing w:after="120" w:line="312"/>
        <w:ind w:firstLine="360"/>
        <w:jc w:val="both"/>
      </w:pPr>
      <w:r>
        <w:rPr>
          <w:rFonts w:ascii="Calibri" w:eastAsia="Microsoft YaHei"/>
          <w:b/>
          <w:bCs/>
          <w:color w:val="1F4E79"/>
          <w:sz w:val="22"/>
          <w:szCs w:val="22"/>
        </w:rPr>
        <w:t xml:space="preserve">Purpose: </w:t>
      </w:r>
      <w:r>
        <w:rPr>
          <w:rFonts w:ascii="Calibri" w:eastAsia="Microsoft YaHei"/>
          <w:color w:val="000000"/>
          <w:sz w:val="22"/>
          <w:szCs w:val="22"/>
        </w:rPr>
        <w:t xml:space="preserve">Certificates issued by or on behalf of the flag state under international conventions, attesting that the vessel complies with that convention. The core set under SOLAS, MARPOL, ITC 1969 and ILL 1966 permits the vessel to trade internationally.</w:t>
      </w:r>
    </w:p>
    <w:p>
      <w:pPr>
        <w:spacing w:after="120" w:line="312"/>
        <w:ind w:firstLine="360"/>
        <w:jc w:val="both"/>
      </w:pPr>
      <w:r>
        <w:rPr>
          <w:rFonts w:ascii="Calibri" w:eastAsia="Microsoft YaHei"/>
          <w:b/>
          <w:bCs/>
          <w:color w:val="1F4E79"/>
          <w:sz w:val="22"/>
          <w:szCs w:val="22"/>
        </w:rPr>
        <w:t xml:space="preserve">Typical format: </w:t>
      </w:r>
      <w:r>
        <w:rPr>
          <w:rFonts w:ascii="Calibri" w:eastAsia="Microsoft YaHei"/>
          <w:color w:val="000000"/>
          <w:sz w:val="22"/>
          <w:szCs w:val="22"/>
        </w:rPr>
        <w:t xml:space="preserve">One-page A4 certificates, flag-state specific template, often on watermarked paper with the flag-state coat of arms. Printed; signed and stamped by the flag-state surveyor or Recognized Organization. Long validity titles may run to two pages.</w:t>
      </w:r>
    </w:p>
    <w:p>
      <w:pPr>
        <w:spacing w:after="120" w:line="312"/>
        <w:ind w:firstLine="360"/>
        <w:jc w:val="both"/>
      </w:pPr>
      <w:r>
        <w:rPr>
          <w:rFonts w:ascii="Calibri" w:eastAsia="Microsoft YaHei"/>
          <w:b/>
          <w:bCs/>
          <w:color w:val="1F4E79"/>
          <w:sz w:val="22"/>
          <w:szCs w:val="22"/>
        </w:rPr>
        <w:t xml:space="preserve">OCR difficulty: </w:t>
      </w:r>
      <w:r>
        <w:rPr>
          <w:rFonts w:ascii="Calibri" w:eastAsia="Microsoft YaHei"/>
          <w:b/>
          <w:bCs/>
          <w:color w:val="B8860B"/>
          <w:sz w:val="22"/>
          <w:szCs w:val="22"/>
        </w:rPr>
        <w:t xml:space="preserve">Medium</w:t>
      </w:r>
      <w:r>
        <w:rPr>
          <w:rFonts w:ascii="Calibri" w:eastAsia="Microsoft YaHei"/>
          <w:color w:val="000000"/>
          <w:sz w:val="22"/>
          <w:szCs w:val="22"/>
        </w:rPr>
        <w:t xml:space="preserve"> — Stable per-issuer templates; the challenge is the long tail of issuers (≈180 flag states and territories) and the variety of certificate types. Expiry dates and condition-of-issue text need careful extraction.</w:t>
      </w:r>
    </w:p>
    <w:p>
      <w:pPr>
        <w:spacing w:after="120" w:line="312"/>
        <w:jc w:val="both"/>
      </w:pPr>
      <w:r>
        <w:rPr>
          <w:rFonts w:ascii="Calibri" w:eastAsia="Microsoft YaHei"/>
          <w:b/>
          <w:bCs/>
          <w:color w:val="1F4E79"/>
          <w:sz w:val="22"/>
          <w:szCs w:val="22"/>
        </w:rPr>
        <w:t xml:space="preserve">Important fields: </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Vessel name, IMO number, distinctive number or letters, port of registry, flag</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Certificate type (e.g. Cargo Ship Safety Construction, Cargo Ship Safety Equipment, Cargo Ship Safety Radio, IOPP, IAPP, ISM DOC/SMC, ISPS ISSC)</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Issuing authority / Recognized Organization (e.g. DNV, LR, ABS, BV, RINA, ClassNK)</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Date of issue; date of expiry; place of issue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Survey type and reference; additional notations / footnotes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Official stamp; surveyor signature and RO stamp</w:t>
      </w:r>
    </w:p>
    <w:p>
      <w:pPr>
        <w:spacing w:after="120" w:line="312"/>
        <w:ind w:firstLine="360"/>
        <w:jc w:val="both"/>
      </w:pPr>
      <w:r>
        <w:rPr>
          <w:rFonts w:ascii="Calibri" w:eastAsia="Microsoft YaHei"/>
          <w:b/>
          <w:bCs/>
          <w:color w:val="1F4E79"/>
          <w:sz w:val="22"/>
          <w:szCs w:val="22"/>
        </w:rPr>
        <w:t xml:space="preserve">Compliance relevance: </w:t>
      </w:r>
      <w:r>
        <w:rPr>
          <w:rFonts w:ascii="Calibri" w:eastAsia="Microsoft YaHei"/>
          <w:color w:val="000000"/>
          <w:sz w:val="22"/>
          <w:szCs w:val="22"/>
        </w:rPr>
        <w:t xml:space="preserve">Mandatory under SOLAS (Reg. I/12), MARPOL (each Annex), ITC 1969, ILL 1966, ISM Code, ISPS Code. A missing or expired statutory certificate is grounds for vessel detention under the Tokyo and Paris MOUs on Port State Control. The Certificate of Registry and Continuous Synopsis Record (CSR) are the identity anchor for every vessel.</w:t>
      </w:r>
    </w:p>
    <w:p>
      <w:pPr>
        <w:spacing w:after="120" w:line="312"/>
        <w:ind w:firstLine="360"/>
        <w:jc w:val="both"/>
      </w:pPr>
      <w:r>
        <w:rPr>
          <w:rFonts w:ascii="Calibri" w:eastAsia="Microsoft YaHei"/>
          <w:b/>
          <w:bCs/>
          <w:color w:val="1F4E79"/>
          <w:sz w:val="22"/>
          <w:szCs w:val="22"/>
        </w:rPr>
        <w:t xml:space="preserve">Structured extraction possible: </w:t>
      </w:r>
      <w:r>
        <w:rPr>
          <w:rFonts w:ascii="Calibri" w:eastAsia="Microsoft YaHei"/>
          <w:b/>
          <w:bCs/>
          <w:color w:val="B8860B"/>
          <w:sz w:val="22"/>
          <w:szCs w:val="22"/>
        </w:rPr>
        <w:t xml:space="preserve">Mostly</w:t>
      </w:r>
      <w:r>
        <w:rPr>
          <w:rFonts w:ascii="Calibri" w:eastAsia="Microsoft YaHei"/>
          <w:color w:val="000000"/>
          <w:sz w:val="22"/>
          <w:szCs w:val="22"/>
        </w:rPr>
        <w:t xml:space="preserve"> — Templates are stable per issuer; a custom extractor with one model per major Recognized Organization (≈10 ROs) covers the majority of the fleet. The single highest-value extraction target is the expiry-date / status triad (issue, expiry, suspended). Year-on-year renewal extraction enables a fleet-wide expiry-monitoring dashboard.</w:t>
      </w:r>
    </w:p>
    <w:p>
      <w:pPr>
        <w:pStyle w:val="Heading2"/>
        <w:spacing w:after="120" w:before="280" w:line="312"/>
      </w:pPr>
      <w:r>
        <w:rPr>
          <w:rFonts w:ascii="Calibri" w:eastAsia="SimHei"/>
          <w:b/>
          <w:bCs/>
          <w:color w:val="1F4E79"/>
          <w:sz w:val="28"/>
          <w:szCs w:val="28"/>
        </w:rPr>
        <w:t xml:space="preserve">4.13  Class Certificates</w:t>
      </w:r>
    </w:p>
    <w:p>
      <w:pPr>
        <w:spacing w:after="120" w:line="312"/>
        <w:ind w:firstLine="360"/>
        <w:jc w:val="both"/>
      </w:pPr>
      <w:r>
        <w:rPr>
          <w:rFonts w:ascii="Calibri" w:eastAsia="Microsoft YaHei"/>
          <w:b/>
          <w:bCs/>
          <w:color w:val="1F4E79"/>
          <w:sz w:val="22"/>
          <w:szCs w:val="22"/>
        </w:rPr>
        <w:t xml:space="preserve">Purpose: </w:t>
      </w:r>
      <w:r>
        <w:rPr>
          <w:rFonts w:ascii="Calibri" w:eastAsia="Microsoft YaHei"/>
          <w:color w:val="000000"/>
          <w:sz w:val="22"/>
          <w:szCs w:val="22"/>
        </w:rPr>
        <w:t xml:space="preserve">Certificates issued by a classification society (DNV, Lloyd's Register, ABS, Bureau Veritas, RINA, ClassNK, KR, etc.) attesting that the vessel's hull, machinery, and equipment meet the society's rules. Vessels retain 'class' through periodic surveys. Insurers, charterers, and financiers require valid class.</w:t>
      </w:r>
    </w:p>
    <w:p>
      <w:pPr>
        <w:spacing w:after="120" w:line="312"/>
        <w:ind w:firstLine="360"/>
        <w:jc w:val="both"/>
      </w:pPr>
      <w:r>
        <w:rPr>
          <w:rFonts w:ascii="Calibri" w:eastAsia="Microsoft YaHei"/>
          <w:b/>
          <w:bCs/>
          <w:color w:val="1F4E79"/>
          <w:sz w:val="22"/>
          <w:szCs w:val="22"/>
        </w:rPr>
        <w:t xml:space="preserve">Typical format: </w:t>
      </w:r>
      <w:r>
        <w:rPr>
          <w:rFonts w:ascii="Calibri" w:eastAsia="Microsoft YaHei"/>
          <w:color w:val="000000"/>
          <w:sz w:val="22"/>
          <w:szCs w:val="22"/>
        </w:rPr>
        <w:t xml:space="preserve">One-page A4 certificates issued by the society. Society-branded template with the society's logo and watermark. Printed, signed and stamped by the attending surveyor. Survey reports behind each certificate are typically multi-page PDFs.</w:t>
      </w:r>
    </w:p>
    <w:p>
      <w:pPr>
        <w:spacing w:after="120" w:line="312"/>
        <w:ind w:firstLine="360"/>
        <w:jc w:val="both"/>
      </w:pPr>
      <w:r>
        <w:rPr>
          <w:rFonts w:ascii="Calibri" w:eastAsia="Microsoft YaHei"/>
          <w:b/>
          <w:bCs/>
          <w:color w:val="1F4E79"/>
          <w:sz w:val="22"/>
          <w:szCs w:val="22"/>
        </w:rPr>
        <w:t xml:space="preserve">OCR difficulty: </w:t>
      </w:r>
      <w:r>
        <w:rPr>
          <w:rFonts w:ascii="Calibri" w:eastAsia="Microsoft YaHei"/>
          <w:b/>
          <w:bCs/>
          <w:color w:val="B8860B"/>
          <w:sz w:val="22"/>
          <w:szCs w:val="22"/>
        </w:rPr>
        <w:t xml:space="preserve">Medium</w:t>
      </w:r>
      <w:r>
        <w:rPr>
          <w:rFonts w:ascii="Calibri" w:eastAsia="Microsoft YaHei"/>
          <w:color w:val="000000"/>
          <w:sz w:val="22"/>
          <w:szCs w:val="22"/>
        </w:rPr>
        <w:t xml:space="preserve"> — Per-society templates are stable; difficulty arises from the breadth of certificate and survey types (annual, intermediate, special, bottom, condition of class, memoranda) and from the recommendation / memorandum footnotes that carry surveyor-issued conditions.</w:t>
      </w:r>
    </w:p>
    <w:p>
      <w:pPr>
        <w:spacing w:after="120" w:line="312"/>
        <w:jc w:val="both"/>
      </w:pPr>
      <w:r>
        <w:rPr>
          <w:rFonts w:ascii="Calibri" w:eastAsia="Microsoft YaHei"/>
          <w:b/>
          <w:bCs/>
          <w:color w:val="1F4E79"/>
          <w:sz w:val="22"/>
          <w:szCs w:val="22"/>
        </w:rPr>
        <w:t xml:space="preserve">Important fields: </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Vessel name, IMO number, classification society and register</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Class notations (e.g. ✠ 100A5, Bulk Carrier, ESP, UMS, ICE-1A)</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Survey type and date; next due dates for annual / intermediate / special surveys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Date of issue; date of expiry; place of issue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Recommendations and memoranda (conditions of class with due dates)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Surveyor name and signature; society stamp</w:t>
      </w:r>
    </w:p>
    <w:p>
      <w:pPr>
        <w:spacing w:after="120" w:line="312"/>
        <w:ind w:firstLine="360"/>
        <w:jc w:val="both"/>
      </w:pPr>
      <w:r>
        <w:rPr>
          <w:rFonts w:ascii="Calibri" w:eastAsia="Microsoft YaHei"/>
          <w:b/>
          <w:bCs/>
          <w:color w:val="1F4E79"/>
          <w:sz w:val="22"/>
          <w:szCs w:val="22"/>
        </w:rPr>
        <w:t xml:space="preserve">Compliance relevance: </w:t>
      </w:r>
      <w:r>
        <w:rPr>
          <w:rFonts w:ascii="Calibri" w:eastAsia="Microsoft YaHei"/>
          <w:color w:val="000000"/>
          <w:sz w:val="22"/>
          <w:szCs w:val="22"/>
        </w:rPr>
        <w:t xml:space="preserve">Required for entry to most charter parties, for marine insurance (Institute Time Clauses — Hulls require class), and for financing (mortgagees require continuous class). Out-of-class events trigger insurance cancellation and charter withdrawal. The Recommendation / Memoranda items have explicit due dates that, if missed, suspend class.</w:t>
      </w:r>
    </w:p>
    <w:p>
      <w:pPr>
        <w:spacing w:after="120" w:line="312"/>
        <w:ind w:firstLine="360"/>
        <w:jc w:val="both"/>
      </w:pPr>
      <w:r>
        <w:rPr>
          <w:rFonts w:ascii="Calibri" w:eastAsia="Microsoft YaHei"/>
          <w:b/>
          <w:bCs/>
          <w:color w:val="1F4E79"/>
          <w:sz w:val="22"/>
          <w:szCs w:val="22"/>
        </w:rPr>
        <w:t xml:space="preserve">Structured extraction possible: </w:t>
      </w:r>
      <w:r>
        <w:rPr>
          <w:rFonts w:ascii="Calibri" w:eastAsia="Microsoft YaHei"/>
          <w:b/>
          <w:bCs/>
          <w:color w:val="B8860B"/>
          <w:sz w:val="22"/>
          <w:szCs w:val="22"/>
        </w:rPr>
        <w:t xml:space="preserve">Mostly</w:t>
      </w:r>
      <w:r>
        <w:rPr>
          <w:rFonts w:ascii="Calibri" w:eastAsia="Microsoft YaHei"/>
          <w:color w:val="000000"/>
          <w:sz w:val="22"/>
          <w:szCs w:val="22"/>
        </w:rPr>
        <w:t xml:space="preserve"> — Society templates are stable; one custom model per society (≈8 majors) covers the bulk of the world fleet. The high-value extraction target is the Recommendations / Memoranda list, because each item carries a due date that must be tracked. Survey reports (multi-page) benefit from generative summarisation.</w:t>
      </w:r>
    </w:p>
    <w:p>
      <w:pPr>
        <w:pStyle w:val="Heading2"/>
        <w:spacing w:after="120" w:before="280" w:line="312"/>
      </w:pPr>
      <w:r>
        <w:rPr>
          <w:rFonts w:ascii="Calibri" w:eastAsia="SimHei"/>
          <w:b/>
          <w:bCs/>
          <w:color w:val="1F4E79"/>
          <w:sz w:val="28"/>
          <w:szCs w:val="28"/>
        </w:rPr>
        <w:t xml:space="preserve">4.14  Insurance Documents</w:t>
      </w:r>
    </w:p>
    <w:p>
      <w:pPr>
        <w:spacing w:after="120" w:line="312"/>
        <w:ind w:firstLine="360"/>
        <w:jc w:val="both"/>
      </w:pPr>
      <w:r>
        <w:rPr>
          <w:rFonts w:ascii="Calibri" w:eastAsia="Microsoft YaHei"/>
          <w:b/>
          <w:bCs/>
          <w:color w:val="1F4E79"/>
          <w:sz w:val="22"/>
          <w:szCs w:val="22"/>
        </w:rPr>
        <w:t xml:space="preserve">Purpose: </w:t>
      </w:r>
      <w:r>
        <w:rPr>
          <w:rFonts w:ascii="Calibri" w:eastAsia="Microsoft YaHei"/>
          <w:color w:val="000000"/>
          <w:sz w:val="22"/>
          <w:szCs w:val="22"/>
        </w:rPr>
        <w:t xml:space="preserve">The marine-insurance document set: Protection &amp; Indemnity (P&amp;I) entry confirmation, Hull &amp; Machinery (H&amp;M) policy, Loss of Hire, Freight Demurrage &amp; Defence (FD&amp;D), and ancillary covers (war risks, pollution, charterer's liability). Together they define the financial protection of vessel and operator.</w:t>
      </w:r>
    </w:p>
    <w:p>
      <w:pPr>
        <w:spacing w:after="120" w:line="312"/>
        <w:ind w:firstLine="360"/>
        <w:jc w:val="both"/>
      </w:pPr>
      <w:r>
        <w:rPr>
          <w:rFonts w:ascii="Calibri" w:eastAsia="Microsoft YaHei"/>
          <w:b/>
          <w:bCs/>
          <w:color w:val="1F4E79"/>
          <w:sz w:val="22"/>
          <w:szCs w:val="22"/>
        </w:rPr>
        <w:t xml:space="preserve">Typical format: </w:t>
      </w:r>
      <w:r>
        <w:rPr>
          <w:rFonts w:ascii="Calibri" w:eastAsia="Microsoft YaHei"/>
          <w:color w:val="000000"/>
          <w:sz w:val="22"/>
          <w:szCs w:val="22"/>
        </w:rPr>
        <w:t xml:space="preserve">Heterogeneous: P&amp;I is a members'-club entry certificate; H&amp;M is a multi-page policy with a schedule of covers, named-vessel annex, and warranty clauses. Often issued as multi-page PDFs with typed policy schedules and standardised institute clauses (ITC Hulls, etc.).</w:t>
      </w:r>
    </w:p>
    <w:p>
      <w:pPr>
        <w:spacing w:after="120" w:line="312"/>
        <w:ind w:firstLine="360"/>
        <w:jc w:val="both"/>
      </w:pPr>
      <w:r>
        <w:rPr>
          <w:rFonts w:ascii="Calibri" w:eastAsia="Microsoft YaHei"/>
          <w:b/>
          <w:bCs/>
          <w:color w:val="1F4E79"/>
          <w:sz w:val="22"/>
          <w:szCs w:val="22"/>
        </w:rPr>
        <w:t xml:space="preserve">OCR difficulty: </w:t>
      </w:r>
      <w:r>
        <w:rPr>
          <w:rFonts w:ascii="Calibri" w:eastAsia="Microsoft YaHei"/>
          <w:b/>
          <w:bCs/>
          <w:color w:val="B22222"/>
          <w:sz w:val="22"/>
          <w:szCs w:val="22"/>
        </w:rPr>
        <w:t xml:space="preserve">High</w:t>
      </w:r>
      <w:r>
        <w:rPr>
          <w:rFonts w:ascii="Calibri" w:eastAsia="Microsoft YaHei"/>
          <w:color w:val="000000"/>
          <w:sz w:val="22"/>
          <w:szCs w:val="22"/>
        </w:rPr>
        <w:t xml:space="preserve"> — Long-form free-text policy wording, schedule-of-cover tables with limits and deductibles per peril, named-peril lists, and warranty clauses (e.g. trading-warranty exclusions, sanctions clauses). The meaningful data is in clause text rather than labelled fields.</w:t>
      </w:r>
    </w:p>
    <w:p>
      <w:pPr>
        <w:spacing w:after="120" w:line="312"/>
        <w:jc w:val="both"/>
      </w:pPr>
      <w:r>
        <w:rPr>
          <w:rFonts w:ascii="Calibri" w:eastAsia="Microsoft YaHei"/>
          <w:b/>
          <w:bCs/>
          <w:color w:val="1F4E79"/>
          <w:sz w:val="22"/>
          <w:szCs w:val="22"/>
        </w:rPr>
        <w:t xml:space="preserve">Important fields: </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Insured (owner / operator / manager / charterer); vessel name and IMO</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Policy / entry type: P&amp;I, H&amp;M, LoH, FD&amp;D, war risks, pollution CLC / Bunker Convention blue card</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Policy period (inception and expiry); renewal basis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Sum insured / limit of liability (per event and aggregate)</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Deductible per peril; premium and calls (P&amp;I supplementary calls)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Named-peril coverage and exclusions; trading-warranty limits</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Sanctions clause; cancellation clause; subrogation</w:t>
      </w:r>
    </w:p>
    <w:p>
      <w:pPr>
        <w:spacing w:after="60" w:line="312"/>
        <w:ind w:left="360" w:hanging="220"/>
      </w:pPr>
      <w:r>
        <w:rPr>
          <w:rFonts w:ascii="Calibri" w:eastAsia="Microsoft YaHei"/>
          <w:b/>
          <w:bCs/>
          <w:color w:val="1F4E79"/>
          <w:sz w:val="22"/>
          <w:szCs w:val="22"/>
        </w:rPr>
        <w:t xml:space="preserve">• </w:t>
      </w:r>
      <w:r>
        <w:rPr>
          <w:rFonts w:ascii="Calibri" w:eastAsia="Microsoft YaHei"/>
          <w:color w:val="000000"/>
          <w:sz w:val="22"/>
          <w:szCs w:val="22"/>
        </w:rPr>
        <w:t xml:space="preserve">Insurer / club name; underwriter signature; broker reference</w:t>
      </w:r>
    </w:p>
    <w:p>
      <w:pPr>
        <w:spacing w:after="120" w:line="312"/>
        <w:ind w:firstLine="360"/>
        <w:jc w:val="both"/>
      </w:pPr>
      <w:r>
        <w:rPr>
          <w:rFonts w:ascii="Calibri" w:eastAsia="Microsoft YaHei"/>
          <w:b/>
          <w:bCs/>
          <w:color w:val="1F4E79"/>
          <w:sz w:val="22"/>
          <w:szCs w:val="22"/>
        </w:rPr>
        <w:t xml:space="preserve">Compliance relevance: </w:t>
      </w:r>
      <w:r>
        <w:rPr>
          <w:rFonts w:ascii="Calibri" w:eastAsia="Microsoft YaHei"/>
          <w:color w:val="000000"/>
          <w:sz w:val="22"/>
          <w:szCs w:val="22"/>
        </w:rPr>
        <w:t xml:space="preserve">CLC 1992 (civil liability for oil pollution) and the Bunker Convention 2001 require evidence of insurance and the issue of a 'blue card'. P&amp;I entry is effectively mandatory for trading; H&amp;M is mandatory for any financed vessel. Port State Control verifies insurance evidence at inspection.</w:t>
      </w:r>
    </w:p>
    <w:p>
      <w:pPr>
        <w:spacing w:after="120" w:line="312"/>
        <w:ind w:firstLine="360"/>
        <w:jc w:val="both"/>
      </w:pPr>
      <w:r>
        <w:rPr>
          <w:rFonts w:ascii="Calibri" w:eastAsia="Microsoft YaHei"/>
          <w:b/>
          <w:bCs/>
          <w:color w:val="1F4E79"/>
          <w:sz w:val="22"/>
          <w:szCs w:val="22"/>
        </w:rPr>
        <w:t xml:space="preserve">Structured extraction possible: </w:t>
      </w:r>
      <w:r>
        <w:rPr>
          <w:rFonts w:ascii="Calibri" w:eastAsia="Microsoft YaHei"/>
          <w:b/>
          <w:bCs/>
          <w:color w:val="B8860B"/>
          <w:sz w:val="22"/>
          <w:szCs w:val="22"/>
        </w:rPr>
        <w:t xml:space="preserve">Partial</w:t>
      </w:r>
      <w:r>
        <w:rPr>
          <w:rFonts w:ascii="Calibri" w:eastAsia="Microsoft YaHei"/>
          <w:color w:val="000000"/>
          <w:sz w:val="22"/>
          <w:szCs w:val="22"/>
        </w:rPr>
        <w:t xml:space="preserve"> — The schedule page (insured, vessel, limits, period, deductibles) is tabular and extracts reliably. The free-text coverage, exclusions, and warranty clauses need generative extraction; trading-warranty and sanctions clauses in particular must be flagged for human review because misreading them exposes the operator to uninsured losses.</w:t>
      </w:r>
    </w:p>
    <w:p>
      <w:pPr>
        <w:pStyle w:val="Heading1"/>
        <w:spacing w:after="160" w:before="360" w:line="312"/>
      </w:pPr>
      <w:r>
        <w:rPr>
          <w:rFonts w:ascii="Calibri" w:eastAsia="SimHei"/>
          <w:b/>
          <w:bCs/>
          <w:color w:val="1F4E79"/>
          <w:sz w:val="32"/>
          <w:szCs w:val="32"/>
        </w:rPr>
        <w:t xml:space="preserve">5. Cross-Document Synthesis</w:t>
      </w:r>
    </w:p>
    <w:p>
      <w:pPr>
        <w:pStyle w:val="Heading2"/>
        <w:spacing w:after="120" w:before="280" w:line="312"/>
      </w:pPr>
      <w:r>
        <w:rPr>
          <w:rFonts w:ascii="Calibri" w:eastAsia="SimHei"/>
          <w:b/>
          <w:bCs/>
          <w:color w:val="1F4E79"/>
          <w:sz w:val="28"/>
          <w:szCs w:val="28"/>
        </w:rPr>
        <w:t xml:space="preserve">5.1 OCR difficulty heatmap</w:t>
      </w:r>
    </w:p>
    <w:p>
      <w:pPr>
        <w:spacing w:after="120" w:line="312"/>
        <w:ind w:firstLine="360"/>
        <w:jc w:val="both"/>
      </w:pPr>
      <w:r>
        <w:rPr>
          <w:rFonts w:ascii="Calibri" w:eastAsia="Microsoft YaHei"/>
          <w:color w:val="000000"/>
          <w:sz w:val="22"/>
          <w:szCs w:val="22"/>
        </w:rPr>
        <w:t xml:space="preserve">Mapping the 14 documents to OCR difficulty yields three clusters. The Low-difficulty cluster (BDN, Noon Report, Crew List) is high-volume and offers the fastest path to ROI. The Medium cluster (the four record books, Port Clearance, Certificates) is the compliance backbone of the platform. The High cluster (Cargo Manifest, Bill of Lading, Charter Party, Insurance) is the highest-value but hardest extraction target.</w:t>
      </w:r>
    </w:p>
    <w:p>
      <w:pPr>
        <w:keepNext/>
        <w:spacing w:after="100" w:before="60" w:line="312"/>
        <w:jc w:val="both"/>
      </w:pPr>
      <w:r>
        <w:rPr>
          <w:rFonts w:ascii="Calibri" w:eastAsia="Microsoft YaHei"/>
          <w:color w:val="000000"/>
          <w:sz w:val="22"/>
          <w:szCs w:val="22"/>
        </w:rPr>
        <w:t xml:space="preserve">Table 5.1 — OCR difficulty and recommended extraction strategy per document.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28%"/>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Document</w:t>
            </w:r>
          </w:p>
        </w:tc>
        <w:tc>
          <w:tcPr>
            <w:tcW w:type="pct" w:w="16%"/>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Difficulty</w:t>
            </w:r>
          </w:p>
        </w:tc>
        <w:tc>
          <w:tcPr>
            <w:tcW w:type="pct" w:w="56%"/>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Recommended Extraction Strategy</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Bunker Delivery Note</w:t>
            </w:r>
          </w:p>
        </w:tc>
        <w:tc>
          <w:tcPr>
            <w:tcW w:type="pct" w:w="1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2E7D32"/>
                <w:sz w:val="20"/>
                <w:szCs w:val="20"/>
              </w:rPr>
              <w:t xml:space="preserve">Low</w:t>
            </w:r>
          </w:p>
        </w:tc>
        <w:tc>
          <w:tcPr>
            <w:tcW w:type="pct" w:w="5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Layout OCR (Azure Layout model) — single custom model</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Noon Report</w:t>
            </w:r>
          </w:p>
        </w:tc>
        <w:tc>
          <w:tcPr>
            <w:tcW w:type="pct" w:w="1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2E7D32"/>
                <w:sz w:val="20"/>
                <w:szCs w:val="20"/>
              </w:rPr>
              <w:t xml:space="preserve">Low</w:t>
            </w:r>
          </w:p>
        </w:tc>
        <w:tc>
          <w:tcPr>
            <w:tcW w:type="pct" w:w="5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Custom extractor over noon-report field vocabulary + unit normalisation</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Crew List</w:t>
            </w:r>
          </w:p>
        </w:tc>
        <w:tc>
          <w:tcPr>
            <w:tcW w:type="pct" w:w="1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2E7D32"/>
                <w:sz w:val="20"/>
                <w:szCs w:val="20"/>
              </w:rPr>
              <w:t xml:space="preserve">Low</w:t>
            </w:r>
          </w:p>
        </w:tc>
        <w:tc>
          <w:tcPr>
            <w:tcW w:type="pct" w:w="5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Tabular extraction + multi-language name OCR</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Oil Record Book</w:t>
            </w:r>
          </w:p>
        </w:tc>
        <w:tc>
          <w:tcPr>
            <w:tcW w:type="pct" w:w="1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Medium</w:t>
            </w:r>
          </w:p>
        </w:tc>
        <w:tc>
          <w:tcPr>
            <w:tcW w:type="pct" w:w="5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Layout OCR + handwritten-digit confidence + MARPOL code mapping</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Engine Logbook</w:t>
            </w:r>
          </w:p>
        </w:tc>
        <w:tc>
          <w:tcPr>
            <w:tcW w:type="pct" w:w="1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Medium</w:t>
            </w:r>
          </w:p>
        </w:tc>
        <w:tc>
          <w:tcPr>
            <w:tcW w:type="pct" w:w="5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Tabular extraction (printed sensor logs prioritised)</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Garbage Record Book</w:t>
            </w:r>
          </w:p>
        </w:tc>
        <w:tc>
          <w:tcPr>
            <w:tcW w:type="pct" w:w="1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Medium</w:t>
            </w:r>
          </w:p>
        </w:tc>
        <w:tc>
          <w:tcPr>
            <w:tcW w:type="pct" w:w="5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Tabular extraction + garbage-category A–K code mapping</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Ballast Water Record Book</w:t>
            </w:r>
          </w:p>
        </w:tc>
        <w:tc>
          <w:tcPr>
            <w:tcW w:type="pct" w:w="1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Medium</w:t>
            </w:r>
          </w:p>
        </w:tc>
        <w:tc>
          <w:tcPr>
            <w:tcW w:type="pct" w:w="5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Layout OCR + treatment-parameter validation</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Port Clearance</w:t>
            </w:r>
          </w:p>
        </w:tc>
        <w:tc>
          <w:tcPr>
            <w:tcW w:type="pct" w:w="1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Medium</w:t>
            </w:r>
          </w:p>
        </w:tc>
        <w:tc>
          <w:tcPr>
            <w:tcW w:type="pct" w:w="5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Per-FAL-form templates + clearance-certificate model</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Statutory Certificates</w:t>
            </w:r>
          </w:p>
        </w:tc>
        <w:tc>
          <w:tcPr>
            <w:tcW w:type="pct" w:w="1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Medium</w:t>
            </w:r>
          </w:p>
        </w:tc>
        <w:tc>
          <w:tcPr>
            <w:tcW w:type="pct" w:w="5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Per-issuer custom models (≈10 ROs) + expiry tracking</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Class Certificates</w:t>
            </w:r>
          </w:p>
        </w:tc>
        <w:tc>
          <w:tcPr>
            <w:tcW w:type="pct" w:w="1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8860B"/>
                <w:sz w:val="20"/>
                <w:szCs w:val="20"/>
              </w:rPr>
              <w:t xml:space="preserve">Medium</w:t>
            </w:r>
          </w:p>
        </w:tc>
        <w:tc>
          <w:tcPr>
            <w:tcW w:type="pct" w:w="5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Per-society models (≈8 majors) + recommendation tracking</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Cargo Manifest</w:t>
            </w:r>
          </w:p>
        </w:tc>
        <w:tc>
          <w:tcPr>
            <w:tcW w:type="pct" w:w="1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22222"/>
                <w:sz w:val="20"/>
                <w:szCs w:val="20"/>
              </w:rPr>
              <w:t xml:space="preserve">High</w:t>
            </w:r>
          </w:p>
        </w:tc>
        <w:tc>
          <w:tcPr>
            <w:tcW w:type="pct" w:w="5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Multi-page table extraction + container/seal regex validation</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Bill of Lading</w:t>
            </w:r>
          </w:p>
        </w:tc>
        <w:tc>
          <w:tcPr>
            <w:tcW w:type="pct" w:w="1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22222"/>
                <w:sz w:val="20"/>
                <w:szCs w:val="20"/>
              </w:rPr>
              <w:t xml:space="preserve">High</w:t>
            </w:r>
          </w:p>
        </w:tc>
        <w:tc>
          <w:tcPr>
            <w:tcW w:type="pct" w:w="5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Carrier-template custom model + generative terms extraction</w:t>
            </w:r>
          </w:p>
        </w:tc>
      </w:tr>
      <w:tr>
        <w:trPr>
          <w:cantSplit/>
        </w:trPr>
        <w:tc>
          <w:tcPr>
            <w:tcW w:type="pct" w:w="28%"/>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Charter Party</w:t>
            </w:r>
          </w:p>
        </w:tc>
        <w:tc>
          <w:tcPr>
            <w:tcW w:type="pct" w:w="1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bCs/>
                <w:color w:val="B22222"/>
                <w:sz w:val="20"/>
                <w:szCs w:val="20"/>
              </w:rPr>
              <w:t xml:space="preserve">High</w:t>
            </w:r>
          </w:p>
        </w:tc>
        <w:tc>
          <w:tcPr>
            <w:tcW w:type="pct" w:w="5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Box-form extractor + generative clause extraction (LLM)</w:t>
            </w:r>
          </w:p>
        </w:tc>
      </w:tr>
      <w:tr>
        <w:trPr>
          <w:cantSplit/>
        </w:trPr>
        <w:tc>
          <w:tcPr>
            <w:tcW w:type="pct" w:w="28%"/>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Insurance Documents</w:t>
            </w:r>
          </w:p>
        </w:tc>
        <w:tc>
          <w:tcPr>
            <w:tcW w:type="pct" w:w="1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bCs/>
                <w:color w:val="B22222"/>
                <w:sz w:val="20"/>
                <w:szCs w:val="20"/>
              </w:rPr>
              <w:t xml:space="preserve">High</w:t>
            </w:r>
          </w:p>
        </w:tc>
        <w:tc>
          <w:tcPr>
            <w:tcW w:type="pct" w:w="5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Schedule-page extractor + generative clause review</w:t>
            </w:r>
          </w:p>
        </w:tc>
      </w:tr>
    </w:tbl>
    <w:p>
      <w:pPr>
        <w:spacing w:after="240" w:before="120" w:line="276"/>
        <w:jc w:val="left"/>
      </w:pPr>
      <w:r>
        <w:rPr>
          <w:rFonts w:ascii="Calibri" w:eastAsia="Microsoft YaHei"/>
          <w:i/>
          <w:iCs/>
          <w:color w:val="506070"/>
          <w:sz w:val="18"/>
          <w:szCs w:val="18"/>
        </w:rPr>
        <w:t xml:space="preserve">Table 5.1 — Recommended extraction strategy by document difficulty.</w:t>
      </w:r>
    </w:p>
    <w:p>
      <w:pPr>
        <w:pStyle w:val="Heading2"/>
        <w:spacing w:after="120" w:before="280" w:line="312"/>
      </w:pPr>
      <w:r>
        <w:rPr>
          <w:rFonts w:ascii="Calibri" w:eastAsia="SimHei"/>
          <w:b/>
          <w:bCs/>
          <w:color w:val="1F4E79"/>
          <w:sz w:val="28"/>
          <w:szCs w:val="28"/>
        </w:rPr>
        <w:t xml:space="preserve">5.2 Structured extraction — implementation priority</w:t>
      </w:r>
    </w:p>
    <w:p>
      <w:pPr>
        <w:spacing w:after="120" w:line="312"/>
        <w:ind w:firstLine="360"/>
        <w:jc w:val="both"/>
      </w:pPr>
      <w:r>
        <w:rPr>
          <w:rFonts w:ascii="Calibri" w:eastAsia="Microsoft YaHei"/>
          <w:color w:val="000000"/>
          <w:sz w:val="22"/>
          <w:szCs w:val="22"/>
        </w:rPr>
        <w:t xml:space="preserve">Sequencing the work by volume × compliance × feasibility gives a clear delivery order. The operational logs and BDN should land first (highest daily volume, easiest extraction, immediate ROI). Statutory record books and certificates come second (compliance backbone, medium difficulty). Cargo and legal documents come last (highest value but require a generative extraction layer).</w:t>
      </w:r>
    </w:p>
    <w:p>
      <w:pPr>
        <w:keepNext/>
        <w:spacing w:after="100" w:before="60" w:line="312"/>
        <w:jc w:val="both"/>
      </w:pPr>
      <w:r>
        <w:rPr>
          <w:rFonts w:ascii="Calibri" w:eastAsia="Microsoft YaHei"/>
          <w:color w:val="000000"/>
          <w:sz w:val="22"/>
          <w:szCs w:val="22"/>
        </w:rPr>
        <w:t xml:space="preserve">Table 5.2 — Implementation priority by document (1 = first).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12%"/>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Priority</w:t>
            </w:r>
          </w:p>
        </w:tc>
        <w:tc>
          <w:tcPr>
            <w:tcW w:type="pct" w:w="32%"/>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Document</w:t>
            </w:r>
          </w:p>
        </w:tc>
        <w:tc>
          <w:tcPr>
            <w:tcW w:type="pct" w:w="56%"/>
            <w:tcBorders>
              <w:top w:val="single" w:color="1F4E79" w:sz="4"/>
              <w:left w:val="single" w:color="1F4E79" w:sz="2"/>
              <w:bottom w:val="single" w:color="1F4E79" w:sz="4"/>
              <w:right w:val="single" w:color="1F4E79" w:sz="2"/>
            </w:tcBorders>
            <w:shd w:fill="1F4E79" w:val="clear"/>
            <w:tcMar>
              <w:top w:type="dxa" w:w="100"/>
              <w:left w:type="dxa" w:w="120"/>
              <w:bottom w:type="dxa" w:w="100"/>
              <w:right w:type="dxa" w:w="120"/>
            </w:tcMar>
          </w:tcPr>
          <w:p>
            <w:pPr>
              <w:spacing w:line="276"/>
              <w:jc w:val="left"/>
            </w:pPr>
            <w:r>
              <w:rPr>
                <w:rFonts w:ascii="Calibri" w:eastAsia="SimHei"/>
                <w:b/>
                <w:bCs/>
                <w:color w:val="FFFFFF"/>
                <w:sz w:val="20"/>
                <w:szCs w:val="20"/>
              </w:rPr>
              <w:t xml:space="preserve">Rationale</w:t>
            </w:r>
          </w:p>
        </w:tc>
      </w:tr>
      <w:tr>
        <w:trPr>
          <w:cantSplit/>
        </w:trPr>
        <w:tc>
          <w:tcPr>
            <w:tcW w:type="pct" w:w="1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1</w:t>
            </w:r>
          </w:p>
        </w:tc>
        <w:tc>
          <w:tcPr>
            <w:tcW w:type="pct" w:w="3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Bunker Delivery Note</w:t>
            </w:r>
          </w:p>
        </w:tc>
        <w:tc>
          <w:tcPr>
            <w:tcW w:type="pct" w:w="5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Daily volume, regulatory sulphur check, easy extraction</w:t>
            </w:r>
          </w:p>
        </w:tc>
      </w:tr>
      <w:tr>
        <w:trPr>
          <w:cantSplit/>
        </w:trPr>
        <w:tc>
          <w:tcPr>
            <w:tcW w:type="pct" w:w="1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2</w:t>
            </w:r>
          </w:p>
        </w:tc>
        <w:tc>
          <w:tcPr>
            <w:tcW w:type="pct" w:w="3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Noon Report</w:t>
            </w:r>
          </w:p>
        </w:tc>
        <w:tc>
          <w:tcPr>
            <w:tcW w:type="pct" w:w="5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Daily per vessel, feeds CII/EEXI reporting, easy extraction</w:t>
            </w:r>
          </w:p>
        </w:tc>
      </w:tr>
      <w:tr>
        <w:trPr>
          <w:cantSplit/>
        </w:trPr>
        <w:tc>
          <w:tcPr>
            <w:tcW w:type="pct" w:w="1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3</w:t>
            </w:r>
          </w:p>
        </w:tc>
        <w:tc>
          <w:tcPr>
            <w:tcW w:type="pct" w:w="3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Crew List</w:t>
            </w:r>
          </w:p>
        </w:tc>
        <w:tc>
          <w:tcPr>
            <w:tcW w:type="pct" w:w="5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Per port call, immigration-critical, easy extraction</w:t>
            </w:r>
          </w:p>
        </w:tc>
      </w:tr>
      <w:tr>
        <w:trPr>
          <w:cantSplit/>
        </w:trPr>
        <w:tc>
          <w:tcPr>
            <w:tcW w:type="pct" w:w="1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4</w:t>
            </w:r>
          </w:p>
        </w:tc>
        <w:tc>
          <w:tcPr>
            <w:tcW w:type="pct" w:w="3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Statutory Certificates</w:t>
            </w:r>
          </w:p>
        </w:tc>
        <w:tc>
          <w:tcPr>
            <w:tcW w:type="pct" w:w="5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Expiry monitoring prevents detention; per-issuer models</w:t>
            </w:r>
          </w:p>
        </w:tc>
      </w:tr>
      <w:tr>
        <w:trPr>
          <w:cantSplit/>
        </w:trPr>
        <w:tc>
          <w:tcPr>
            <w:tcW w:type="pct" w:w="1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5</w:t>
            </w:r>
          </w:p>
        </w:tc>
        <w:tc>
          <w:tcPr>
            <w:tcW w:type="pct" w:w="3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Class Certificates</w:t>
            </w:r>
          </w:p>
        </w:tc>
        <w:tc>
          <w:tcPr>
            <w:tcW w:type="pct" w:w="5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Recommendation tracking; per-society models</w:t>
            </w:r>
          </w:p>
        </w:tc>
      </w:tr>
      <w:tr>
        <w:trPr>
          <w:cantSplit/>
        </w:trPr>
        <w:tc>
          <w:tcPr>
            <w:tcW w:type="pct" w:w="1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6</w:t>
            </w:r>
          </w:p>
        </w:tc>
        <w:tc>
          <w:tcPr>
            <w:tcW w:type="pct" w:w="3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Oil / Garbage / Ballast Record Books</w:t>
            </w:r>
          </w:p>
        </w:tc>
        <w:tc>
          <w:tcPr>
            <w:tcW w:type="pct" w:w="5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PSC-critical, recurring handwritten entries</w:t>
            </w:r>
          </w:p>
        </w:tc>
      </w:tr>
      <w:tr>
        <w:trPr>
          <w:cantSplit/>
        </w:trPr>
        <w:tc>
          <w:tcPr>
            <w:tcW w:type="pct" w:w="1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7</w:t>
            </w:r>
          </w:p>
        </w:tc>
        <w:tc>
          <w:tcPr>
            <w:tcW w:type="pct" w:w="3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Engine Logbook</w:t>
            </w:r>
          </w:p>
        </w:tc>
        <w:tc>
          <w:tcPr>
            <w:tcW w:type="pct" w:w="5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Maintenance planning; tabular extraction</w:t>
            </w:r>
          </w:p>
        </w:tc>
      </w:tr>
      <w:tr>
        <w:trPr>
          <w:cantSplit/>
        </w:trPr>
        <w:tc>
          <w:tcPr>
            <w:tcW w:type="pct" w:w="1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8</w:t>
            </w:r>
          </w:p>
        </w:tc>
        <w:tc>
          <w:tcPr>
            <w:tcW w:type="pct" w:w="3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Port Clearance</w:t>
            </w:r>
          </w:p>
        </w:tc>
        <w:tc>
          <w:tcPr>
            <w:tcW w:type="pct" w:w="5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Per port call; FAL-form templates</w:t>
            </w:r>
          </w:p>
        </w:tc>
      </w:tr>
      <w:tr>
        <w:trPr>
          <w:cantSplit/>
        </w:trPr>
        <w:tc>
          <w:tcPr>
            <w:tcW w:type="pct" w:w="1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9</w:t>
            </w:r>
          </w:p>
        </w:tc>
        <w:tc>
          <w:tcPr>
            <w:tcW w:type="pct" w:w="3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Cargo Manifest</w:t>
            </w:r>
          </w:p>
        </w:tc>
        <w:tc>
          <w:tcPr>
            <w:tcW w:type="pct" w:w="5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High value, multi-page tables, validate against EDI</w:t>
            </w:r>
          </w:p>
        </w:tc>
      </w:tr>
      <w:tr>
        <w:trPr>
          <w:cantSplit/>
        </w:trPr>
        <w:tc>
          <w:tcPr>
            <w:tcW w:type="pct" w:w="1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10</w:t>
            </w:r>
          </w:p>
        </w:tc>
        <w:tc>
          <w:tcPr>
            <w:tcW w:type="pct" w:w="3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Bill of Lading</w:t>
            </w:r>
          </w:p>
        </w:tc>
        <w:tc>
          <w:tcPr>
            <w:tcW w:type="pct" w:w="5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High value, template variance, generative layer</w:t>
            </w:r>
          </w:p>
        </w:tc>
      </w:tr>
      <w:tr>
        <w:trPr>
          <w:cantSplit/>
        </w:trPr>
        <w:tc>
          <w:tcPr>
            <w:tcW w:type="pct" w:w="1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11</w:t>
            </w:r>
          </w:p>
        </w:tc>
        <w:tc>
          <w:tcPr>
            <w:tcW w:type="pct" w:w="32%"/>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Charter Party</w:t>
            </w:r>
          </w:p>
        </w:tc>
        <w:tc>
          <w:tcPr>
            <w:tcW w:type="pct" w:w="56%"/>
            <w:tcBorders>
              <w:top w:val="single" w:color="BFCBD8" w:sz="1"/>
              <w:left w:val="single" w:color="BFCBD8" w:sz="1"/>
              <w:bottom w:val="single" w:color="BFCBD8" w:sz="1"/>
              <w:right w:val="single" w:color="BFCBD8" w:sz="1"/>
            </w:tcBorders>
            <w:shd w:fill="EAF0F5"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Legal clause extraction, generative layer required</w:t>
            </w:r>
          </w:p>
        </w:tc>
      </w:tr>
      <w:tr>
        <w:trPr>
          <w:cantSplit/>
        </w:trPr>
        <w:tc>
          <w:tcPr>
            <w:tcW w:type="pct" w:w="1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12</w:t>
            </w:r>
          </w:p>
        </w:tc>
        <w:tc>
          <w:tcPr>
            <w:tcW w:type="pct" w:w="32%"/>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Insurance Documents</w:t>
            </w:r>
          </w:p>
        </w:tc>
        <w:tc>
          <w:tcPr>
            <w:tcW w:type="pct" w:w="56%"/>
            <w:tcBorders>
              <w:top w:val="single" w:color="BFCBD8" w:sz="1"/>
              <w:left w:val="single" w:color="BFCBD8" w:sz="1"/>
              <w:bottom w:val="single" w:color="BFCBD8" w:sz="1"/>
              <w:right w:val="single" w:color="BFCBD8" w:sz="1"/>
            </w:tcBorders>
            <w:shd w:fill="FFFFFF" w:val="clear"/>
            <w:tcMar>
              <w:top w:type="dxa" w:w="90"/>
              <w:left w:type="dxa" w:w="120"/>
              <w:bottom w:type="dxa" w:w="90"/>
              <w:right w:type="dxa" w:w="120"/>
            </w:tcMar>
          </w:tcPr>
          <w:p>
            <w:pPr>
              <w:spacing w:line="276"/>
              <w:jc w:val="left"/>
            </w:pPr>
            <w:r>
              <w:rPr>
                <w:rFonts w:ascii="Calibri" w:eastAsia="Microsoft YaHei"/>
                <w:b w:val="false"/>
                <w:bCs w:val="false"/>
                <w:color w:val="000000"/>
                <w:sz w:val="20"/>
                <w:szCs w:val="20"/>
              </w:rPr>
              <w:t xml:space="preserve">Hardest; generative clause review required</w:t>
            </w:r>
          </w:p>
        </w:tc>
      </w:tr>
    </w:tbl>
    <w:p>
      <w:pPr>
        <w:spacing w:after="240" w:before="120" w:line="276"/>
        <w:jc w:val="left"/>
      </w:pPr>
      <w:r>
        <w:rPr>
          <w:rFonts w:ascii="Calibri" w:eastAsia="Microsoft YaHei"/>
          <w:i/>
          <w:iCs/>
          <w:color w:val="506070"/>
          <w:sz w:val="18"/>
          <w:szCs w:val="18"/>
        </w:rPr>
        <w:t xml:space="preserve">Table 5.2 — Sequenced implementation priority for the Poseidon Ledger OCR pipeline.</w:t>
      </w:r>
    </w:p>
    <w:p>
      <w:pPr>
        <w:pStyle w:val="Heading1"/>
        <w:spacing w:after="160" w:before="360" w:line="312"/>
      </w:pPr>
      <w:r>
        <w:rPr>
          <w:rFonts w:ascii="Calibri" w:eastAsia="SimHei"/>
          <w:b/>
          <w:bCs/>
          <w:color w:val="1F4E79"/>
          <w:sz w:val="32"/>
          <w:szCs w:val="32"/>
        </w:rPr>
        <w:t xml:space="preserve">6. Recommendation</w:t>
      </w:r>
    </w:p>
    <w:p>
      <w:pPr>
        <w:spacing w:after="120" w:line="312"/>
        <w:ind w:firstLine="360"/>
        <w:jc w:val="both"/>
      </w:pPr>
      <w:r>
        <w:rPr>
          <w:rFonts w:ascii="Calibri" w:eastAsia="Microsoft YaHei"/>
          <w:b/>
          <w:bCs/>
          <w:color w:val="1F4E79"/>
          <w:sz w:val="22"/>
          <w:szCs w:val="22"/>
        </w:rPr>
        <w:t xml:space="preserve">Build a tiered OCR pipeline. </w:t>
      </w:r>
      <w:r>
        <w:rPr>
          <w:rFonts w:ascii="Calibri" w:eastAsia="Microsoft YaHei"/>
          <w:color w:val="000000"/>
          <w:sz w:val="22"/>
          <w:szCs w:val="22"/>
        </w:rPr>
        <w:t xml:space="preserve">Layer 1 — Azure Document Intelligence Layout model for every document type; it handles tables, reading order, and signatures uniformly. Layer 2 — a custom extraction model per document family (BDN, noon report, certificates, manifests, B/L) trained on 20–50 representative samples. Layer 3 — a generative extraction pass for the legal / clause-heavy documents (Charter Party, Insurance, B/L terms) that layout OCR cannot fully solve.</w:t>
      </w:r>
    </w:p>
    <w:p>
      <w:pPr>
        <w:spacing w:after="120" w:line="312"/>
        <w:ind w:firstLine="360"/>
        <w:jc w:val="both"/>
      </w:pPr>
      <w:r>
        <w:rPr>
          <w:rFonts w:ascii="Calibri" w:eastAsia="Microsoft YaHei"/>
          <w:b/>
          <w:bCs/>
          <w:color w:val="1F4E79"/>
          <w:sz w:val="22"/>
          <w:szCs w:val="22"/>
        </w:rPr>
        <w:t xml:space="preserve">Ship the operational logs (BDN, Noon Report, Crew List) first. </w:t>
      </w:r>
      <w:r>
        <w:rPr>
          <w:rFonts w:ascii="Calibri" w:eastAsia="Microsoft YaHei"/>
          <w:color w:val="000000"/>
          <w:sz w:val="22"/>
          <w:szCs w:val="22"/>
        </w:rPr>
        <w:t xml:space="preserve">They produce the highest document volume in the maritime platform, they have the lowest OCR difficulty, and their extracted fields feed directly into regulatory reporting (sulphur content, CII, immigration). A 6–8 week build covers all three.</w:t>
      </w:r>
    </w:p>
    <w:p>
      <w:pPr>
        <w:spacing w:after="120" w:line="312"/>
        <w:ind w:firstLine="360"/>
        <w:jc w:val="both"/>
      </w:pPr>
      <w:r>
        <w:rPr>
          <w:rFonts w:ascii="Calibri" w:eastAsia="Microsoft YaHei"/>
          <w:b/>
          <w:bCs/>
          <w:color w:val="1F4E79"/>
          <w:sz w:val="22"/>
          <w:szCs w:val="22"/>
        </w:rPr>
        <w:t xml:space="preserve">Treat certificates and record books as the compliance backbone. </w:t>
      </w:r>
      <w:r>
        <w:rPr>
          <w:rFonts w:ascii="Calibri" w:eastAsia="Microsoft YaHei"/>
          <w:color w:val="000000"/>
          <w:sz w:val="22"/>
          <w:szCs w:val="22"/>
        </w:rPr>
        <w:t xml:space="preserve">The single most valuable field across the entire document set is a certificate expiry date. Build an expiry-monitoring dashboard driven by extracted certificate data before tackling any of the high-difficulty commercial documents.</w:t>
      </w:r>
    </w:p>
    <w:p>
      <w:pPr>
        <w:spacing w:after="120" w:line="312"/>
        <w:ind w:firstLine="360"/>
        <w:jc w:val="both"/>
      </w:pPr>
      <w:r>
        <w:rPr>
          <w:rFonts w:ascii="Calibri" w:eastAsia="Microsoft YaHei"/>
          <w:b/>
          <w:bCs/>
          <w:color w:val="1F4E79"/>
          <w:sz w:val="22"/>
          <w:szCs w:val="22"/>
        </w:rPr>
        <w:t xml:space="preserve">Defer the high-difficulty legal documents until the generative extraction layer is in place. </w:t>
      </w:r>
      <w:r>
        <w:rPr>
          <w:rFonts w:ascii="Calibri" w:eastAsia="Microsoft YaHei"/>
          <w:color w:val="000000"/>
          <w:sz w:val="22"/>
          <w:szCs w:val="22"/>
        </w:rPr>
        <w:t xml:space="preserve">Charter Party and Insurance clause extraction cannot be solved by layout OCR alone; they require an LLM-based extraction pass with human review of low-confidence outputs. Sequence these last in the roadmap.</w:t>
      </w:r>
    </w:p>
    <w:p>
      <w:pPr>
        <w:pStyle w:val="Heading1"/>
        <w:spacing w:after="160" w:before="360" w:line="312"/>
      </w:pPr>
      <w:r>
        <w:rPr>
          <w:rFonts w:ascii="Calibri" w:eastAsia="SimHei"/>
          <w:b/>
          <w:bCs/>
          <w:color w:val="1F4E79"/>
          <w:sz w:val="32"/>
          <w:szCs w:val="32"/>
        </w:rPr>
        <w:t xml:space="preserve">7. Sources</w:t>
      </w:r>
    </w:p>
    <w:p>
      <w:pPr>
        <w:spacing w:after="80" w:line="276"/>
        <w:ind w:left="360" w:hanging="220"/>
      </w:pPr>
      <w:r>
        <w:rPr>
          <w:rFonts w:ascii="Calibri" w:eastAsia="Microsoft YaHei"/>
          <w:color w:val="506070"/>
          <w:sz w:val="18"/>
          <w:szCs w:val="18"/>
        </w:rPr>
        <w:t xml:space="preserve">IMO — MARPOL Annex I, Regulation 17 (Oil Record Book Part I) and Appendix III format</w:t>
      </w:r>
    </w:p>
    <w:p>
      <w:pPr>
        <w:spacing w:after="80" w:line="276"/>
        <w:ind w:left="360" w:hanging="220"/>
      </w:pPr>
      <w:r>
        <w:rPr>
          <w:rFonts w:ascii="Calibri" w:eastAsia="Microsoft YaHei"/>
          <w:color w:val="506070"/>
          <w:sz w:val="18"/>
          <w:szCs w:val="18"/>
        </w:rPr>
        <w:t xml:space="preserve">IMO — MARPOL Annex I, Regulation 36 (Oil Record Book Part II — Cargo/Ballast Operations)</w:t>
      </w:r>
    </w:p>
    <w:p>
      <w:pPr>
        <w:spacing w:after="80" w:line="276"/>
        <w:ind w:left="360" w:hanging="220"/>
      </w:pPr>
      <w:r>
        <w:rPr>
          <w:rFonts w:ascii="Calibri" w:eastAsia="Microsoft YaHei"/>
          <w:color w:val="506070"/>
          <w:sz w:val="18"/>
          <w:szCs w:val="18"/>
        </w:rPr>
        <w:t xml:space="preserve">IMO — MARPOL Annex VI, Regulation 18 (Bunker Delivery Note and fuel sulphur requirements)</w:t>
      </w:r>
    </w:p>
    <w:p>
      <w:pPr>
        <w:spacing w:after="80" w:line="276"/>
        <w:ind w:left="360" w:hanging="220"/>
      </w:pPr>
      <w:r>
        <w:rPr>
          <w:rFonts w:ascii="Calibri" w:eastAsia="Microsoft YaHei"/>
          <w:color w:val="506070"/>
          <w:sz w:val="18"/>
          <w:szCs w:val="18"/>
        </w:rPr>
        <w:t xml:space="preserve">IMO — MARPOL Annex V, Regulation 7 (Garbage Record Book)</w:t>
      </w:r>
    </w:p>
    <w:p>
      <w:pPr>
        <w:spacing w:after="80" w:line="276"/>
        <w:ind w:left="360" w:hanging="220"/>
      </w:pPr>
      <w:r>
        <w:rPr>
          <w:rFonts w:ascii="Calibri" w:eastAsia="Microsoft YaHei"/>
          <w:color w:val="506070"/>
          <w:sz w:val="18"/>
          <w:szCs w:val="18"/>
        </w:rPr>
        <w:t xml:space="preserve">IMO — BWM Convention 2004 (Ballast Water Record Book; D-1 and D-2 standards)</w:t>
      </w:r>
    </w:p>
    <w:p>
      <w:pPr>
        <w:spacing w:after="80" w:line="276"/>
        <w:ind w:left="360" w:hanging="220"/>
      </w:pPr>
      <w:r>
        <w:rPr>
          <w:rFonts w:ascii="Calibri" w:eastAsia="Microsoft YaHei"/>
          <w:color w:val="506070"/>
          <w:sz w:val="18"/>
          <w:szCs w:val="18"/>
        </w:rPr>
        <w:t xml:space="preserve">IMO — FAL Convention (standardised FAL forms for port clearance)</w:t>
      </w:r>
    </w:p>
    <w:p>
      <w:pPr>
        <w:spacing w:after="80" w:line="276"/>
        <w:ind w:left="360" w:hanging="220"/>
      </w:pPr>
      <w:r>
        <w:rPr>
          <w:rFonts w:ascii="Calibri" w:eastAsia="Microsoft YaHei"/>
          <w:color w:val="506070"/>
          <w:sz w:val="18"/>
          <w:szCs w:val="18"/>
        </w:rPr>
        <w:t xml:space="preserve">IMO — SOLAS Regulations I/12, V/2, V/14 (statutory certificates, cargo, safe manning)</w:t>
      </w:r>
    </w:p>
    <w:p>
      <w:pPr>
        <w:spacing w:after="80" w:line="276"/>
        <w:ind w:left="360" w:hanging="220"/>
      </w:pPr>
      <w:r>
        <w:rPr>
          <w:rFonts w:ascii="Calibri" w:eastAsia="Microsoft YaHei"/>
          <w:color w:val="506070"/>
          <w:sz w:val="18"/>
          <w:szCs w:val="18"/>
        </w:rPr>
        <w:t xml:space="preserve">IMO — ISM Code, ISPS Code (DOC/SMC, ISSC certificates)</w:t>
      </w:r>
    </w:p>
    <w:p>
      <w:pPr>
        <w:spacing w:after="80" w:line="276"/>
        <w:ind w:left="360" w:hanging="220"/>
      </w:pPr>
      <w:r>
        <w:rPr>
          <w:rFonts w:ascii="Calibri" w:eastAsia="Microsoft YaHei"/>
          <w:color w:val="506070"/>
          <w:sz w:val="18"/>
          <w:szCs w:val="18"/>
        </w:rPr>
        <w:t xml:space="preserve">ITC 1969 and ILL 1966 (tonnage and load-line certification)</w:t>
      </w:r>
    </w:p>
    <w:p>
      <w:pPr>
        <w:spacing w:after="80" w:line="276"/>
        <w:ind w:left="360" w:hanging="220"/>
      </w:pPr>
      <w:r>
        <w:rPr>
          <w:rFonts w:ascii="Calibri" w:eastAsia="Microsoft YaHei"/>
          <w:color w:val="506070"/>
          <w:sz w:val="18"/>
          <w:szCs w:val="18"/>
        </w:rPr>
        <w:t xml:space="preserve">Classification societies: DNV, Lloyd's Register, ABS, Bureau Veritas, RINA, ClassNK, KR — class certificate formats and notations</w:t>
      </w:r>
    </w:p>
    <w:p>
      <w:pPr>
        <w:spacing w:after="80" w:line="276"/>
        <w:ind w:left="360" w:hanging="220"/>
      </w:pPr>
      <w:r>
        <w:rPr>
          <w:rFonts w:ascii="Calibri" w:eastAsia="Microsoft YaHei"/>
          <w:color w:val="506070"/>
          <w:sz w:val="18"/>
          <w:szCs w:val="18"/>
        </w:rPr>
        <w:t xml:space="preserve">Bunker Delivery Note formats — supplier templates (World Fuel Services, Bunker Holding, etc.)</w:t>
      </w:r>
    </w:p>
    <w:p>
      <w:pPr>
        <w:spacing w:after="80" w:line="276"/>
        <w:ind w:left="360" w:hanging="220"/>
      </w:pPr>
      <w:r>
        <w:rPr>
          <w:rFonts w:ascii="Calibri" w:eastAsia="Microsoft YaHei"/>
          <w:color w:val="506070"/>
          <w:sz w:val="18"/>
          <w:szCs w:val="18"/>
        </w:rPr>
        <w:t xml:space="preserve">Noon Report field standardisation — OneOcean, Veson Nautical, VoyageX reference material</w:t>
      </w:r>
    </w:p>
    <w:p>
      <w:pPr>
        <w:spacing w:after="80" w:line="276"/>
        <w:ind w:left="360" w:hanging="220"/>
      </w:pPr>
      <w:r>
        <w:rPr>
          <w:rFonts w:ascii="Calibri" w:eastAsia="Microsoft YaHei"/>
          <w:color w:val="506070"/>
          <w:sz w:val="18"/>
          <w:szCs w:val="18"/>
        </w:rPr>
        <w:t xml:space="preserve">Poseidon Ledger architecture (internal) — Poseidon_Ledger_Architecture.docx</w:t>
      </w:r>
    </w:p>
    <w:p>
      <w:pPr>
        <w:spacing w:after="80" w:line="276"/>
        <w:ind w:left="360" w:hanging="220"/>
      </w:pPr>
      <w:r>
        <w:rPr>
          <w:rFonts w:ascii="Calibri" w:eastAsia="Microsoft YaHei"/>
          <w:color w:val="506070"/>
          <w:sz w:val="18"/>
          <w:szCs w:val="18"/>
        </w:rPr>
        <w:t xml:space="preserve">Prior report — OCR Provider Comparison Report (Azure Document Intelligence, Google Document AI, AWS Textract)</w:t>
      </w:r>
    </w:p>
    <w:sectPr>
      <w:headerReference w:type="default" r:id="rId7"/>
      <w:footerReference w:type="default" r:id="rId8"/>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687078"/>
        <w:sz w:val="18"/>
        <w:szCs w:val="18"/>
      </w:rPr>
      <w:t xml:space="preserve">Page </w:t>
    </w:r>
    <w:r>
      <w:rPr>
        <w:rFonts w:ascii="Calibri" w:eastAsia="Microsoft YaHei"/>
        <w:color w:val="687078"/>
        <w:sz w:val="18"/>
        <w:szCs w:val="18"/>
      </w:rPr>
      <w:fldChar w:fldCharType="begin"/>
      <w:instrText xml:space="preserve">PAGE</w:instrText>
      <w:fldChar w:fldCharType="separate"/>
      <w:fldChar w:fldCharType="end"/>
    </w:r>
    <w:r>
      <w:rPr>
        <w:rFonts w:ascii="Calibri" w:eastAsia="Microsoft YaHei"/>
        <w:color w:val="687078"/>
        <w:sz w:val="18"/>
        <w:szCs w:val="18"/>
      </w:rPr>
      <w:t xml:space="preserve"> of </w:t>
    </w:r>
    <w:r>
      <w:rPr>
        <w:rFonts w:ascii="Calibri" w:eastAsia="Microsoft YaHei"/>
        <w:color w:val="68707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Calibri" w:eastAsia="Microsoft YaHei"/>
        <w:color w:val="506070"/>
        <w:sz w:val="18"/>
        <w:szCs w:val="18"/>
      </w:rPr>
      <w:t xml:space="preserve">Maritime Documents Reference — Poseidon Ledger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1F4E79"/>
      <w:sz w:val="32"/>
      <w:szCs w:val="32"/>
    </w:rPr>
  </w:style>
  <w:style w:type="paragraph" w:styleId="Heading2">
    <w:name w:val="Heading 2"/>
    <w:basedOn w:val="Normal"/>
    <w:next w:val="Normal"/>
    <w:qFormat/>
    <w:pPr>
      <w:spacing w:after="120" w:before="280" w:line="312"/>
    </w:pPr>
    <w:rPr>
      <w:rFonts w:ascii="Calibri" w:eastAsia="SimHei"/>
      <w:b/>
      <w:bCs/>
      <w:color w:val="1F4E79"/>
      <w:sz w:val="28"/>
      <w:szCs w:val="28"/>
    </w:rPr>
  </w:style>
  <w:style w:type="paragraph" w:styleId="Heading3">
    <w:name w:val="Heading 3"/>
    <w:basedOn w:val="Normal"/>
    <w:next w:val="Normal"/>
    <w:qFormat/>
    <w:pPr>
      <w:spacing w:after="100" w:before="220" w:line="312"/>
    </w:pPr>
    <w:rPr>
      <w:rFonts w:ascii="Calibri" w:eastAsia="SimHei"/>
      <w:b/>
      <w:bCs/>
      <w:color w:val="0B1C2C"/>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Maritime Documents Reference &amp; OCR Assessment</dc:title>
  <dc:creator>Poseidon Ledger</dc:creator>
  <dc:description>Catalogue of maritime documents used by yacht managers, ship operators and classification societies, with OCR difficulty and structured-extraction assessment per document type.</dc:description>
  <cp:lastModifiedBy>Un-named</cp:lastModifiedBy>
  <cp:revision>1</cp:revision>
  <dcterms:created xsi:type="dcterms:W3CDTF">2026-07-04T21:39:14.003Z</dcterms:created>
  <dcterms:modified xsi:type="dcterms:W3CDTF">2026-07-04T21:39:14.022Z</dcterms:modified>
</cp:coreProperties>
</file>

<file path=docProps/custom.xml><?xml version="1.0" encoding="utf-8"?>
<Properties xmlns="http://schemas.openxmlformats.org/officeDocument/2006/custom-properties" xmlns:vt="http://schemas.openxmlformats.org/officeDocument/2006/docPropsVTypes"/>
</file>