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199"/>
            </w:pPr>
          </w:p>
          <w:p>
            <w:pPr>
              <w:pBdr>
                <w:bottom w:val="single" w:color="529286" w:sz="6" w:space="8"/>
              </w:pBdr>
              <w:spacing w:after="500"/>
              <w:ind w:left="1200" w:right="800"/>
            </w:pPr>
            <w:r>
              <w:rPr>
                <w:rFonts w:ascii="Calibri"/>
                <w:color w:val="529286"/>
                <w:spacing w:val="40"/>
                <w:sz w:val="18"/>
                <w:szCs w:val="18"/>
              </w:rPr>
              <w:t xml:space="preserve">C  O  M  P  L  I  A  N  C  E     B  R  I  E  F  I  N  G</w:t>
            </w:r>
          </w:p>
          <w:p>
            <w:pPr>
              <w:spacing w:after="100" w:line="966" w:lineRule="atLeast"/>
              <w:ind w:left="1200"/>
            </w:pPr>
            <w:r>
              <w:rPr>
                <w:rFonts w:ascii="Times New Roman"/>
                <w:b/>
                <w:bCs/>
                <w:color w:val="FFFFFF"/>
                <w:sz w:val="84"/>
                <w:szCs w:val="84"/>
              </w:rPr>
              <w:t xml:space="preserve">Maritime Regulatory</w:t>
            </w:r>
          </w:p>
          <w:p>
            <w:pPr>
              <w:spacing w:after="300" w:line="966" w:lineRule="atLeast"/>
              <w:ind w:left="1200"/>
            </w:pPr>
            <w:r>
              <w:rPr>
                <w:rFonts w:ascii="Times New Roman"/>
                <w:b/>
                <w:bCs/>
                <w:color w:val="FFFFFF"/>
                <w:sz w:val="84"/>
                <w:szCs w:val="84"/>
              </w:rPr>
              <w:t xml:space="preserve">Compliance</w:t>
            </w:r>
          </w:p>
          <w:p>
            <w:pPr>
              <w:spacing w:after="800" w:line="360" w:lineRule="atLeast"/>
              <w:ind w:left="1200" w:right="800"/>
            </w:pPr>
            <w:r>
              <w:rPr>
                <w:rFonts w:ascii="Times New Roman"/>
                <w:color w:val="B0B8C0"/>
                <w:sz w:val="24"/>
                <w:szCs w:val="24"/>
              </w:rPr>
              <w:t xml:space="preserve">IMO, EU &amp; SOLAS Frameworks — Requirements, Calculations &amp; Software Automation</w:t>
            </w:r>
          </w:p>
          <w:p>
            <w:pPr>
              <w:pBdr>
                <w:left w:val="single" w:color="529286" w:sz="8" w:space="12"/>
              </w:pBdr>
              <w:spacing w:after="80"/>
              <w:ind w:left="1400"/>
            </w:pPr>
            <w:r>
              <w:rPr>
                <w:rFonts w:ascii="Times New Roman"/>
                <w:color w:val="90989F"/>
                <w:sz w:val="22"/>
                <w:szCs w:val="22"/>
              </w:rPr>
              <w:t xml:space="preserve">Prepared for: Poseidon Ledger</w:t>
            </w:r>
          </w:p>
          <w:p>
            <w:pPr>
              <w:pBdr>
                <w:left w:val="single" w:color="529286" w:sz="8" w:space="12"/>
              </w:pBdr>
              <w:spacing w:after="80"/>
              <w:ind w:left="1400"/>
            </w:pPr>
            <w:r>
              <w:rPr>
                <w:rFonts w:ascii="Times New Roman"/>
                <w:color w:val="90989F"/>
                <w:sz w:val="22"/>
                <w:szCs w:val="22"/>
              </w:rPr>
              <w:t xml:space="preserve">Scope: IMO DCS · EU MRV · EU ETS · FuelEU · CII · EEXI · ISM · ISPS · MARPOL · SOLAS</w:t>
            </w:r>
          </w:p>
          <w:p>
            <w:pPr>
              <w:pBdr>
                <w:left w:val="single" w:color="529286" w:sz="8" w:space="12"/>
              </w:pBdr>
              <w:spacing w:after="80"/>
              <w:ind w:left="1400"/>
            </w:pPr>
            <w:r>
              <w:rPr>
                <w:rFonts w:ascii="Times New Roman"/>
                <w:color w:val="90989F"/>
                <w:sz w:val="22"/>
                <w:szCs w:val="22"/>
              </w:rPr>
              <w:t xml:space="preserve">Reference date: July 2026</w:t>
            </w:r>
          </w:p>
          <w:p>
            <w:pPr>
              <w:spacing w:before="4199"/>
            </w:pPr>
          </w:p>
          <w:p>
            <w:pPr>
              <w:pBdr>
                <w:top w:val="single" w:color="529286" w:sz="2" w:space="8"/>
              </w:pBdr>
              <w:spacing w:before="200"/>
              <w:ind w:left="1200" w:right="800"/>
            </w:pPr>
            <w:r>
              <w:rPr>
                <w:rFonts w:ascii="Calibri"/>
                <w:color w:val="687078"/>
                <w:sz w:val="16"/>
                <w:szCs w:val="16"/>
              </w:rPr>
              <w:t xml:space="preserve">Poseidon Ledger</w:t>
            </w:r>
            <w:r>
              <w:t xml:space="preserve">                                        </w:t>
            </w:r>
            <w:r>
              <w:rPr>
                <w:rFonts w:ascii="Calibri"/>
                <w:color w:val="687078"/>
                <w:sz w:val="16"/>
                <w:szCs w:val="16"/>
              </w:rPr>
              <w:t xml:space="preserve">Maritime Compliance Series</w:t>
            </w:r>
          </w:p>
        </w:tc>
      </w:tr>
    </w:tbl>
    <w:p>
      <w:pPr>
        <w:sectPr>
          <w:pgSz w:w="11906" w:h="16838" w:orient="portrait"/>
          <w:pgMar w:top="0" w:right="0" w:bottom="0" w:left="0" w:header="708" w:footer="708" w:gutter="0"/>
          <w:pgNumType/>
          <w:docGrid w:linePitch="360"/>
        </w:sectPr>
      </w:pPr>
    </w:p>
    <w:p>
      <w:pPr>
        <w:spacing w:after="240" w:before="240"/>
        <w:jc w:val="center"/>
      </w:pPr>
      <w:r>
        <w:rPr>
          <w:rFonts w:ascii="Times New Roman"/>
          <w:b/>
          <w:bCs/>
          <w:color w:val="0B1C2C"/>
          <w:sz w:val="32"/>
          <w:szCs w:val="32"/>
        </w:rPr>
        <w:t xml:space="preserve">Executive Summary</w:t>
      </w:r>
    </w:p>
    <w:p>
      <w:pPr>
        <w:spacing w:after="80" w:line="312"/>
        <w:ind w:firstLine="360"/>
        <w:jc w:val="both"/>
      </w:pPr>
      <w:r>
        <w:rPr>
          <w:rFonts w:ascii="Times New Roman"/>
          <w:color w:val="000000"/>
          <w:sz w:val="22"/>
          <w:szCs w:val="22"/>
        </w:rPr>
        <w:t xml:space="preserve">International shipping carries roughly 90% of global trade and is regulated through a layered regime of instruments issued by the International Maritime Organization (IMO) and, increasingly, by regional bodies such as the European Union. This report consolidates ten of the most operationally significant instruments — IMO DCS, EU MRV, EU ETS, FuelEU Maritime, CII, EEXI, the ISM Code, the ISPS Code, MARPOL and SOLAS — and, for each, explains its purpose, the documents and calculations it demands, the underlying data, the reporting cadence, the mistakes that most often lead to non-conformity, and the specific ways in which software can automate compliance.</w:t>
      </w:r>
    </w:p>
    <w:p>
      <w:pPr>
        <w:spacing w:after="80" w:line="312"/>
        <w:ind w:firstLine="360"/>
        <w:jc w:val="both"/>
      </w:pPr>
      <w:r>
        <w:rPr>
          <w:rFonts w:ascii="Times New Roman"/>
          <w:color w:val="000000"/>
          <w:sz w:val="22"/>
          <w:szCs w:val="22"/>
        </w:rPr>
        <w:t xml:space="preserve">Two themes run through the analysis. First, the regulatory centre of gravity has shifted decisively toward measurable, verifiable environmental performance: where SOLAS, MARPOL, ISM and ISPS established a safety and pollution-prevention floor, CII, EEXI, EU ETS and FuelEU Maritime now impose a data-intensive ceiling on emissions and energy intensity. Second, the volume, granularity and cross-referencing of mandatory data has grown beyond what manual spreadsheet workflows can reliably sustain, making digital data pipelines — not additional headcount — the decisive compliance asset.</w:t>
      </w:r>
    </w:p>
    <w:p>
      <w:pPr>
        <w:spacing w:after="80" w:line="312"/>
        <w:ind w:firstLine="360"/>
        <w:jc w:val="both"/>
      </w:pPr>
      <w:r>
        <w:rPr>
          <w:rFonts w:ascii="Times New Roman"/>
          <w:color w:val="000000"/>
          <w:sz w:val="22"/>
          <w:szCs w:val="22"/>
        </w:rPr>
        <w:t xml:space="preserve">The report concludes that a single, integrated data backbone feeding every instrument from one verified source reduces both cost and risk: emissions data captured once for EU MRV can serve IMO DCS, EU ETS surrender, CII rating and FuelEU intensity calculations, while the same document-management discipline that underpins ISM and ISPS provides the evidentiary chain that auditors and verifiers expect. The chapter on cross-regulation analysis and software automation maps these overlaps explicitly.</w:t>
      </w:r>
    </w:p>
    <w:p>
      <w:r>
        <w:br w:type="page"/>
      </w:r>
    </w:p>
    <w:p>
      <w:pPr>
        <w:spacing w:after="360" w:before="480"/>
        <w:jc w:val="center"/>
      </w:pPr>
      <w:r>
        <w:rPr>
          <w:rFonts w:ascii="Times New Roman"/>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Regulatory Landscape and How the Instruments Interact</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IMO Data Collection System (DCS)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Purpose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Required Documents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Required Calculations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Required Data</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Reporting Frequency</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Common Compliance Mistakes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How Software Can Automate Compliance</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3. EU MRV (Monitoring, Reporting, Verification of CO2)</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Purpose</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Required Documents</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Required Calculations</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Required Data</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Reporting Frequency</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Common Compliance Mistakes</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How Software Can Automate Compliance</w:t>
            </w:r>
            <w:r>
              <w:tab/>
            </w:r>
            <w:r>
              <w:fldChar w:fldCharType="begin"/>
            </w:r>
            <w:r>
              <w:instrText xml:space="preserve"> PAGEREF _Toc100016 \h </w:instrText>
            </w:r>
            <w:r>
              <w:fldChar w:fldCharType="separate"/>
            </w:r>
            <w:r>
              <w:t>10</w:t>
            </w:r>
            <w:r>
              <w:fldChar w:fldCharType="end"/>
            </w:r>
          </w:hyperlink>
        </w:p>
        <w:p>
          <w:pPr>
            <w:pStyle w:val="9"/>
            <w:tabs>
              <w:tab w:val="right" w:leader="dot" w:pos="9026"/>
            </w:tabs>
            <w:spacing w:before="120" w:after="60"/>
          </w:pPr>
          <w:hyperlink w:anchor="_Toc100017" w:history="1">
            <w:r>
              <w:rPr>
                <w:rStyle w:val="Hyperlink"/>
              </w:rPr>
              <w:t>4. EU Emissions Trading System (ETS) — Maritime</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Purpose</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Required Documents</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Required Calculations</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Required Data</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Reporting Frequency</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Common Compliance Mistakes</w:t>
            </w:r>
            <w:r>
              <w:tab/>
            </w:r>
            <w:r>
              <w:fldChar w:fldCharType="begin"/>
            </w:r>
            <w:r>
              <w:instrText xml:space="preserve"> PAGEREF _Toc100023 \h </w:instrText>
            </w:r>
            <w:r>
              <w:fldChar w:fldCharType="separate"/>
            </w:r>
            <w:r>
              <w:t>14</w:t>
            </w:r>
            <w:r>
              <w:fldChar w:fldCharType="end"/>
            </w:r>
          </w:hyperlink>
        </w:p>
        <w:p>
          <w:pPr>
            <w:pStyle w:val="11"/>
            <w:ind w:left="360"/>
            <w:tabs>
              <w:tab w:val="right" w:leader="dot" w:pos="9026"/>
            </w:tabs>
            <w:spacing w:before="120" w:after="60"/>
          </w:pPr>
          <w:hyperlink w:anchor="_Toc100024" w:history="1">
            <w:r>
              <w:rPr>
                <w:rStyle w:val="Hyperlink"/>
              </w:rPr>
              <w:t>How Software Can Automate Compliance</w:t>
            </w:r>
            <w:r>
              <w:tab/>
            </w:r>
            <w:r>
              <w:fldChar w:fldCharType="begin"/>
            </w:r>
            <w:r>
              <w:instrText xml:space="preserve"> PAGEREF _Toc100024 \h </w:instrText>
            </w:r>
            <w:r>
              <w:fldChar w:fldCharType="separate"/>
            </w:r>
            <w:r>
              <w:t>14</w:t>
            </w:r>
            <w:r>
              <w:fldChar w:fldCharType="end"/>
            </w:r>
          </w:hyperlink>
        </w:p>
        <w:p>
          <w:pPr>
            <w:pStyle w:val="9"/>
            <w:tabs>
              <w:tab w:val="right" w:leader="dot" w:pos="9026"/>
            </w:tabs>
            <w:spacing w:before="120" w:after="60"/>
          </w:pPr>
          <w:hyperlink w:anchor="_Toc100025" w:history="1">
            <w:r>
              <w:rPr>
                <w:rStyle w:val="Hyperlink"/>
              </w:rPr>
              <w:t>5. FuelEU Maritime</w:t>
            </w:r>
            <w:r>
              <w:tab/>
            </w:r>
            <w:r>
              <w:fldChar w:fldCharType="begin"/>
            </w:r>
            <w:r>
              <w:instrText xml:space="preserve"> PAGEREF _Toc100025 \h </w:instrText>
            </w:r>
            <w:r>
              <w:fldChar w:fldCharType="separate"/>
            </w:r>
            <w:r>
              <w:t>15</w:t>
            </w:r>
            <w:r>
              <w:fldChar w:fldCharType="end"/>
            </w:r>
          </w:hyperlink>
        </w:p>
        <w:p>
          <w:pPr>
            <w:pStyle w:val="11"/>
            <w:ind w:left="360"/>
            <w:tabs>
              <w:tab w:val="right" w:leader="dot" w:pos="9026"/>
            </w:tabs>
            <w:spacing w:before="120" w:after="60"/>
          </w:pPr>
          <w:hyperlink w:anchor="_Toc100026" w:history="1">
            <w:r>
              <w:rPr>
                <w:rStyle w:val="Hyperlink"/>
              </w:rPr>
              <w:t>Purpose</w:t>
            </w:r>
            <w:r>
              <w:tab/>
            </w:r>
            <w:r>
              <w:fldChar w:fldCharType="begin"/>
            </w:r>
            <w:r>
              <w:instrText xml:space="preserve"> PAGEREF _Toc100026 \h </w:instrText>
            </w:r>
            <w:r>
              <w:fldChar w:fldCharType="separate"/>
            </w:r>
            <w:r>
              <w:t>15</w:t>
            </w:r>
            <w:r>
              <w:fldChar w:fldCharType="end"/>
            </w:r>
          </w:hyperlink>
        </w:p>
        <w:p>
          <w:pPr>
            <w:pStyle w:val="11"/>
            <w:ind w:left="360"/>
            <w:tabs>
              <w:tab w:val="right" w:leader="dot" w:pos="9026"/>
            </w:tabs>
            <w:spacing w:before="120" w:after="60"/>
          </w:pPr>
          <w:hyperlink w:anchor="_Toc100027" w:history="1">
            <w:r>
              <w:rPr>
                <w:rStyle w:val="Hyperlink"/>
              </w:rPr>
              <w:t>Required Documents</w:t>
            </w:r>
            <w:r>
              <w:tab/>
            </w:r>
            <w:r>
              <w:fldChar w:fldCharType="begin"/>
            </w:r>
            <w:r>
              <w:instrText xml:space="preserve"> PAGEREF _Toc100027 \h </w:instrText>
            </w:r>
            <w:r>
              <w:fldChar w:fldCharType="separate"/>
            </w:r>
            <w:r>
              <w:t>16</w:t>
            </w:r>
            <w:r>
              <w:fldChar w:fldCharType="end"/>
            </w:r>
          </w:hyperlink>
        </w:p>
        <w:p>
          <w:pPr>
            <w:pStyle w:val="11"/>
            <w:ind w:left="360"/>
            <w:tabs>
              <w:tab w:val="right" w:leader="dot" w:pos="9026"/>
            </w:tabs>
            <w:spacing w:before="120" w:after="60"/>
          </w:pPr>
          <w:hyperlink w:anchor="_Toc100028" w:history="1">
            <w:r>
              <w:rPr>
                <w:rStyle w:val="Hyperlink"/>
              </w:rPr>
              <w:t>Required Calculations</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Required Data</w:t>
            </w:r>
            <w:r>
              <w:tab/>
            </w:r>
            <w:r>
              <w:fldChar w:fldCharType="begin"/>
            </w:r>
            <w:r>
              <w:instrText xml:space="preserve"> PAGEREF _Toc100029 \h </w:instrText>
            </w:r>
            <w:r>
              <w:fldChar w:fldCharType="separate"/>
            </w:r>
            <w:r>
              <w:t>17</w:t>
            </w:r>
            <w:r>
              <w:fldChar w:fldCharType="end"/>
            </w:r>
          </w:hyperlink>
        </w:p>
        <w:p>
          <w:pPr>
            <w:pStyle w:val="11"/>
            <w:ind w:left="360"/>
            <w:tabs>
              <w:tab w:val="right" w:leader="dot" w:pos="9026"/>
            </w:tabs>
            <w:spacing w:before="120" w:after="60"/>
          </w:pPr>
          <w:hyperlink w:anchor="_Toc100030" w:history="1">
            <w:r>
              <w:rPr>
                <w:rStyle w:val="Hyperlink"/>
              </w:rPr>
              <w:t>Reporting Frequency</w:t>
            </w:r>
            <w:r>
              <w:tab/>
            </w:r>
            <w:r>
              <w:fldChar w:fldCharType="begin"/>
            </w:r>
            <w:r>
              <w:instrText xml:space="preserve"> PAGEREF _Toc100030 \h </w:instrText>
            </w:r>
            <w:r>
              <w:fldChar w:fldCharType="separate"/>
            </w:r>
            <w:r>
              <w:t>18</w:t>
            </w:r>
            <w:r>
              <w:fldChar w:fldCharType="end"/>
            </w:r>
          </w:hyperlink>
        </w:p>
        <w:p>
          <w:pPr>
            <w:pStyle w:val="11"/>
            <w:ind w:left="360"/>
            <w:tabs>
              <w:tab w:val="right" w:leader="dot" w:pos="9026"/>
            </w:tabs>
            <w:spacing w:before="120" w:after="60"/>
          </w:pPr>
          <w:hyperlink w:anchor="_Toc100031" w:history="1">
            <w:r>
              <w:rPr>
                <w:rStyle w:val="Hyperlink"/>
              </w:rPr>
              <w:t>Common Compliance Mistakes</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spacing w:before="120" w:after="60"/>
          </w:pPr>
          <w:hyperlink w:anchor="_Toc100032" w:history="1">
            <w:r>
              <w:rPr>
                <w:rStyle w:val="Hyperlink"/>
              </w:rPr>
              <w:t>How Software Can Automate Compliance</w:t>
            </w:r>
            <w:r>
              <w:tab/>
            </w:r>
            <w:r>
              <w:fldChar w:fldCharType="begin"/>
            </w:r>
            <w:r>
              <w:instrText xml:space="preserve"> PAGEREF _Toc100032 \h </w:instrText>
            </w:r>
            <w:r>
              <w:fldChar w:fldCharType="separate"/>
            </w:r>
            <w:r>
              <w:t>19</w:t>
            </w:r>
            <w:r>
              <w:fldChar w:fldCharType="end"/>
            </w:r>
          </w:hyperlink>
        </w:p>
        <w:p>
          <w:pPr>
            <w:pStyle w:val="9"/>
            <w:tabs>
              <w:tab w:val="right" w:leader="dot" w:pos="9026"/>
            </w:tabs>
            <w:spacing w:before="120" w:after="60"/>
          </w:pPr>
          <w:hyperlink w:anchor="_Toc100033" w:history="1">
            <w:r>
              <w:rPr>
                <w:rStyle w:val="Hyperlink"/>
              </w:rPr>
              <w:t>6. Carbon Intensity Indicator (CII)</w:t>
            </w:r>
            <w:r>
              <w:tab/>
            </w:r>
            <w:r>
              <w:fldChar w:fldCharType="begin"/>
            </w:r>
            <w:r>
              <w:instrText xml:space="preserve"> PAGEREF _Toc100033 \h </w:instrText>
            </w:r>
            <w:r>
              <w:fldChar w:fldCharType="separate"/>
            </w:r>
            <w:r>
              <w:t>20</w:t>
            </w:r>
            <w:r>
              <w:fldChar w:fldCharType="end"/>
            </w:r>
          </w:hyperlink>
        </w:p>
        <w:p>
          <w:pPr>
            <w:pStyle w:val="11"/>
            <w:ind w:left="360"/>
            <w:tabs>
              <w:tab w:val="right" w:leader="dot" w:pos="9026"/>
            </w:tabs>
            <w:spacing w:before="120" w:after="60"/>
          </w:pPr>
          <w:hyperlink w:anchor="_Toc100034" w:history="1">
            <w:r>
              <w:rPr>
                <w:rStyle w:val="Hyperlink"/>
              </w:rPr>
              <w:t>Purpose</w:t>
            </w:r>
            <w:r>
              <w:tab/>
            </w:r>
            <w:r>
              <w:fldChar w:fldCharType="begin"/>
            </w:r>
            <w:r>
              <w:instrText xml:space="preserve"> PAGEREF _Toc100034 \h </w:instrText>
            </w:r>
            <w:r>
              <w:fldChar w:fldCharType="separate"/>
            </w:r>
            <w:r>
              <w:t>20</w:t>
            </w:r>
            <w:r>
              <w:fldChar w:fldCharType="end"/>
            </w:r>
          </w:hyperlink>
        </w:p>
        <w:p>
          <w:pPr>
            <w:pStyle w:val="11"/>
            <w:ind w:left="360"/>
            <w:tabs>
              <w:tab w:val="right" w:leader="dot" w:pos="9026"/>
            </w:tabs>
            <w:spacing w:before="120" w:after="60"/>
          </w:pPr>
          <w:hyperlink w:anchor="_Toc100035" w:history="1">
            <w:r>
              <w:rPr>
                <w:rStyle w:val="Hyperlink"/>
              </w:rPr>
              <w:t>Required Documents</w:t>
            </w:r>
            <w:r>
              <w:tab/>
            </w:r>
            <w:r>
              <w:fldChar w:fldCharType="begin"/>
            </w:r>
            <w:r>
              <w:instrText xml:space="preserve"> PAGEREF _Toc100035 \h </w:instrText>
            </w:r>
            <w:r>
              <w:fldChar w:fldCharType="separate"/>
            </w:r>
            <w:r>
              <w:t>20</w:t>
            </w:r>
            <w:r>
              <w:fldChar w:fldCharType="end"/>
            </w:r>
          </w:hyperlink>
        </w:p>
        <w:p>
          <w:pPr>
            <w:pStyle w:val="11"/>
            <w:ind w:left="360"/>
            <w:tabs>
              <w:tab w:val="right" w:leader="dot" w:pos="9026"/>
            </w:tabs>
            <w:spacing w:before="120" w:after="60"/>
          </w:pPr>
          <w:hyperlink w:anchor="_Toc100036" w:history="1">
            <w:r>
              <w:rPr>
                <w:rStyle w:val="Hyperlink"/>
              </w:rPr>
              <w:t>Required Calculations</w:t>
            </w:r>
            <w:r>
              <w:tab/>
            </w:r>
            <w:r>
              <w:fldChar w:fldCharType="begin"/>
            </w:r>
            <w:r>
              <w:instrText xml:space="preserve"> PAGEREF _Toc100036 \h </w:instrText>
            </w:r>
            <w:r>
              <w:fldChar w:fldCharType="separate"/>
            </w:r>
            <w:r>
              <w:t>21</w:t>
            </w:r>
            <w:r>
              <w:fldChar w:fldCharType="end"/>
            </w:r>
          </w:hyperlink>
        </w:p>
        <w:p>
          <w:pPr>
            <w:pStyle w:val="11"/>
            <w:ind w:left="360"/>
            <w:tabs>
              <w:tab w:val="right" w:leader="dot" w:pos="9026"/>
            </w:tabs>
            <w:spacing w:before="120" w:after="60"/>
          </w:pPr>
          <w:hyperlink w:anchor="_Toc100037" w:history="1">
            <w:r>
              <w:rPr>
                <w:rStyle w:val="Hyperlink"/>
              </w:rPr>
              <w:t>Required Data</w:t>
            </w:r>
            <w:r>
              <w:tab/>
            </w:r>
            <w:r>
              <w:fldChar w:fldCharType="begin"/>
            </w:r>
            <w:r>
              <w:instrText xml:space="preserve"> PAGEREF _Toc100037 \h </w:instrText>
            </w:r>
            <w:r>
              <w:fldChar w:fldCharType="separate"/>
            </w:r>
            <w:r>
              <w:t>22</w:t>
            </w:r>
            <w:r>
              <w:fldChar w:fldCharType="end"/>
            </w:r>
          </w:hyperlink>
        </w:p>
        <w:p>
          <w:pPr>
            <w:pStyle w:val="11"/>
            <w:ind w:left="360"/>
            <w:tabs>
              <w:tab w:val="right" w:leader="dot" w:pos="9026"/>
            </w:tabs>
            <w:spacing w:before="120" w:after="60"/>
          </w:pPr>
          <w:hyperlink w:anchor="_Toc100038" w:history="1">
            <w:r>
              <w:rPr>
                <w:rStyle w:val="Hyperlink"/>
              </w:rPr>
              <w:t>Reporting Frequency</w:t>
            </w:r>
            <w:r>
              <w:tab/>
            </w:r>
            <w:r>
              <w:fldChar w:fldCharType="begin"/>
            </w:r>
            <w:r>
              <w:instrText xml:space="preserve"> PAGEREF _Toc100038 \h </w:instrText>
            </w:r>
            <w:r>
              <w:fldChar w:fldCharType="separate"/>
            </w:r>
            <w:r>
              <w:t>22</w:t>
            </w:r>
            <w:r>
              <w:fldChar w:fldCharType="end"/>
            </w:r>
          </w:hyperlink>
        </w:p>
        <w:p>
          <w:pPr>
            <w:pStyle w:val="11"/>
            <w:ind w:left="360"/>
            <w:tabs>
              <w:tab w:val="right" w:leader="dot" w:pos="9026"/>
            </w:tabs>
            <w:spacing w:before="120" w:after="60"/>
          </w:pPr>
          <w:hyperlink w:anchor="_Toc100039" w:history="1">
            <w:r>
              <w:rPr>
                <w:rStyle w:val="Hyperlink"/>
              </w:rPr>
              <w:t>Common Compliance Mistakes</w:t>
            </w:r>
            <w:r>
              <w:tab/>
            </w:r>
            <w:r>
              <w:fldChar w:fldCharType="begin"/>
            </w:r>
            <w:r>
              <w:instrText xml:space="preserve"> PAGEREF _Toc100039 \h </w:instrText>
            </w:r>
            <w:r>
              <w:fldChar w:fldCharType="separate"/>
            </w:r>
            <w:r>
              <w:t>22</w:t>
            </w:r>
            <w:r>
              <w:fldChar w:fldCharType="end"/>
            </w:r>
          </w:hyperlink>
        </w:p>
        <w:p>
          <w:pPr>
            <w:pStyle w:val="11"/>
            <w:ind w:left="360"/>
            <w:tabs>
              <w:tab w:val="right" w:leader="dot" w:pos="9026"/>
            </w:tabs>
            <w:spacing w:before="120" w:after="60"/>
          </w:pPr>
          <w:hyperlink w:anchor="_Toc100040" w:history="1">
            <w:r>
              <w:rPr>
                <w:rStyle w:val="Hyperlink"/>
              </w:rPr>
              <w:t>How Software Can Automate Compliance</w:t>
            </w:r>
            <w:r>
              <w:tab/>
            </w:r>
            <w:r>
              <w:fldChar w:fldCharType="begin"/>
            </w:r>
            <w:r>
              <w:instrText xml:space="preserve"> PAGEREF _Toc100040 \h </w:instrText>
            </w:r>
            <w:r>
              <w:fldChar w:fldCharType="separate"/>
            </w:r>
            <w:r>
              <w:t>23</w:t>
            </w:r>
            <w:r>
              <w:fldChar w:fldCharType="end"/>
            </w:r>
          </w:hyperlink>
        </w:p>
        <w:p>
          <w:pPr>
            <w:pStyle w:val="9"/>
            <w:tabs>
              <w:tab w:val="right" w:leader="dot" w:pos="9026"/>
            </w:tabs>
            <w:spacing w:before="120" w:after="60"/>
          </w:pPr>
          <w:hyperlink w:anchor="_Toc100041" w:history="1">
            <w:r>
              <w:rPr>
                <w:rStyle w:val="Hyperlink"/>
              </w:rPr>
              <w:t>7. Energy Efficiency Existing Ship Index (EEXI)</w:t>
            </w:r>
            <w:r>
              <w:tab/>
            </w:r>
            <w:r>
              <w:fldChar w:fldCharType="begin"/>
            </w:r>
            <w:r>
              <w:instrText xml:space="preserve"> PAGEREF _Toc100041 \h </w:instrText>
            </w:r>
            <w:r>
              <w:fldChar w:fldCharType="separate"/>
            </w:r>
            <w:r>
              <w:t>24</w:t>
            </w:r>
            <w:r>
              <w:fldChar w:fldCharType="end"/>
            </w:r>
          </w:hyperlink>
        </w:p>
        <w:p>
          <w:pPr>
            <w:pStyle w:val="11"/>
            <w:ind w:left="360"/>
            <w:tabs>
              <w:tab w:val="right" w:leader="dot" w:pos="9026"/>
            </w:tabs>
            <w:spacing w:before="120" w:after="60"/>
          </w:pPr>
          <w:hyperlink w:anchor="_Toc100042" w:history="1">
            <w:r>
              <w:rPr>
                <w:rStyle w:val="Hyperlink"/>
              </w:rPr>
              <w:t>Purpose</w:t>
            </w:r>
            <w:r>
              <w:tab/>
            </w:r>
            <w:r>
              <w:fldChar w:fldCharType="begin"/>
            </w:r>
            <w:r>
              <w:instrText xml:space="preserve"> PAGEREF _Toc100042 \h </w:instrText>
            </w:r>
            <w:r>
              <w:fldChar w:fldCharType="separate"/>
            </w:r>
            <w:r>
              <w:t>24</w:t>
            </w:r>
            <w:r>
              <w:fldChar w:fldCharType="end"/>
            </w:r>
          </w:hyperlink>
        </w:p>
        <w:p>
          <w:pPr>
            <w:pStyle w:val="11"/>
            <w:ind w:left="360"/>
            <w:tabs>
              <w:tab w:val="right" w:leader="dot" w:pos="9026"/>
            </w:tabs>
            <w:spacing w:before="120" w:after="60"/>
          </w:pPr>
          <w:hyperlink w:anchor="_Toc100043" w:history="1">
            <w:r>
              <w:rPr>
                <w:rStyle w:val="Hyperlink"/>
              </w:rPr>
              <w:t>Required Documents</w:t>
            </w:r>
            <w:r>
              <w:tab/>
            </w:r>
            <w:r>
              <w:fldChar w:fldCharType="begin"/>
            </w:r>
            <w:r>
              <w:instrText xml:space="preserve"> PAGEREF _Toc100043 \h </w:instrText>
            </w:r>
            <w:r>
              <w:fldChar w:fldCharType="separate"/>
            </w:r>
            <w:r>
              <w:t>24</w:t>
            </w:r>
            <w:r>
              <w:fldChar w:fldCharType="end"/>
            </w:r>
          </w:hyperlink>
        </w:p>
        <w:p>
          <w:pPr>
            <w:pStyle w:val="11"/>
            <w:ind w:left="360"/>
            <w:tabs>
              <w:tab w:val="right" w:leader="dot" w:pos="9026"/>
            </w:tabs>
            <w:spacing w:before="120" w:after="60"/>
          </w:pPr>
          <w:hyperlink w:anchor="_Toc100044" w:history="1">
            <w:r>
              <w:rPr>
                <w:rStyle w:val="Hyperlink"/>
              </w:rPr>
              <w:t>Required Calculations</w:t>
            </w:r>
            <w:r>
              <w:tab/>
            </w:r>
            <w:r>
              <w:fldChar w:fldCharType="begin"/>
            </w:r>
            <w:r>
              <w:instrText xml:space="preserve"> PAGEREF _Toc100044 \h </w:instrText>
            </w:r>
            <w:r>
              <w:fldChar w:fldCharType="separate"/>
            </w:r>
            <w:r>
              <w:t>25</w:t>
            </w:r>
            <w:r>
              <w:fldChar w:fldCharType="end"/>
            </w:r>
          </w:hyperlink>
        </w:p>
        <w:p>
          <w:pPr>
            <w:pStyle w:val="11"/>
            <w:ind w:left="360"/>
            <w:tabs>
              <w:tab w:val="right" w:leader="dot" w:pos="9026"/>
            </w:tabs>
            <w:spacing w:before="120" w:after="60"/>
          </w:pPr>
          <w:hyperlink w:anchor="_Toc100045" w:history="1">
            <w:r>
              <w:rPr>
                <w:rStyle w:val="Hyperlink"/>
              </w:rPr>
              <w:t>Required Data</w:t>
            </w:r>
            <w:r>
              <w:tab/>
            </w:r>
            <w:r>
              <w:fldChar w:fldCharType="begin"/>
            </w:r>
            <w:r>
              <w:instrText xml:space="preserve"> PAGEREF _Toc100045 \h </w:instrText>
            </w:r>
            <w:r>
              <w:fldChar w:fldCharType="separate"/>
            </w:r>
            <w:r>
              <w:t>26</w:t>
            </w:r>
            <w:r>
              <w:fldChar w:fldCharType="end"/>
            </w:r>
          </w:hyperlink>
        </w:p>
        <w:p>
          <w:pPr>
            <w:pStyle w:val="11"/>
            <w:ind w:left="360"/>
            <w:tabs>
              <w:tab w:val="right" w:leader="dot" w:pos="9026"/>
            </w:tabs>
            <w:spacing w:before="120" w:after="60"/>
          </w:pPr>
          <w:hyperlink w:anchor="_Toc100046" w:history="1">
            <w:r>
              <w:rPr>
                <w:rStyle w:val="Hyperlink"/>
              </w:rPr>
              <w:t>Reporting Frequency</w:t>
            </w:r>
            <w:r>
              <w:tab/>
            </w:r>
            <w:r>
              <w:fldChar w:fldCharType="begin"/>
            </w:r>
            <w:r>
              <w:instrText xml:space="preserve"> PAGEREF _Toc100046 \h </w:instrText>
            </w:r>
            <w:r>
              <w:fldChar w:fldCharType="separate"/>
            </w:r>
            <w:r>
              <w:t>26</w:t>
            </w:r>
            <w:r>
              <w:fldChar w:fldCharType="end"/>
            </w:r>
          </w:hyperlink>
        </w:p>
        <w:p>
          <w:pPr>
            <w:pStyle w:val="11"/>
            <w:ind w:left="360"/>
            <w:tabs>
              <w:tab w:val="right" w:leader="dot" w:pos="9026"/>
            </w:tabs>
            <w:spacing w:before="120" w:after="60"/>
          </w:pPr>
          <w:hyperlink w:anchor="_Toc100047" w:history="1">
            <w:r>
              <w:rPr>
                <w:rStyle w:val="Hyperlink"/>
              </w:rPr>
              <w:t>Common Compliance Mistakes</w:t>
            </w:r>
            <w:r>
              <w:tab/>
            </w:r>
            <w:r>
              <w:fldChar w:fldCharType="begin"/>
            </w:r>
            <w:r>
              <w:instrText xml:space="preserve"> PAGEREF _Toc100047 \h </w:instrText>
            </w:r>
            <w:r>
              <w:fldChar w:fldCharType="separate"/>
            </w:r>
            <w:r>
              <w:t>26</w:t>
            </w:r>
            <w:r>
              <w:fldChar w:fldCharType="end"/>
            </w:r>
          </w:hyperlink>
        </w:p>
        <w:p>
          <w:pPr>
            <w:pStyle w:val="11"/>
            <w:ind w:left="360"/>
            <w:tabs>
              <w:tab w:val="right" w:leader="dot" w:pos="9026"/>
            </w:tabs>
            <w:spacing w:before="120" w:after="60"/>
          </w:pPr>
          <w:hyperlink w:anchor="_Toc100048" w:history="1">
            <w:r>
              <w:rPr>
                <w:rStyle w:val="Hyperlink"/>
              </w:rPr>
              <w:t>How Software Can Automate Compliance</w:t>
            </w:r>
            <w:r>
              <w:tab/>
            </w:r>
            <w:r>
              <w:fldChar w:fldCharType="begin"/>
            </w:r>
            <w:r>
              <w:instrText xml:space="preserve"> PAGEREF _Toc100048 \h </w:instrText>
            </w:r>
            <w:r>
              <w:fldChar w:fldCharType="separate"/>
            </w:r>
            <w:r>
              <w:t>27</w:t>
            </w:r>
            <w:r>
              <w:fldChar w:fldCharType="end"/>
            </w:r>
          </w:hyperlink>
        </w:p>
        <w:p>
          <w:pPr>
            <w:pStyle w:val="9"/>
            <w:tabs>
              <w:tab w:val="right" w:leader="dot" w:pos="9026"/>
            </w:tabs>
            <w:spacing w:before="120" w:after="60"/>
          </w:pPr>
          <w:hyperlink w:anchor="_Toc100049" w:history="1">
            <w:r>
              <w:rPr>
                <w:rStyle w:val="Hyperlink"/>
              </w:rPr>
              <w:t>8. ISM Code (International Safety Management)</w:t>
            </w:r>
            <w:r>
              <w:tab/>
            </w:r>
            <w:r>
              <w:fldChar w:fldCharType="begin"/>
            </w:r>
            <w:r>
              <w:instrText xml:space="preserve"> PAGEREF _Toc100049 \h </w:instrText>
            </w:r>
            <w:r>
              <w:fldChar w:fldCharType="separate"/>
            </w:r>
            <w:r>
              <w:t>28</w:t>
            </w:r>
            <w:r>
              <w:fldChar w:fldCharType="end"/>
            </w:r>
          </w:hyperlink>
        </w:p>
        <w:p>
          <w:pPr>
            <w:pStyle w:val="11"/>
            <w:ind w:left="360"/>
            <w:tabs>
              <w:tab w:val="right" w:leader="dot" w:pos="9026"/>
            </w:tabs>
            <w:spacing w:before="120" w:after="60"/>
          </w:pPr>
          <w:hyperlink w:anchor="_Toc100050" w:history="1">
            <w:r>
              <w:rPr>
                <w:rStyle w:val="Hyperlink"/>
              </w:rPr>
              <w:t>Purpose</w:t>
            </w:r>
            <w:r>
              <w:tab/>
            </w:r>
            <w:r>
              <w:fldChar w:fldCharType="begin"/>
            </w:r>
            <w:r>
              <w:instrText xml:space="preserve"> PAGEREF _Toc100050 \h </w:instrText>
            </w:r>
            <w:r>
              <w:fldChar w:fldCharType="separate"/>
            </w:r>
            <w:r>
              <w:t>28</w:t>
            </w:r>
            <w:r>
              <w:fldChar w:fldCharType="end"/>
            </w:r>
          </w:hyperlink>
        </w:p>
        <w:p>
          <w:pPr>
            <w:pStyle w:val="11"/>
            <w:ind w:left="360"/>
            <w:tabs>
              <w:tab w:val="right" w:leader="dot" w:pos="9026"/>
            </w:tabs>
            <w:spacing w:before="120" w:after="60"/>
          </w:pPr>
          <w:hyperlink w:anchor="_Toc100051" w:history="1">
            <w:r>
              <w:rPr>
                <w:rStyle w:val="Hyperlink"/>
              </w:rPr>
              <w:t>Required Documents</w:t>
            </w:r>
            <w:r>
              <w:tab/>
            </w:r>
            <w:r>
              <w:fldChar w:fldCharType="begin"/>
            </w:r>
            <w:r>
              <w:instrText xml:space="preserve"> PAGEREF _Toc100051 \h </w:instrText>
            </w:r>
            <w:r>
              <w:fldChar w:fldCharType="separate"/>
            </w:r>
            <w:r>
              <w:t>29</w:t>
            </w:r>
            <w:r>
              <w:fldChar w:fldCharType="end"/>
            </w:r>
          </w:hyperlink>
        </w:p>
        <w:p>
          <w:pPr>
            <w:pStyle w:val="11"/>
            <w:ind w:left="360"/>
            <w:tabs>
              <w:tab w:val="right" w:leader="dot" w:pos="9026"/>
            </w:tabs>
            <w:spacing w:before="120" w:after="60"/>
          </w:pPr>
          <w:hyperlink w:anchor="_Toc100052" w:history="1">
            <w:r>
              <w:rPr>
                <w:rStyle w:val="Hyperlink"/>
              </w:rPr>
              <w:t>Required Calculations</w:t>
            </w:r>
            <w:r>
              <w:tab/>
            </w:r>
            <w:r>
              <w:fldChar w:fldCharType="begin"/>
            </w:r>
            <w:r>
              <w:instrText xml:space="preserve"> PAGEREF _Toc100052 \h </w:instrText>
            </w:r>
            <w:r>
              <w:fldChar w:fldCharType="separate"/>
            </w:r>
            <w:r>
              <w:t>29</w:t>
            </w:r>
            <w:r>
              <w:fldChar w:fldCharType="end"/>
            </w:r>
          </w:hyperlink>
        </w:p>
        <w:p>
          <w:pPr>
            <w:pStyle w:val="11"/>
            <w:ind w:left="360"/>
            <w:tabs>
              <w:tab w:val="right" w:leader="dot" w:pos="9026"/>
            </w:tabs>
            <w:spacing w:before="120" w:after="60"/>
          </w:pPr>
          <w:hyperlink w:anchor="_Toc100053" w:history="1">
            <w:r>
              <w:rPr>
                <w:rStyle w:val="Hyperlink"/>
              </w:rPr>
              <w:t>Required Data</w:t>
            </w:r>
            <w:r>
              <w:tab/>
            </w:r>
            <w:r>
              <w:fldChar w:fldCharType="begin"/>
            </w:r>
            <w:r>
              <w:instrText xml:space="preserve"> PAGEREF _Toc100053 \h </w:instrText>
            </w:r>
            <w:r>
              <w:fldChar w:fldCharType="separate"/>
            </w:r>
            <w:r>
              <w:t>30</w:t>
            </w:r>
            <w:r>
              <w:fldChar w:fldCharType="end"/>
            </w:r>
          </w:hyperlink>
        </w:p>
        <w:p>
          <w:pPr>
            <w:pStyle w:val="11"/>
            <w:ind w:left="360"/>
            <w:tabs>
              <w:tab w:val="right" w:leader="dot" w:pos="9026"/>
            </w:tabs>
            <w:spacing w:before="120" w:after="60"/>
          </w:pPr>
          <w:hyperlink w:anchor="_Toc100054" w:history="1">
            <w:r>
              <w:rPr>
                <w:rStyle w:val="Hyperlink"/>
              </w:rPr>
              <w:t>Reporting Frequency</w:t>
            </w:r>
            <w:r>
              <w:tab/>
            </w:r>
            <w:r>
              <w:fldChar w:fldCharType="begin"/>
            </w:r>
            <w:r>
              <w:instrText xml:space="preserve"> PAGEREF _Toc100054 \h </w:instrText>
            </w:r>
            <w:r>
              <w:fldChar w:fldCharType="separate"/>
            </w:r>
            <w:r>
              <w:t>30</w:t>
            </w:r>
            <w:r>
              <w:fldChar w:fldCharType="end"/>
            </w:r>
          </w:hyperlink>
        </w:p>
        <w:p>
          <w:pPr>
            <w:pStyle w:val="11"/>
            <w:ind w:left="360"/>
            <w:tabs>
              <w:tab w:val="right" w:leader="dot" w:pos="9026"/>
            </w:tabs>
            <w:spacing w:before="120" w:after="60"/>
          </w:pPr>
          <w:hyperlink w:anchor="_Toc100055" w:history="1">
            <w:r>
              <w:rPr>
                <w:rStyle w:val="Hyperlink"/>
              </w:rPr>
              <w:t>Common Compliance Mistakes</w:t>
            </w:r>
            <w:r>
              <w:tab/>
            </w:r>
            <w:r>
              <w:fldChar w:fldCharType="begin"/>
            </w:r>
            <w:r>
              <w:instrText xml:space="preserve"> PAGEREF _Toc100055 \h </w:instrText>
            </w:r>
            <w:r>
              <w:fldChar w:fldCharType="separate"/>
            </w:r>
            <w:r>
              <w:t>31</w:t>
            </w:r>
            <w:r>
              <w:fldChar w:fldCharType="end"/>
            </w:r>
          </w:hyperlink>
        </w:p>
        <w:p>
          <w:pPr>
            <w:pStyle w:val="11"/>
            <w:ind w:left="360"/>
            <w:tabs>
              <w:tab w:val="right" w:leader="dot" w:pos="9026"/>
            </w:tabs>
            <w:spacing w:before="120" w:after="60"/>
          </w:pPr>
          <w:hyperlink w:anchor="_Toc100056" w:history="1">
            <w:r>
              <w:rPr>
                <w:rStyle w:val="Hyperlink"/>
              </w:rPr>
              <w:t>How Software Can Automate Compliance</w:t>
            </w:r>
            <w:r>
              <w:tab/>
            </w:r>
            <w:r>
              <w:fldChar w:fldCharType="begin"/>
            </w:r>
            <w:r>
              <w:instrText xml:space="preserve"> PAGEREF _Toc100056 \h </w:instrText>
            </w:r>
            <w:r>
              <w:fldChar w:fldCharType="separate"/>
            </w:r>
            <w:r>
              <w:t>31</w:t>
            </w:r>
            <w:r>
              <w:fldChar w:fldCharType="end"/>
            </w:r>
          </w:hyperlink>
        </w:p>
        <w:p>
          <w:pPr>
            <w:pStyle w:val="9"/>
            <w:tabs>
              <w:tab w:val="right" w:leader="dot" w:pos="9026"/>
            </w:tabs>
            <w:spacing w:before="120" w:after="60"/>
          </w:pPr>
          <w:hyperlink w:anchor="_Toc100057" w:history="1">
            <w:r>
              <w:rPr>
                <w:rStyle w:val="Hyperlink"/>
              </w:rPr>
              <w:t>9. ISPS Code (International Ship and Port Facility Security)</w:t>
            </w:r>
            <w:r>
              <w:tab/>
            </w:r>
            <w:r>
              <w:fldChar w:fldCharType="begin"/>
            </w:r>
            <w:r>
              <w:instrText xml:space="preserve"> PAGEREF _Toc100057 \h </w:instrText>
            </w:r>
            <w:r>
              <w:fldChar w:fldCharType="separate"/>
            </w:r>
            <w:r>
              <w:t>32</w:t>
            </w:r>
            <w:r>
              <w:fldChar w:fldCharType="end"/>
            </w:r>
          </w:hyperlink>
        </w:p>
        <w:p>
          <w:pPr>
            <w:pStyle w:val="11"/>
            <w:ind w:left="360"/>
            <w:tabs>
              <w:tab w:val="right" w:leader="dot" w:pos="9026"/>
            </w:tabs>
            <w:spacing w:before="120" w:after="60"/>
          </w:pPr>
          <w:hyperlink w:anchor="_Toc100058" w:history="1">
            <w:r>
              <w:rPr>
                <w:rStyle w:val="Hyperlink"/>
              </w:rPr>
              <w:t>Purpose</w:t>
            </w:r>
            <w:r>
              <w:tab/>
            </w:r>
            <w:r>
              <w:fldChar w:fldCharType="begin"/>
            </w:r>
            <w:r>
              <w:instrText xml:space="preserve"> PAGEREF _Toc100058 \h </w:instrText>
            </w:r>
            <w:r>
              <w:fldChar w:fldCharType="separate"/>
            </w:r>
            <w:r>
              <w:t>32</w:t>
            </w:r>
            <w:r>
              <w:fldChar w:fldCharType="end"/>
            </w:r>
          </w:hyperlink>
        </w:p>
        <w:p>
          <w:pPr>
            <w:pStyle w:val="11"/>
            <w:ind w:left="360"/>
            <w:tabs>
              <w:tab w:val="right" w:leader="dot" w:pos="9026"/>
            </w:tabs>
            <w:spacing w:before="120" w:after="60"/>
          </w:pPr>
          <w:hyperlink w:anchor="_Toc100059" w:history="1">
            <w:r>
              <w:rPr>
                <w:rStyle w:val="Hyperlink"/>
              </w:rPr>
              <w:t>Required Documents</w:t>
            </w:r>
            <w:r>
              <w:tab/>
            </w:r>
            <w:r>
              <w:fldChar w:fldCharType="begin"/>
            </w:r>
            <w:r>
              <w:instrText xml:space="preserve"> PAGEREF _Toc100059 \h </w:instrText>
            </w:r>
            <w:r>
              <w:fldChar w:fldCharType="separate"/>
            </w:r>
            <w:r>
              <w:t>33</w:t>
            </w:r>
            <w:r>
              <w:fldChar w:fldCharType="end"/>
            </w:r>
          </w:hyperlink>
        </w:p>
        <w:p>
          <w:pPr>
            <w:pStyle w:val="11"/>
            <w:ind w:left="360"/>
            <w:tabs>
              <w:tab w:val="right" w:leader="dot" w:pos="9026"/>
            </w:tabs>
            <w:spacing w:before="120" w:after="60"/>
          </w:pPr>
          <w:hyperlink w:anchor="_Toc100060" w:history="1">
            <w:r>
              <w:rPr>
                <w:rStyle w:val="Hyperlink"/>
              </w:rPr>
              <w:t>Required Calculations</w:t>
            </w:r>
            <w:r>
              <w:tab/>
            </w:r>
            <w:r>
              <w:fldChar w:fldCharType="begin"/>
            </w:r>
            <w:r>
              <w:instrText xml:space="preserve"> PAGEREF _Toc100060 \h </w:instrText>
            </w:r>
            <w:r>
              <w:fldChar w:fldCharType="separate"/>
            </w:r>
            <w:r>
              <w:t>33</w:t>
            </w:r>
            <w:r>
              <w:fldChar w:fldCharType="end"/>
            </w:r>
          </w:hyperlink>
        </w:p>
        <w:p>
          <w:pPr>
            <w:pStyle w:val="11"/>
            <w:ind w:left="360"/>
            <w:tabs>
              <w:tab w:val="right" w:leader="dot" w:pos="9026"/>
            </w:tabs>
            <w:spacing w:before="120" w:after="60"/>
          </w:pPr>
          <w:hyperlink w:anchor="_Toc100061" w:history="1">
            <w:r>
              <w:rPr>
                <w:rStyle w:val="Hyperlink"/>
              </w:rPr>
              <w:t>Required Data</w:t>
            </w:r>
            <w:r>
              <w:tab/>
            </w:r>
            <w:r>
              <w:fldChar w:fldCharType="begin"/>
            </w:r>
            <w:r>
              <w:instrText xml:space="preserve"> PAGEREF _Toc100061 \h </w:instrText>
            </w:r>
            <w:r>
              <w:fldChar w:fldCharType="separate"/>
            </w:r>
            <w:r>
              <w:t>34</w:t>
            </w:r>
            <w:r>
              <w:fldChar w:fldCharType="end"/>
            </w:r>
          </w:hyperlink>
        </w:p>
        <w:p>
          <w:pPr>
            <w:pStyle w:val="11"/>
            <w:ind w:left="360"/>
            <w:tabs>
              <w:tab w:val="right" w:leader="dot" w:pos="9026"/>
            </w:tabs>
            <w:spacing w:before="120" w:after="60"/>
          </w:pPr>
          <w:hyperlink w:anchor="_Toc100062" w:history="1">
            <w:r>
              <w:rPr>
                <w:rStyle w:val="Hyperlink"/>
              </w:rPr>
              <w:t>Reporting Frequency</w:t>
            </w:r>
            <w:r>
              <w:tab/>
            </w:r>
            <w:r>
              <w:fldChar w:fldCharType="begin"/>
            </w:r>
            <w:r>
              <w:instrText xml:space="preserve"> PAGEREF _Toc100062 \h </w:instrText>
            </w:r>
            <w:r>
              <w:fldChar w:fldCharType="separate"/>
            </w:r>
            <w:r>
              <w:t>34</w:t>
            </w:r>
            <w:r>
              <w:fldChar w:fldCharType="end"/>
            </w:r>
          </w:hyperlink>
        </w:p>
        <w:p>
          <w:pPr>
            <w:pStyle w:val="11"/>
            <w:ind w:left="360"/>
            <w:tabs>
              <w:tab w:val="right" w:leader="dot" w:pos="9026"/>
            </w:tabs>
            <w:spacing w:before="120" w:after="60"/>
          </w:pPr>
          <w:hyperlink w:anchor="_Toc100063" w:history="1">
            <w:r>
              <w:rPr>
                <w:rStyle w:val="Hyperlink"/>
              </w:rPr>
              <w:t>Common Compliance Mistakes</w:t>
            </w:r>
            <w:r>
              <w:tab/>
            </w:r>
            <w:r>
              <w:fldChar w:fldCharType="begin"/>
            </w:r>
            <w:r>
              <w:instrText xml:space="preserve"> PAGEREF _Toc100063 \h </w:instrText>
            </w:r>
            <w:r>
              <w:fldChar w:fldCharType="separate"/>
            </w:r>
            <w:r>
              <w:t>35</w:t>
            </w:r>
            <w:r>
              <w:fldChar w:fldCharType="end"/>
            </w:r>
          </w:hyperlink>
        </w:p>
        <w:p>
          <w:pPr>
            <w:pStyle w:val="11"/>
            <w:ind w:left="360"/>
            <w:tabs>
              <w:tab w:val="right" w:leader="dot" w:pos="9026"/>
            </w:tabs>
            <w:spacing w:before="120" w:after="60"/>
          </w:pPr>
          <w:hyperlink w:anchor="_Toc100064" w:history="1">
            <w:r>
              <w:rPr>
                <w:rStyle w:val="Hyperlink"/>
              </w:rPr>
              <w:t>How Software Can Automate Compliance</w:t>
            </w:r>
            <w:r>
              <w:tab/>
            </w:r>
            <w:r>
              <w:fldChar w:fldCharType="begin"/>
            </w:r>
            <w:r>
              <w:instrText xml:space="preserve"> PAGEREF _Toc100064 \h </w:instrText>
            </w:r>
            <w:r>
              <w:fldChar w:fldCharType="separate"/>
            </w:r>
            <w:r>
              <w:t>35</w:t>
            </w:r>
            <w:r>
              <w:fldChar w:fldCharType="end"/>
            </w:r>
          </w:hyperlink>
        </w:p>
        <w:p>
          <w:pPr>
            <w:pStyle w:val="9"/>
            <w:tabs>
              <w:tab w:val="right" w:leader="dot" w:pos="9026"/>
            </w:tabs>
            <w:spacing w:before="120" w:after="60"/>
          </w:pPr>
          <w:hyperlink w:anchor="_Toc100065" w:history="1">
            <w:r>
              <w:rPr>
                <w:rStyle w:val="Hyperlink"/>
              </w:rPr>
              <w:t>10. MARPOL (International Convention for the Prevention of Pollution from Ships)</w:t>
            </w:r>
            <w:r>
              <w:tab/>
            </w:r>
            <w:r>
              <w:fldChar w:fldCharType="begin"/>
            </w:r>
            <w:r>
              <w:instrText xml:space="preserve"> PAGEREF _Toc100065 \h </w:instrText>
            </w:r>
            <w:r>
              <w:fldChar w:fldCharType="separate"/>
            </w:r>
            <w:r>
              <w:t>36</w:t>
            </w:r>
            <w:r>
              <w:fldChar w:fldCharType="end"/>
            </w:r>
          </w:hyperlink>
        </w:p>
        <w:p>
          <w:pPr>
            <w:pStyle w:val="11"/>
            <w:ind w:left="360"/>
            <w:tabs>
              <w:tab w:val="right" w:leader="dot" w:pos="9026"/>
            </w:tabs>
            <w:spacing w:before="120" w:after="60"/>
          </w:pPr>
          <w:hyperlink w:anchor="_Toc100066" w:history="1">
            <w:r>
              <w:rPr>
                <w:rStyle w:val="Hyperlink"/>
              </w:rPr>
              <w:t>Purpose</w:t>
            </w:r>
            <w:r>
              <w:tab/>
            </w:r>
            <w:r>
              <w:fldChar w:fldCharType="begin"/>
            </w:r>
            <w:r>
              <w:instrText xml:space="preserve"> PAGEREF _Toc100066 \h </w:instrText>
            </w:r>
            <w:r>
              <w:fldChar w:fldCharType="separate"/>
            </w:r>
            <w:r>
              <w:t>37</w:t>
            </w:r>
            <w:r>
              <w:fldChar w:fldCharType="end"/>
            </w:r>
          </w:hyperlink>
        </w:p>
        <w:p>
          <w:pPr>
            <w:pStyle w:val="11"/>
            <w:ind w:left="360"/>
            <w:tabs>
              <w:tab w:val="right" w:leader="dot" w:pos="9026"/>
            </w:tabs>
            <w:spacing w:before="120" w:after="60"/>
          </w:pPr>
          <w:hyperlink w:anchor="_Toc100067" w:history="1">
            <w:r>
              <w:rPr>
                <w:rStyle w:val="Hyperlink"/>
              </w:rPr>
              <w:t>Required Documents</w:t>
            </w:r>
            <w:r>
              <w:tab/>
            </w:r>
            <w:r>
              <w:fldChar w:fldCharType="begin"/>
            </w:r>
            <w:r>
              <w:instrText xml:space="preserve"> PAGEREF _Toc100067 \h </w:instrText>
            </w:r>
            <w:r>
              <w:fldChar w:fldCharType="separate"/>
            </w:r>
            <w:r>
              <w:t>37</w:t>
            </w:r>
            <w:r>
              <w:fldChar w:fldCharType="end"/>
            </w:r>
          </w:hyperlink>
        </w:p>
        <w:p>
          <w:pPr>
            <w:pStyle w:val="11"/>
            <w:ind w:left="360"/>
            <w:tabs>
              <w:tab w:val="right" w:leader="dot" w:pos="9026"/>
            </w:tabs>
            <w:spacing w:before="120" w:after="60"/>
          </w:pPr>
          <w:hyperlink w:anchor="_Toc100068" w:history="1">
            <w:r>
              <w:rPr>
                <w:rStyle w:val="Hyperlink"/>
              </w:rPr>
              <w:t>Required Calculations</w:t>
            </w:r>
            <w:r>
              <w:tab/>
            </w:r>
            <w:r>
              <w:fldChar w:fldCharType="begin"/>
            </w:r>
            <w:r>
              <w:instrText xml:space="preserve"> PAGEREF _Toc100068 \h </w:instrText>
            </w:r>
            <w:r>
              <w:fldChar w:fldCharType="separate"/>
            </w:r>
            <w:r>
              <w:t>38</w:t>
            </w:r>
            <w:r>
              <w:fldChar w:fldCharType="end"/>
            </w:r>
          </w:hyperlink>
        </w:p>
        <w:p>
          <w:pPr>
            <w:pStyle w:val="11"/>
            <w:ind w:left="360"/>
            <w:tabs>
              <w:tab w:val="right" w:leader="dot" w:pos="9026"/>
            </w:tabs>
            <w:spacing w:before="120" w:after="60"/>
          </w:pPr>
          <w:hyperlink w:anchor="_Toc100069" w:history="1">
            <w:r>
              <w:rPr>
                <w:rStyle w:val="Hyperlink"/>
              </w:rPr>
              <w:t>Required Data</w:t>
            </w:r>
            <w:r>
              <w:tab/>
            </w:r>
            <w:r>
              <w:fldChar w:fldCharType="begin"/>
            </w:r>
            <w:r>
              <w:instrText xml:space="preserve"> PAGEREF _Toc100069 \h </w:instrText>
            </w:r>
            <w:r>
              <w:fldChar w:fldCharType="separate"/>
            </w:r>
            <w:r>
              <w:t>38</w:t>
            </w:r>
            <w:r>
              <w:fldChar w:fldCharType="end"/>
            </w:r>
          </w:hyperlink>
        </w:p>
        <w:p>
          <w:pPr>
            <w:pStyle w:val="11"/>
            <w:ind w:left="360"/>
            <w:tabs>
              <w:tab w:val="right" w:leader="dot" w:pos="9026"/>
            </w:tabs>
            <w:spacing w:before="120" w:after="60"/>
          </w:pPr>
          <w:hyperlink w:anchor="_Toc100070" w:history="1">
            <w:r>
              <w:rPr>
                <w:rStyle w:val="Hyperlink"/>
              </w:rPr>
              <w:t>Reporting Frequency</w:t>
            </w:r>
            <w:r>
              <w:tab/>
            </w:r>
            <w:r>
              <w:fldChar w:fldCharType="begin"/>
            </w:r>
            <w:r>
              <w:instrText xml:space="preserve"> PAGEREF _Toc100070 \h </w:instrText>
            </w:r>
            <w:r>
              <w:fldChar w:fldCharType="separate"/>
            </w:r>
            <w:r>
              <w:t>39</w:t>
            </w:r>
            <w:r>
              <w:fldChar w:fldCharType="end"/>
            </w:r>
          </w:hyperlink>
        </w:p>
        <w:p>
          <w:pPr>
            <w:pStyle w:val="11"/>
            <w:ind w:left="360"/>
            <w:tabs>
              <w:tab w:val="right" w:leader="dot" w:pos="9026"/>
            </w:tabs>
            <w:spacing w:before="120" w:after="60"/>
          </w:pPr>
          <w:hyperlink w:anchor="_Toc100071" w:history="1">
            <w:r>
              <w:rPr>
                <w:rStyle w:val="Hyperlink"/>
              </w:rPr>
              <w:t>Common Compliance Mistakes</w:t>
            </w:r>
            <w:r>
              <w:tab/>
            </w:r>
            <w:r>
              <w:fldChar w:fldCharType="begin"/>
            </w:r>
            <w:r>
              <w:instrText xml:space="preserve"> PAGEREF _Toc100071 \h </w:instrText>
            </w:r>
            <w:r>
              <w:fldChar w:fldCharType="separate"/>
            </w:r>
            <w:r>
              <w:t>39</w:t>
            </w:r>
            <w:r>
              <w:fldChar w:fldCharType="end"/>
            </w:r>
          </w:hyperlink>
        </w:p>
        <w:p>
          <w:pPr>
            <w:pStyle w:val="11"/>
            <w:ind w:left="360"/>
            <w:tabs>
              <w:tab w:val="right" w:leader="dot" w:pos="9026"/>
            </w:tabs>
            <w:spacing w:before="120" w:after="60"/>
          </w:pPr>
          <w:hyperlink w:anchor="_Toc100072" w:history="1">
            <w:r>
              <w:rPr>
                <w:rStyle w:val="Hyperlink"/>
              </w:rPr>
              <w:t>How Software Can Automate Compliance</w:t>
            </w:r>
            <w:r>
              <w:tab/>
            </w:r>
            <w:r>
              <w:fldChar w:fldCharType="begin"/>
            </w:r>
            <w:r>
              <w:instrText xml:space="preserve"> PAGEREF _Toc100072 \h </w:instrText>
            </w:r>
            <w:r>
              <w:fldChar w:fldCharType="separate"/>
            </w:r>
            <w:r>
              <w:t>40</w:t>
            </w:r>
            <w:r>
              <w:fldChar w:fldCharType="end"/>
            </w:r>
          </w:hyperlink>
        </w:p>
        <w:p>
          <w:pPr>
            <w:pStyle w:val="9"/>
            <w:tabs>
              <w:tab w:val="right" w:leader="dot" w:pos="9026"/>
            </w:tabs>
            <w:spacing w:before="120" w:after="60"/>
          </w:pPr>
          <w:hyperlink w:anchor="_Toc100073" w:history="1">
            <w:r>
              <w:rPr>
                <w:rStyle w:val="Hyperlink"/>
              </w:rPr>
              <w:t>11. SOLAS (International Convention for the Safety of Life at Sea)</w:t>
            </w:r>
            <w:r>
              <w:tab/>
            </w:r>
            <w:r>
              <w:fldChar w:fldCharType="begin"/>
            </w:r>
            <w:r>
              <w:instrText xml:space="preserve"> PAGEREF _Toc100073 \h </w:instrText>
            </w:r>
            <w:r>
              <w:fldChar w:fldCharType="separate"/>
            </w:r>
            <w:r>
              <w:t>41</w:t>
            </w:r>
            <w:r>
              <w:fldChar w:fldCharType="end"/>
            </w:r>
          </w:hyperlink>
        </w:p>
        <w:p>
          <w:pPr>
            <w:pStyle w:val="11"/>
            <w:ind w:left="360"/>
            <w:tabs>
              <w:tab w:val="right" w:leader="dot" w:pos="9026"/>
            </w:tabs>
            <w:spacing w:before="120" w:after="60"/>
          </w:pPr>
          <w:hyperlink w:anchor="_Toc100074" w:history="1">
            <w:r>
              <w:rPr>
                <w:rStyle w:val="Hyperlink"/>
              </w:rPr>
              <w:t>Purpose</w:t>
            </w:r>
            <w:r>
              <w:tab/>
            </w:r>
            <w:r>
              <w:fldChar w:fldCharType="begin"/>
            </w:r>
            <w:r>
              <w:instrText xml:space="preserve"> PAGEREF _Toc100074 \h </w:instrText>
            </w:r>
            <w:r>
              <w:fldChar w:fldCharType="separate"/>
            </w:r>
            <w:r>
              <w:t>41</w:t>
            </w:r>
            <w:r>
              <w:fldChar w:fldCharType="end"/>
            </w:r>
          </w:hyperlink>
        </w:p>
        <w:p>
          <w:pPr>
            <w:pStyle w:val="11"/>
            <w:ind w:left="360"/>
            <w:tabs>
              <w:tab w:val="right" w:leader="dot" w:pos="9026"/>
            </w:tabs>
            <w:spacing w:before="120" w:after="60"/>
          </w:pPr>
          <w:hyperlink w:anchor="_Toc100075" w:history="1">
            <w:r>
              <w:rPr>
                <w:rStyle w:val="Hyperlink"/>
              </w:rPr>
              <w:t>Required Documents</w:t>
            </w:r>
            <w:r>
              <w:tab/>
            </w:r>
            <w:r>
              <w:fldChar w:fldCharType="begin"/>
            </w:r>
            <w:r>
              <w:instrText xml:space="preserve"> PAGEREF _Toc100075 \h </w:instrText>
            </w:r>
            <w:r>
              <w:fldChar w:fldCharType="separate"/>
            </w:r>
            <w:r>
              <w:t>41</w:t>
            </w:r>
            <w:r>
              <w:fldChar w:fldCharType="end"/>
            </w:r>
          </w:hyperlink>
        </w:p>
        <w:p>
          <w:pPr>
            <w:pStyle w:val="11"/>
            <w:ind w:left="360"/>
            <w:tabs>
              <w:tab w:val="right" w:leader="dot" w:pos="9026"/>
            </w:tabs>
            <w:spacing w:before="120" w:after="60"/>
          </w:pPr>
          <w:hyperlink w:anchor="_Toc100076" w:history="1">
            <w:r>
              <w:rPr>
                <w:rStyle w:val="Hyperlink"/>
              </w:rPr>
              <w:t>Required Calculations</w:t>
            </w:r>
            <w:r>
              <w:tab/>
            </w:r>
            <w:r>
              <w:fldChar w:fldCharType="begin"/>
            </w:r>
            <w:r>
              <w:instrText xml:space="preserve"> PAGEREF _Toc100076 \h </w:instrText>
            </w:r>
            <w:r>
              <w:fldChar w:fldCharType="separate"/>
            </w:r>
            <w:r>
              <w:t>42</w:t>
            </w:r>
            <w:r>
              <w:fldChar w:fldCharType="end"/>
            </w:r>
          </w:hyperlink>
        </w:p>
        <w:p>
          <w:pPr>
            <w:pStyle w:val="11"/>
            <w:ind w:left="360"/>
            <w:tabs>
              <w:tab w:val="right" w:leader="dot" w:pos="9026"/>
            </w:tabs>
            <w:spacing w:before="120" w:after="60"/>
          </w:pPr>
          <w:hyperlink w:anchor="_Toc100077" w:history="1">
            <w:r>
              <w:rPr>
                <w:rStyle w:val="Hyperlink"/>
              </w:rPr>
              <w:t>Required Data</w:t>
            </w:r>
            <w:r>
              <w:tab/>
            </w:r>
            <w:r>
              <w:fldChar w:fldCharType="begin"/>
            </w:r>
            <w:r>
              <w:instrText xml:space="preserve"> PAGEREF _Toc100077 \h </w:instrText>
            </w:r>
            <w:r>
              <w:fldChar w:fldCharType="separate"/>
            </w:r>
            <w:r>
              <w:t>43</w:t>
            </w:r>
            <w:r>
              <w:fldChar w:fldCharType="end"/>
            </w:r>
          </w:hyperlink>
        </w:p>
        <w:p>
          <w:pPr>
            <w:pStyle w:val="11"/>
            <w:ind w:left="360"/>
            <w:tabs>
              <w:tab w:val="right" w:leader="dot" w:pos="9026"/>
            </w:tabs>
            <w:spacing w:before="120" w:after="60"/>
          </w:pPr>
          <w:hyperlink w:anchor="_Toc100078" w:history="1">
            <w:r>
              <w:rPr>
                <w:rStyle w:val="Hyperlink"/>
              </w:rPr>
              <w:t>Reporting Frequency</w:t>
            </w:r>
            <w:r>
              <w:tab/>
            </w:r>
            <w:r>
              <w:fldChar w:fldCharType="begin"/>
            </w:r>
            <w:r>
              <w:instrText xml:space="preserve"> PAGEREF _Toc100078 \h </w:instrText>
            </w:r>
            <w:r>
              <w:fldChar w:fldCharType="separate"/>
            </w:r>
            <w:r>
              <w:t>43</w:t>
            </w:r>
            <w:r>
              <w:fldChar w:fldCharType="end"/>
            </w:r>
          </w:hyperlink>
        </w:p>
        <w:p>
          <w:pPr>
            <w:pStyle w:val="11"/>
            <w:ind w:left="360"/>
            <w:tabs>
              <w:tab w:val="right" w:leader="dot" w:pos="9026"/>
            </w:tabs>
            <w:spacing w:before="120" w:after="60"/>
          </w:pPr>
          <w:hyperlink w:anchor="_Toc100079" w:history="1">
            <w:r>
              <w:rPr>
                <w:rStyle w:val="Hyperlink"/>
              </w:rPr>
              <w:t>Common Compliance Mistakes</w:t>
            </w:r>
            <w:r>
              <w:tab/>
            </w:r>
            <w:r>
              <w:fldChar w:fldCharType="begin"/>
            </w:r>
            <w:r>
              <w:instrText xml:space="preserve"> PAGEREF _Toc100079 \h </w:instrText>
            </w:r>
            <w:r>
              <w:fldChar w:fldCharType="separate"/>
            </w:r>
            <w:r>
              <w:t>43</w:t>
            </w:r>
            <w:r>
              <w:fldChar w:fldCharType="end"/>
            </w:r>
          </w:hyperlink>
        </w:p>
        <w:p>
          <w:pPr>
            <w:pStyle w:val="11"/>
            <w:ind w:left="360"/>
            <w:tabs>
              <w:tab w:val="right" w:leader="dot" w:pos="9026"/>
            </w:tabs>
            <w:spacing w:before="120" w:after="60"/>
          </w:pPr>
          <w:hyperlink w:anchor="_Toc100080" w:history="1">
            <w:r>
              <w:rPr>
                <w:rStyle w:val="Hyperlink"/>
              </w:rPr>
              <w:t>How Software Can Automate Compliance</w:t>
            </w:r>
            <w:r>
              <w:tab/>
            </w:r>
            <w:r>
              <w:fldChar w:fldCharType="begin"/>
            </w:r>
            <w:r>
              <w:instrText xml:space="preserve"> PAGEREF _Toc100080 \h </w:instrText>
            </w:r>
            <w:r>
              <w:fldChar w:fldCharType="separate"/>
            </w:r>
            <w:r>
              <w:t>44</w:t>
            </w:r>
            <w:r>
              <w:fldChar w:fldCharType="end"/>
            </w:r>
          </w:hyperlink>
        </w:p>
        <w:p>
          <w:pPr>
            <w:pStyle w:val="9"/>
            <w:tabs>
              <w:tab w:val="right" w:leader="dot" w:pos="9026"/>
            </w:tabs>
            <w:spacing w:before="120" w:after="60"/>
          </w:pPr>
          <w:hyperlink w:anchor="_Toc100081" w:history="1">
            <w:r>
              <w:rPr>
                <w:rStyle w:val="Hyperlink"/>
              </w:rPr>
              <w:t>12. Cross-Regulation Analysis and Software Automation</w:t>
            </w:r>
            <w:r>
              <w:tab/>
            </w:r>
            <w:r>
              <w:fldChar w:fldCharType="begin"/>
            </w:r>
            <w:r>
              <w:instrText xml:space="preserve"> PAGEREF _Toc100081 \h </w:instrText>
            </w:r>
            <w:r>
              <w:fldChar w:fldCharType="separate"/>
            </w:r>
            <w:r>
              <w:t>45</w:t>
            </w:r>
            <w:r>
              <w:fldChar w:fldCharType="end"/>
            </w:r>
          </w:hyperlink>
        </w:p>
        <w:p>
          <w:pPr>
            <w:pStyle w:val="11"/>
            <w:ind w:left="360"/>
            <w:tabs>
              <w:tab w:val="right" w:leader="dot" w:pos="9026"/>
            </w:tabs>
            <w:spacing w:before="120" w:after="60"/>
          </w:pPr>
          <w:hyperlink w:anchor="_Toc100082" w:history="1">
            <w:r>
              <w:rPr>
                <w:rStyle w:val="Hyperlink"/>
              </w:rPr>
              <w:t>12.1 The Shared Data Layer</w:t>
            </w:r>
            <w:r>
              <w:tab/>
            </w:r>
            <w:r>
              <w:fldChar w:fldCharType="begin"/>
            </w:r>
            <w:r>
              <w:instrText xml:space="preserve"> PAGEREF _Toc100082 \h </w:instrText>
            </w:r>
            <w:r>
              <w:fldChar w:fldCharType="separate"/>
            </w:r>
            <w:r>
              <w:t>45</w:t>
            </w:r>
            <w:r>
              <w:fldChar w:fldCharType="end"/>
            </w:r>
          </w:hyperlink>
        </w:p>
        <w:p>
          <w:pPr>
            <w:pStyle w:val="11"/>
            <w:ind w:left="360"/>
            <w:tabs>
              <w:tab w:val="right" w:leader="dot" w:pos="9026"/>
            </w:tabs>
            <w:spacing w:before="120" w:after="60"/>
          </w:pPr>
          <w:hyperlink w:anchor="_Toc100083" w:history="1">
            <w:r>
              <w:rPr>
                <w:rStyle w:val="Hyperlink"/>
              </w:rPr>
              <w:t>12.2 Overlapping Obligations to Reconcile</w:t>
            </w:r>
            <w:r>
              <w:tab/>
            </w:r>
            <w:r>
              <w:fldChar w:fldCharType="begin"/>
            </w:r>
            <w:r>
              <w:instrText xml:space="preserve"> PAGEREF _Toc100083 \h </w:instrText>
            </w:r>
            <w:r>
              <w:fldChar w:fldCharType="separate"/>
            </w:r>
            <w:r>
              <w:t>46</w:t>
            </w:r>
            <w:r>
              <w:fldChar w:fldCharType="end"/>
            </w:r>
          </w:hyperlink>
        </w:p>
        <w:p>
          <w:pPr>
            <w:pStyle w:val="11"/>
            <w:ind w:left="360"/>
            <w:tabs>
              <w:tab w:val="right" w:leader="dot" w:pos="9026"/>
            </w:tabs>
            <w:spacing w:before="120" w:after="60"/>
          </w:pPr>
          <w:hyperlink w:anchor="_Toc100084" w:history="1">
            <w:r>
              <w:rPr>
                <w:rStyle w:val="Hyperlink"/>
              </w:rPr>
              <w:t>12.3 What a Compliance Platform Should Do</w:t>
            </w:r>
            <w:r>
              <w:tab/>
            </w:r>
            <w:r>
              <w:fldChar w:fldCharType="begin"/>
            </w:r>
            <w:r>
              <w:instrText xml:space="preserve"> PAGEREF _Toc100084 \h </w:instrText>
            </w:r>
            <w:r>
              <w:fldChar w:fldCharType="separate"/>
            </w:r>
            <w:r>
              <w:t>46</w:t>
            </w:r>
            <w:r>
              <w:fldChar w:fldCharType="end"/>
            </w:r>
          </w:hyperlink>
        </w:p>
        <w:p>
          <w:pPr>
            <w:pStyle w:val="9"/>
            <w:tabs>
              <w:tab w:val="right" w:leader="dot" w:pos="9026"/>
            </w:tabs>
            <w:spacing w:before="120" w:after="60"/>
          </w:pPr>
          <w:hyperlink w:anchor="_Toc100085" w:history="1">
            <w:r>
              <w:rPr>
                <w:rStyle w:val="Hyperlink"/>
              </w:rPr>
              <w:t>13. Conclusions and Recommendations</w:t>
            </w:r>
            <w:r>
              <w:tab/>
            </w:r>
            <w:r>
              <w:fldChar w:fldCharType="begin"/>
            </w:r>
            <w:r>
              <w:instrText xml:space="preserve"> PAGEREF _Toc100085 \h </w:instrText>
            </w:r>
            <w:r>
              <w:fldChar w:fldCharType="separate"/>
            </w:r>
            <w:r>
              <w:t>47</w:t>
            </w:r>
            <w:r>
              <w:fldChar w:fldCharType="end"/>
            </w:r>
          </w:hyperlink>
        </w:p>
        <w:p>
          <w:r>
            <w:fldChar w:fldCharType="end"/>
          </w:r>
        </w:p>
      </w:sdtContent>
    </w:sdt>
    <w:p>
      <w:pPr>
        <w:spacing w:before="200"/>
      </w:pPr>
      <w:r>
        <w:rPr>
          <w:rFonts w:ascii="Times New Roman"/>
          <w:i/>
          <w:iCs/>
          <w:color w:val="888888"/>
          <w:sz w:val="18"/>
          <w:szCs w:val="18"/>
        </w:rPr>
        <w:t xml:space="preserve">Note: This Table of Contents is generated via field codes. To ensure page-number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00" w:line="312"/>
      </w:pPr>
      <w:bookmarkStart w:id="100000" w:name="_Toc100000"/>
      <w:r>
        <w:rPr>
          <w:rFonts w:ascii="Times New Roman"/>
          <w:b/>
          <w:bCs/>
          <w:color w:val="0B1C2C"/>
          <w:sz w:val="32"/>
          <w:szCs w:val="32"/>
        </w:rPr>
        <w:t xml:space="preserve">1. Regulatory Landscape and How the Instruments Interact</w:t>
      </w:r>
      <w:bookmarkEnd w:id="100000"/>
    </w:p>
    <w:p>
      <w:pPr>
        <w:spacing w:after="80" w:line="312"/>
        <w:ind w:firstLine="360"/>
        <w:jc w:val="both"/>
      </w:pPr>
      <w:r>
        <w:rPr>
          <w:rFonts w:ascii="Times New Roman"/>
          <w:color w:val="000000"/>
          <w:sz w:val="22"/>
          <w:szCs w:val="22"/>
        </w:rPr>
        <w:t xml:space="preserve">Maritime regulation is best understood as two concentric layers. The inner layer — SOLAS, MARPOL, the ISM Code and the ISPS Code — is the mature, global safety-and-environment baseline enforced through flag States, port States and Recognized Organizations. The outer layer, which has expanded rapidly since 2018, is the climate and energy regime: IMO DCS, CII and EEXI at the global level, and EU MRV, EU ETS and FuelEU Maritime as the European region's market-based and technology-forcing instruments.</w:t>
      </w:r>
    </w:p>
    <w:p>
      <w:pPr>
        <w:spacing w:after="80" w:line="312"/>
        <w:ind w:firstLine="360"/>
        <w:jc w:val="both"/>
      </w:pPr>
      <w:r>
        <w:rPr>
          <w:rFonts w:ascii="Times New Roman"/>
          <w:color w:val="000000"/>
          <w:sz w:val="22"/>
          <w:szCs w:val="22"/>
        </w:rPr>
        <w:t xml:space="preserve">Although each instrument is legally distinct, they share most of the same raw data. Fuel consumption, distance travelled, hours underway, cargo carried and emission-factor values feed IMO DCS, EU MRV, CII, EU ETS and FuelEU Maritime simultaneously. The conventions differ in scope (global versus EU), unit (well-to-wake versus tank-to-wake), geography (100% of EU voyages versus 50% of inbound/outbound voyages), and mechanism (reporting, index, rating, allowance surrender or penalty). Understanding these overlaps is the prerequisite for building a compliance system that captures data once and reports it many ways.</w:t>
      </w:r>
    </w:p>
    <w:p>
      <w:pPr>
        <w:keepNext/>
        <w:spacing w:after="80" w:before="160" w:line="300"/>
        <w:jc w:val="left"/>
      </w:pPr>
      <w:r>
        <w:rPr>
          <w:rFonts w:ascii="Times New Roman"/>
          <w:b/>
          <w:bCs/>
          <w:color w:val="506070"/>
          <w:sz w:val="20"/>
          <w:szCs w:val="20"/>
        </w:rPr>
        <w:t xml:space="preserve">Table 1: Quick-reference comparison of the ten instruments covered in this report</w:t>
      </w:r>
    </w:p>
    <w:tbl>
      <w:tblPr>
        <w:tblW w:type="pct" w:w="100%"/>
        <w:tblBorders>
          <w:top w:val="single" w:color="0B1C2C" w:sz="4"/>
          <w:left w:val="none"/>
          <w:bottom w:val="single" w:color="0B1C2C" w:sz="4"/>
          <w:right w:val="none"/>
          <w:insideH w:val="single" w:color="C4D2CE" w:sz="1"/>
          <w:insideV w:val="none"/>
        </w:tblBorders>
        <w:tblLayout w:type="fixed"/>
      </w:tblPr>
      <w:tblGrid>
        <w:gridCol w:w="100"/>
        <w:gridCol w:w="100"/>
        <w:gridCol w:w="100"/>
        <w:gridCol w:w="100"/>
      </w:tblGrid>
      <w:tr>
        <w:trPr>
          <w:cantSplit/>
          <w:tblHeader/>
        </w:trPr>
        <w:tc>
          <w:tcPr>
            <w:tcW w:type="pct" w:w="22%"/>
            <w:shd w:fill="2A6B5E" w:val="clear"/>
            <w:tcMar>
              <w:top w:type="dxa" w:w="80"/>
              <w:left w:type="dxa" w:w="120"/>
              <w:bottom w:type="dxa" w:w="80"/>
              <w:right w:type="dxa" w:w="120"/>
            </w:tcMar>
          </w:tcPr>
          <w:p>
            <w:pPr>
              <w:spacing w:line="280"/>
            </w:pPr>
            <w:r>
              <w:rPr>
                <w:rFonts w:ascii="Times New Roman"/>
                <w:b/>
                <w:bCs/>
                <w:color w:val="FFFFFF"/>
                <w:sz w:val="20"/>
                <w:szCs w:val="20"/>
              </w:rPr>
              <w:t xml:space="preserve">Instrument</w:t>
            </w:r>
          </w:p>
        </w:tc>
        <w:tc>
          <w:tcPr>
            <w:tcW w:type="pct" w:w="18%"/>
            <w:shd w:fill="2A6B5E" w:val="clear"/>
            <w:tcMar>
              <w:top w:type="dxa" w:w="80"/>
              <w:left w:type="dxa" w:w="120"/>
              <w:bottom w:type="dxa" w:w="80"/>
              <w:right w:type="dxa" w:w="120"/>
            </w:tcMar>
          </w:tcPr>
          <w:p>
            <w:pPr>
              <w:spacing w:line="280"/>
            </w:pPr>
            <w:r>
              <w:rPr>
                <w:rFonts w:ascii="Times New Roman"/>
                <w:b/>
                <w:bCs/>
                <w:color w:val="FFFFFF"/>
                <w:sz w:val="20"/>
                <w:szCs w:val="20"/>
              </w:rPr>
              <w:t xml:space="preserve">Source</w:t>
            </w:r>
          </w:p>
        </w:tc>
        <w:tc>
          <w:tcPr>
            <w:tcW w:type="pct" w:w="32%"/>
            <w:shd w:fill="2A6B5E" w:val="clear"/>
            <w:tcMar>
              <w:top w:type="dxa" w:w="80"/>
              <w:left w:type="dxa" w:w="120"/>
              <w:bottom w:type="dxa" w:w="80"/>
              <w:right w:type="dxa" w:w="120"/>
            </w:tcMar>
          </w:tcPr>
          <w:p>
            <w:pPr>
              <w:spacing w:line="280"/>
            </w:pPr>
            <w:r>
              <w:rPr>
                <w:rFonts w:ascii="Times New Roman"/>
                <w:b/>
                <w:bCs/>
                <w:color w:val="FFFFFF"/>
                <w:sz w:val="20"/>
                <w:szCs w:val="20"/>
              </w:rPr>
              <w:t xml:space="preserve">Primary mechanism</w:t>
            </w:r>
          </w:p>
        </w:tc>
        <w:tc>
          <w:tcPr>
            <w:tcW w:type="pct" w:w="28%"/>
            <w:shd w:fill="2A6B5E" w:val="clear"/>
            <w:tcMar>
              <w:top w:type="dxa" w:w="80"/>
              <w:left w:type="dxa" w:w="120"/>
              <w:bottom w:type="dxa" w:w="80"/>
              <w:right w:type="dxa" w:w="120"/>
            </w:tcMar>
          </w:tcPr>
          <w:p>
            <w:pPr>
              <w:spacing w:line="280"/>
            </w:pPr>
            <w:r>
              <w:rPr>
                <w:rFonts w:ascii="Times New Roman"/>
                <w:b/>
                <w:bCs/>
                <w:color w:val="FFFFFF"/>
                <w:sz w:val="20"/>
                <w:szCs w:val="20"/>
              </w:rPr>
              <w:t xml:space="preserve">Core metric</w:t>
            </w:r>
          </w:p>
        </w:tc>
      </w:tr>
      <w:tr>
        <w:trPr>
          <w:cantSplit/>
        </w:trPr>
        <w:tc>
          <w:tcPr>
            <w:tcW w:type="pct" w:w="22%"/>
            <w:shd w:fill="EAF0EE" w:val="clear"/>
            <w:tcMar>
              <w:top w:type="dxa" w:w="70"/>
              <w:left w:type="dxa" w:w="120"/>
              <w:bottom w:type="dxa" w:w="70"/>
              <w:right w:type="dxa" w:w="120"/>
            </w:tcMar>
          </w:tcPr>
          <w:p>
            <w:pPr>
              <w:spacing w:after="0" w:line="276"/>
            </w:pPr>
            <w:r>
              <w:rPr>
                <w:rFonts w:ascii="Times New Roman"/>
                <w:color w:val="000000"/>
                <w:sz w:val="19"/>
                <w:szCs w:val="19"/>
              </w:rPr>
              <w:t xml:space="preserve">IMO DCS</w:t>
            </w:r>
          </w:p>
        </w:tc>
        <w:tc>
          <w:tcPr>
            <w:tcW w:type="pct" w:w="18%"/>
            <w:shd w:fill="EAF0EE" w:val="clear"/>
            <w:tcMar>
              <w:top w:type="dxa" w:w="70"/>
              <w:left w:type="dxa" w:w="120"/>
              <w:bottom w:type="dxa" w:w="70"/>
              <w:right w:type="dxa" w:w="120"/>
            </w:tcMar>
          </w:tcPr>
          <w:p>
            <w:pPr>
              <w:spacing w:after="0" w:line="276"/>
            </w:pPr>
            <w:r>
              <w:rPr>
                <w:rFonts w:ascii="Times New Roman"/>
                <w:color w:val="000000"/>
                <w:sz w:val="19"/>
                <w:szCs w:val="19"/>
              </w:rPr>
              <w:t xml:space="preserve">IMO (MARPOL VI)</w:t>
            </w:r>
          </w:p>
        </w:tc>
        <w:tc>
          <w:tcPr>
            <w:tcW w:type="pct" w:w="32%"/>
            <w:shd w:fill="EAF0EE" w:val="clear"/>
            <w:tcMar>
              <w:top w:type="dxa" w:w="70"/>
              <w:left w:type="dxa" w:w="120"/>
              <w:bottom w:type="dxa" w:w="70"/>
              <w:right w:type="dxa" w:w="120"/>
            </w:tcMar>
          </w:tcPr>
          <w:p>
            <w:pPr>
              <w:spacing w:after="0" w:line="276"/>
            </w:pPr>
            <w:r>
              <w:rPr>
                <w:rFonts w:ascii="Times New Roman"/>
                <w:color w:val="000000"/>
                <w:sz w:val="19"/>
                <w:szCs w:val="19"/>
              </w:rPr>
              <w:t xml:space="preserve">Annual fuel-data reporting</w:t>
            </w:r>
          </w:p>
        </w:tc>
        <w:tc>
          <w:tcPr>
            <w:tcW w:type="pct" w:w="28%"/>
            <w:shd w:fill="EAF0EE" w:val="clear"/>
            <w:tcMar>
              <w:top w:type="dxa" w:w="70"/>
              <w:left w:type="dxa" w:w="120"/>
              <w:bottom w:type="dxa" w:w="70"/>
              <w:right w:type="dxa" w:w="120"/>
            </w:tcMar>
          </w:tcPr>
          <w:p>
            <w:pPr>
              <w:spacing w:after="0" w:line="276"/>
            </w:pPr>
            <w:r>
              <w:rPr>
                <w:rFonts w:ascii="Times New Roman"/>
                <w:color w:val="000000"/>
                <w:sz w:val="19"/>
                <w:szCs w:val="19"/>
              </w:rPr>
              <w:t xml:space="preserve">tCO2 per voyage/year</w:t>
            </w:r>
          </w:p>
        </w:tc>
      </w:tr>
      <w:tr>
        <w:trPr>
          <w:cantSplit/>
        </w:trPr>
        <w:tc>
          <w:tcPr>
            <w:tcW w:type="pct" w:w="22%"/>
            <w:shd w:fill="FFFFFF" w:val="clear"/>
            <w:tcMar>
              <w:top w:type="dxa" w:w="70"/>
              <w:left w:type="dxa" w:w="120"/>
              <w:bottom w:type="dxa" w:w="70"/>
              <w:right w:type="dxa" w:w="120"/>
            </w:tcMar>
          </w:tcPr>
          <w:p>
            <w:pPr>
              <w:spacing w:after="0" w:line="276"/>
            </w:pPr>
            <w:r>
              <w:rPr>
                <w:rFonts w:ascii="Times New Roman"/>
                <w:color w:val="000000"/>
                <w:sz w:val="19"/>
                <w:szCs w:val="19"/>
              </w:rPr>
              <w:t xml:space="preserve">EU MRV</w:t>
            </w:r>
          </w:p>
        </w:tc>
        <w:tc>
          <w:tcPr>
            <w:tcW w:type="pct" w:w="18%"/>
            <w:shd w:fill="FFFFFF" w:val="clear"/>
            <w:tcMar>
              <w:top w:type="dxa" w:w="70"/>
              <w:left w:type="dxa" w:w="120"/>
              <w:bottom w:type="dxa" w:w="70"/>
              <w:right w:type="dxa" w:w="120"/>
            </w:tcMar>
          </w:tcPr>
          <w:p>
            <w:pPr>
              <w:spacing w:after="0" w:line="276"/>
            </w:pPr>
            <w:r>
              <w:rPr>
                <w:rFonts w:ascii="Times New Roman"/>
                <w:color w:val="000000"/>
                <w:sz w:val="19"/>
                <w:szCs w:val="19"/>
              </w:rPr>
              <w:t xml:space="preserve">EU (Reg. 2015/757)</w:t>
            </w:r>
          </w:p>
        </w:tc>
        <w:tc>
          <w:tcPr>
            <w:tcW w:type="pct" w:w="32%"/>
            <w:shd w:fill="FFFFFF" w:val="clear"/>
            <w:tcMar>
              <w:top w:type="dxa" w:w="70"/>
              <w:left w:type="dxa" w:w="120"/>
              <w:bottom w:type="dxa" w:w="70"/>
              <w:right w:type="dxa" w:w="120"/>
            </w:tcMar>
          </w:tcPr>
          <w:p>
            <w:pPr>
              <w:spacing w:after="0" w:line="276"/>
            </w:pPr>
            <w:r>
              <w:rPr>
                <w:rFonts w:ascii="Times New Roman"/>
                <w:color w:val="000000"/>
                <w:sz w:val="19"/>
                <w:szCs w:val="19"/>
              </w:rPr>
              <w:t xml:space="preserve">Verified annual emissions report</w:t>
            </w:r>
          </w:p>
        </w:tc>
        <w:tc>
          <w:tcPr>
            <w:tcW w:type="pct" w:w="28%"/>
            <w:shd w:fill="FFFFFF" w:val="clear"/>
            <w:tcMar>
              <w:top w:type="dxa" w:w="70"/>
              <w:left w:type="dxa" w:w="120"/>
              <w:bottom w:type="dxa" w:w="70"/>
              <w:right w:type="dxa" w:w="120"/>
            </w:tcMar>
          </w:tcPr>
          <w:p>
            <w:pPr>
              <w:spacing w:after="0" w:line="276"/>
            </w:pPr>
            <w:r>
              <w:rPr>
                <w:rFonts w:ascii="Times New Roman"/>
                <w:color w:val="000000"/>
                <w:sz w:val="19"/>
                <w:szCs w:val="19"/>
              </w:rPr>
              <w:t xml:space="preserve">tCO2, transport work</w:t>
            </w:r>
          </w:p>
        </w:tc>
      </w:tr>
      <w:tr>
        <w:trPr>
          <w:cantSplit/>
        </w:trPr>
        <w:tc>
          <w:tcPr>
            <w:tcW w:type="pct" w:w="22%"/>
            <w:shd w:fill="EAF0EE" w:val="clear"/>
            <w:tcMar>
              <w:top w:type="dxa" w:w="70"/>
              <w:left w:type="dxa" w:w="120"/>
              <w:bottom w:type="dxa" w:w="70"/>
              <w:right w:type="dxa" w:w="120"/>
            </w:tcMar>
          </w:tcPr>
          <w:p>
            <w:pPr>
              <w:spacing w:after="0" w:line="276"/>
            </w:pPr>
            <w:r>
              <w:rPr>
                <w:rFonts w:ascii="Times New Roman"/>
                <w:color w:val="000000"/>
                <w:sz w:val="19"/>
                <w:szCs w:val="19"/>
              </w:rPr>
              <w:t xml:space="preserve">EU ETS</w:t>
            </w:r>
          </w:p>
        </w:tc>
        <w:tc>
          <w:tcPr>
            <w:tcW w:type="pct" w:w="18%"/>
            <w:shd w:fill="EAF0EE" w:val="clear"/>
            <w:tcMar>
              <w:top w:type="dxa" w:w="70"/>
              <w:left w:type="dxa" w:w="120"/>
              <w:bottom w:type="dxa" w:w="70"/>
              <w:right w:type="dxa" w:w="120"/>
            </w:tcMar>
          </w:tcPr>
          <w:p>
            <w:pPr>
              <w:spacing w:after="0" w:line="276"/>
            </w:pPr>
            <w:r>
              <w:rPr>
                <w:rFonts w:ascii="Times New Roman"/>
                <w:color w:val="000000"/>
                <w:sz w:val="19"/>
                <w:szCs w:val="19"/>
              </w:rPr>
              <w:t xml:space="preserve">EU (Dir. 2003/87)</w:t>
            </w:r>
          </w:p>
        </w:tc>
        <w:tc>
          <w:tcPr>
            <w:tcW w:type="pct" w:w="32%"/>
            <w:shd w:fill="EAF0EE" w:val="clear"/>
            <w:tcMar>
              <w:top w:type="dxa" w:w="70"/>
              <w:left w:type="dxa" w:w="120"/>
              <w:bottom w:type="dxa" w:w="70"/>
              <w:right w:type="dxa" w:w="120"/>
            </w:tcMar>
          </w:tcPr>
          <w:p>
            <w:pPr>
              <w:spacing w:after="0" w:line="276"/>
            </w:pPr>
            <w:r>
              <w:rPr>
                <w:rFonts w:ascii="Times New Roman"/>
                <w:color w:val="000000"/>
                <w:sz w:val="19"/>
                <w:szCs w:val="19"/>
              </w:rPr>
              <w:t xml:space="preserve">Allowance surrender (market-based)</w:t>
            </w:r>
          </w:p>
        </w:tc>
        <w:tc>
          <w:tcPr>
            <w:tcW w:type="pct" w:w="28%"/>
            <w:shd w:fill="EAF0EE" w:val="clear"/>
            <w:tcMar>
              <w:top w:type="dxa" w:w="70"/>
              <w:left w:type="dxa" w:w="120"/>
              <w:bottom w:type="dxa" w:w="70"/>
              <w:right w:type="dxa" w:w="120"/>
            </w:tcMar>
          </w:tcPr>
          <w:p>
            <w:pPr>
              <w:spacing w:after="0" w:line="276"/>
            </w:pPr>
            <w:r>
              <w:rPr>
                <w:rFonts w:ascii="Times New Roman"/>
                <w:color w:val="000000"/>
                <w:sz w:val="19"/>
                <w:szCs w:val="19"/>
              </w:rPr>
              <w:t xml:space="preserve">tCO2 / EUA price</w:t>
            </w:r>
          </w:p>
        </w:tc>
      </w:tr>
      <w:tr>
        <w:trPr>
          <w:cantSplit/>
        </w:trPr>
        <w:tc>
          <w:tcPr>
            <w:tcW w:type="pct" w:w="22%"/>
            <w:shd w:fill="FFFFFF" w:val="clear"/>
            <w:tcMar>
              <w:top w:type="dxa" w:w="70"/>
              <w:left w:type="dxa" w:w="120"/>
              <w:bottom w:type="dxa" w:w="70"/>
              <w:right w:type="dxa" w:w="120"/>
            </w:tcMar>
          </w:tcPr>
          <w:p>
            <w:pPr>
              <w:spacing w:after="0" w:line="276"/>
            </w:pPr>
            <w:r>
              <w:rPr>
                <w:rFonts w:ascii="Times New Roman"/>
                <w:color w:val="000000"/>
                <w:sz w:val="19"/>
                <w:szCs w:val="19"/>
              </w:rPr>
              <w:t xml:space="preserve">FuelEU Maritime</w:t>
            </w:r>
          </w:p>
        </w:tc>
        <w:tc>
          <w:tcPr>
            <w:tcW w:type="pct" w:w="18%"/>
            <w:shd w:fill="FFFFFF" w:val="clear"/>
            <w:tcMar>
              <w:top w:type="dxa" w:w="70"/>
              <w:left w:type="dxa" w:w="120"/>
              <w:bottom w:type="dxa" w:w="70"/>
              <w:right w:type="dxa" w:w="120"/>
            </w:tcMar>
          </w:tcPr>
          <w:p>
            <w:pPr>
              <w:spacing w:after="0" w:line="276"/>
            </w:pPr>
            <w:r>
              <w:rPr>
                <w:rFonts w:ascii="Times New Roman"/>
                <w:color w:val="000000"/>
                <w:sz w:val="19"/>
                <w:szCs w:val="19"/>
              </w:rPr>
              <w:t xml:space="preserve">EU (Reg. 2023/1805)</w:t>
            </w:r>
          </w:p>
        </w:tc>
        <w:tc>
          <w:tcPr>
            <w:tcW w:type="pct" w:w="32%"/>
            <w:shd w:fill="FFFFFF" w:val="clear"/>
            <w:tcMar>
              <w:top w:type="dxa" w:w="70"/>
              <w:left w:type="dxa" w:w="120"/>
              <w:bottom w:type="dxa" w:w="70"/>
              <w:right w:type="dxa" w:w="120"/>
            </w:tcMar>
          </w:tcPr>
          <w:p>
            <w:pPr>
              <w:spacing w:after="0" w:line="276"/>
            </w:pPr>
            <w:r>
              <w:rPr>
                <w:rFonts w:ascii="Times New Roman"/>
                <w:color w:val="000000"/>
                <w:sz w:val="19"/>
                <w:szCs w:val="19"/>
              </w:rPr>
              <w:t xml:space="preserve">GHG-intensity limit + penalty</w:t>
            </w:r>
          </w:p>
        </w:tc>
        <w:tc>
          <w:tcPr>
            <w:tcW w:type="pct" w:w="28%"/>
            <w:shd w:fill="FFFFFF" w:val="clear"/>
            <w:tcMar>
              <w:top w:type="dxa" w:w="70"/>
              <w:left w:type="dxa" w:w="120"/>
              <w:bottom w:type="dxa" w:w="70"/>
              <w:right w:type="dxa" w:w="120"/>
            </w:tcMar>
          </w:tcPr>
          <w:p>
            <w:pPr>
              <w:spacing w:after="0" w:line="276"/>
            </w:pPr>
            <w:r>
              <w:rPr>
                <w:rFonts w:ascii="Times New Roman"/>
                <w:color w:val="000000"/>
                <w:sz w:val="19"/>
                <w:szCs w:val="19"/>
              </w:rPr>
              <w:t xml:space="preserve">gCO2eq/MJ (WtW)</w:t>
            </w:r>
          </w:p>
        </w:tc>
      </w:tr>
      <w:tr>
        <w:trPr>
          <w:cantSplit/>
        </w:trPr>
        <w:tc>
          <w:tcPr>
            <w:tcW w:type="pct" w:w="22%"/>
            <w:shd w:fill="EAF0EE" w:val="clear"/>
            <w:tcMar>
              <w:top w:type="dxa" w:w="70"/>
              <w:left w:type="dxa" w:w="120"/>
              <w:bottom w:type="dxa" w:w="70"/>
              <w:right w:type="dxa" w:w="120"/>
            </w:tcMar>
          </w:tcPr>
          <w:p>
            <w:pPr>
              <w:spacing w:after="0" w:line="276"/>
            </w:pPr>
            <w:r>
              <w:rPr>
                <w:rFonts w:ascii="Times New Roman"/>
                <w:color w:val="000000"/>
                <w:sz w:val="19"/>
                <w:szCs w:val="19"/>
              </w:rPr>
              <w:t xml:space="preserve">CII</w:t>
            </w:r>
          </w:p>
        </w:tc>
        <w:tc>
          <w:tcPr>
            <w:tcW w:type="pct" w:w="18%"/>
            <w:shd w:fill="EAF0EE" w:val="clear"/>
            <w:tcMar>
              <w:top w:type="dxa" w:w="70"/>
              <w:left w:type="dxa" w:w="120"/>
              <w:bottom w:type="dxa" w:w="70"/>
              <w:right w:type="dxa" w:w="120"/>
            </w:tcMar>
          </w:tcPr>
          <w:p>
            <w:pPr>
              <w:spacing w:after="0" w:line="276"/>
            </w:pPr>
            <w:r>
              <w:rPr>
                <w:rFonts w:ascii="Times New Roman"/>
                <w:color w:val="000000"/>
                <w:sz w:val="19"/>
                <w:szCs w:val="19"/>
              </w:rPr>
              <w:t xml:space="preserve">IMO (MARPOL VI)</w:t>
            </w:r>
          </w:p>
        </w:tc>
        <w:tc>
          <w:tcPr>
            <w:tcW w:type="pct" w:w="32%"/>
            <w:shd w:fill="EAF0EE" w:val="clear"/>
            <w:tcMar>
              <w:top w:type="dxa" w:w="70"/>
              <w:left w:type="dxa" w:w="120"/>
              <w:bottom w:type="dxa" w:w="70"/>
              <w:right w:type="dxa" w:w="120"/>
            </w:tcMar>
          </w:tcPr>
          <w:p>
            <w:pPr>
              <w:spacing w:after="0" w:line="276"/>
            </w:pPr>
            <w:r>
              <w:rPr>
                <w:rFonts w:ascii="Times New Roman"/>
                <w:color w:val="000000"/>
                <w:sz w:val="19"/>
                <w:szCs w:val="19"/>
              </w:rPr>
              <w:t xml:space="preserve">Annual rating A–E</w:t>
            </w:r>
          </w:p>
        </w:tc>
        <w:tc>
          <w:tcPr>
            <w:tcW w:type="pct" w:w="28%"/>
            <w:shd w:fill="EAF0EE" w:val="clear"/>
            <w:tcMar>
              <w:top w:type="dxa" w:w="70"/>
              <w:left w:type="dxa" w:w="120"/>
              <w:bottom w:type="dxa" w:w="70"/>
              <w:right w:type="dxa" w:w="120"/>
            </w:tcMar>
          </w:tcPr>
          <w:p>
            <w:pPr>
              <w:spacing w:after="0" w:line="276"/>
            </w:pPr>
            <w:r>
              <w:rPr>
                <w:rFonts w:ascii="Times New Roman"/>
                <w:color w:val="000000"/>
                <w:sz w:val="19"/>
                <w:szCs w:val="19"/>
              </w:rPr>
              <w:t xml:space="preserve">gCO2/dwt·nm</w:t>
            </w:r>
          </w:p>
        </w:tc>
      </w:tr>
      <w:tr>
        <w:trPr>
          <w:cantSplit/>
        </w:trPr>
        <w:tc>
          <w:tcPr>
            <w:tcW w:type="pct" w:w="22%"/>
            <w:shd w:fill="FFFFFF" w:val="clear"/>
            <w:tcMar>
              <w:top w:type="dxa" w:w="70"/>
              <w:left w:type="dxa" w:w="120"/>
              <w:bottom w:type="dxa" w:w="70"/>
              <w:right w:type="dxa" w:w="120"/>
            </w:tcMar>
          </w:tcPr>
          <w:p>
            <w:pPr>
              <w:spacing w:after="0" w:line="276"/>
            </w:pPr>
            <w:r>
              <w:rPr>
                <w:rFonts w:ascii="Times New Roman"/>
                <w:color w:val="000000"/>
                <w:sz w:val="19"/>
                <w:szCs w:val="19"/>
              </w:rPr>
              <w:t xml:space="preserve">EEXI</w:t>
            </w:r>
          </w:p>
        </w:tc>
        <w:tc>
          <w:tcPr>
            <w:tcW w:type="pct" w:w="18%"/>
            <w:shd w:fill="FFFFFF" w:val="clear"/>
            <w:tcMar>
              <w:top w:type="dxa" w:w="70"/>
              <w:left w:type="dxa" w:w="120"/>
              <w:bottom w:type="dxa" w:w="70"/>
              <w:right w:type="dxa" w:w="120"/>
            </w:tcMar>
          </w:tcPr>
          <w:p>
            <w:pPr>
              <w:spacing w:after="0" w:line="276"/>
            </w:pPr>
            <w:r>
              <w:rPr>
                <w:rFonts w:ascii="Times New Roman"/>
                <w:color w:val="000000"/>
                <w:sz w:val="19"/>
                <w:szCs w:val="19"/>
              </w:rPr>
              <w:t xml:space="preserve">IMO (MARPOL VI)</w:t>
            </w:r>
          </w:p>
        </w:tc>
        <w:tc>
          <w:tcPr>
            <w:tcW w:type="pct" w:w="32%"/>
            <w:shd w:fill="FFFFFF" w:val="clear"/>
            <w:tcMar>
              <w:top w:type="dxa" w:w="70"/>
              <w:left w:type="dxa" w:w="120"/>
              <w:bottom w:type="dxa" w:w="70"/>
              <w:right w:type="dxa" w:w="120"/>
            </w:tcMar>
          </w:tcPr>
          <w:p>
            <w:pPr>
              <w:spacing w:after="0" w:line="276"/>
            </w:pPr>
            <w:r>
              <w:rPr>
                <w:rFonts w:ascii="Times New Roman"/>
                <w:color w:val="000000"/>
                <w:sz w:val="19"/>
                <w:szCs w:val="19"/>
              </w:rPr>
              <w:t xml:space="preserve">One-off technical index</w:t>
            </w:r>
          </w:p>
        </w:tc>
        <w:tc>
          <w:tcPr>
            <w:tcW w:type="pct" w:w="28%"/>
            <w:shd w:fill="FFFFFF" w:val="clear"/>
            <w:tcMar>
              <w:top w:type="dxa" w:w="70"/>
              <w:left w:type="dxa" w:w="120"/>
              <w:bottom w:type="dxa" w:w="70"/>
              <w:right w:type="dxa" w:w="120"/>
            </w:tcMar>
          </w:tcPr>
          <w:p>
            <w:pPr>
              <w:spacing w:after="0" w:line="276"/>
            </w:pPr>
            <w:r>
              <w:rPr>
                <w:rFonts w:ascii="Times New Roman"/>
                <w:color w:val="000000"/>
                <w:sz w:val="19"/>
                <w:szCs w:val="19"/>
              </w:rPr>
              <w:t xml:space="preserve">EEXI vs required</w:t>
            </w:r>
          </w:p>
        </w:tc>
      </w:tr>
      <w:tr>
        <w:trPr>
          <w:cantSplit/>
        </w:trPr>
        <w:tc>
          <w:tcPr>
            <w:tcW w:type="pct" w:w="22%"/>
            <w:shd w:fill="EAF0EE" w:val="clear"/>
            <w:tcMar>
              <w:top w:type="dxa" w:w="70"/>
              <w:left w:type="dxa" w:w="120"/>
              <w:bottom w:type="dxa" w:w="70"/>
              <w:right w:type="dxa" w:w="120"/>
            </w:tcMar>
          </w:tcPr>
          <w:p>
            <w:pPr>
              <w:spacing w:after="0" w:line="276"/>
            </w:pPr>
            <w:r>
              <w:rPr>
                <w:rFonts w:ascii="Times New Roman"/>
                <w:color w:val="000000"/>
                <w:sz w:val="19"/>
                <w:szCs w:val="19"/>
              </w:rPr>
              <w:t xml:space="preserve">ISM Code</w:t>
            </w:r>
          </w:p>
        </w:tc>
        <w:tc>
          <w:tcPr>
            <w:tcW w:type="pct" w:w="18%"/>
            <w:shd w:fill="EAF0EE" w:val="clear"/>
            <w:tcMar>
              <w:top w:type="dxa" w:w="70"/>
              <w:left w:type="dxa" w:w="120"/>
              <w:bottom w:type="dxa" w:w="70"/>
              <w:right w:type="dxa" w:w="120"/>
            </w:tcMar>
          </w:tcPr>
          <w:p>
            <w:pPr>
              <w:spacing w:after="0" w:line="276"/>
            </w:pPr>
            <w:r>
              <w:rPr>
                <w:rFonts w:ascii="Times New Roman"/>
                <w:color w:val="000000"/>
                <w:sz w:val="19"/>
                <w:szCs w:val="19"/>
              </w:rPr>
              <w:t xml:space="preserve">IMO (Res. A.741)</w:t>
            </w:r>
          </w:p>
        </w:tc>
        <w:tc>
          <w:tcPr>
            <w:tcW w:type="pct" w:w="32%"/>
            <w:shd w:fill="EAF0EE" w:val="clear"/>
            <w:tcMar>
              <w:top w:type="dxa" w:w="70"/>
              <w:left w:type="dxa" w:w="120"/>
              <w:bottom w:type="dxa" w:w="70"/>
              <w:right w:type="dxa" w:w="120"/>
            </w:tcMar>
          </w:tcPr>
          <w:p>
            <w:pPr>
              <w:spacing w:after="0" w:line="276"/>
            </w:pPr>
            <w:r>
              <w:rPr>
                <w:rFonts w:ascii="Times New Roman"/>
                <w:color w:val="000000"/>
                <w:sz w:val="19"/>
                <w:szCs w:val="19"/>
              </w:rPr>
              <w:t xml:space="preserve">Safety-management system</w:t>
            </w:r>
          </w:p>
        </w:tc>
        <w:tc>
          <w:tcPr>
            <w:tcW w:type="pct" w:w="28%"/>
            <w:shd w:fill="EAF0EE" w:val="clear"/>
            <w:tcMar>
              <w:top w:type="dxa" w:w="70"/>
              <w:left w:type="dxa" w:w="120"/>
              <w:bottom w:type="dxa" w:w="70"/>
              <w:right w:type="dxa" w:w="120"/>
            </w:tcMar>
          </w:tcPr>
          <w:p>
            <w:pPr>
              <w:spacing w:after="0" w:line="276"/>
            </w:pPr>
            <w:r>
              <w:rPr>
                <w:rFonts w:ascii="Times New Roman"/>
                <w:color w:val="000000"/>
                <w:sz w:val="19"/>
                <w:szCs w:val="19"/>
              </w:rPr>
              <w:t xml:space="preserve">SMS conformity</w:t>
            </w:r>
          </w:p>
        </w:tc>
      </w:tr>
      <w:tr>
        <w:trPr>
          <w:cantSplit/>
        </w:trPr>
        <w:tc>
          <w:tcPr>
            <w:tcW w:type="pct" w:w="22%"/>
            <w:shd w:fill="FFFFFF" w:val="clear"/>
            <w:tcMar>
              <w:top w:type="dxa" w:w="70"/>
              <w:left w:type="dxa" w:w="120"/>
              <w:bottom w:type="dxa" w:w="70"/>
              <w:right w:type="dxa" w:w="120"/>
            </w:tcMar>
          </w:tcPr>
          <w:p>
            <w:pPr>
              <w:spacing w:after="0" w:line="276"/>
            </w:pPr>
            <w:r>
              <w:rPr>
                <w:rFonts w:ascii="Times New Roman"/>
                <w:color w:val="000000"/>
                <w:sz w:val="19"/>
                <w:szCs w:val="19"/>
              </w:rPr>
              <w:t xml:space="preserve">ISPS Code</w:t>
            </w:r>
          </w:p>
        </w:tc>
        <w:tc>
          <w:tcPr>
            <w:tcW w:type="pct" w:w="18%"/>
            <w:shd w:fill="FFFFFF" w:val="clear"/>
            <w:tcMar>
              <w:top w:type="dxa" w:w="70"/>
              <w:left w:type="dxa" w:w="120"/>
              <w:bottom w:type="dxa" w:w="70"/>
              <w:right w:type="dxa" w:w="120"/>
            </w:tcMar>
          </w:tcPr>
          <w:p>
            <w:pPr>
              <w:spacing w:after="0" w:line="276"/>
            </w:pPr>
            <w:r>
              <w:rPr>
                <w:rFonts w:ascii="Times New Roman"/>
                <w:color w:val="000000"/>
                <w:sz w:val="19"/>
                <w:szCs w:val="19"/>
              </w:rPr>
              <w:t xml:space="preserve">IMO (Res. A.974)</w:t>
            </w:r>
          </w:p>
        </w:tc>
        <w:tc>
          <w:tcPr>
            <w:tcW w:type="pct" w:w="32%"/>
            <w:shd w:fill="FFFFFF" w:val="clear"/>
            <w:tcMar>
              <w:top w:type="dxa" w:w="70"/>
              <w:left w:type="dxa" w:w="120"/>
              <w:bottom w:type="dxa" w:w="70"/>
              <w:right w:type="dxa" w:w="120"/>
            </w:tcMar>
          </w:tcPr>
          <w:p>
            <w:pPr>
              <w:spacing w:after="0" w:line="276"/>
            </w:pPr>
            <w:r>
              <w:rPr>
                <w:rFonts w:ascii="Times New Roman"/>
                <w:color w:val="000000"/>
                <w:sz w:val="19"/>
                <w:szCs w:val="19"/>
              </w:rPr>
              <w:t xml:space="preserve">Ship &amp; port security plans</w:t>
            </w:r>
          </w:p>
        </w:tc>
        <w:tc>
          <w:tcPr>
            <w:tcW w:type="pct" w:w="28%"/>
            <w:shd w:fill="FFFFFF" w:val="clear"/>
            <w:tcMar>
              <w:top w:type="dxa" w:w="70"/>
              <w:left w:type="dxa" w:w="120"/>
              <w:bottom w:type="dxa" w:w="70"/>
              <w:right w:type="dxa" w:w="120"/>
            </w:tcMar>
          </w:tcPr>
          <w:p>
            <w:pPr>
              <w:spacing w:after="0" w:line="276"/>
            </w:pPr>
            <w:r>
              <w:rPr>
                <w:rFonts w:ascii="Times New Roman"/>
                <w:color w:val="000000"/>
                <w:sz w:val="19"/>
                <w:szCs w:val="19"/>
              </w:rPr>
              <w:t xml:space="preserve">Security level readiness</w:t>
            </w:r>
          </w:p>
        </w:tc>
      </w:tr>
      <w:tr>
        <w:trPr>
          <w:cantSplit/>
        </w:trPr>
        <w:tc>
          <w:tcPr>
            <w:tcW w:type="pct" w:w="22%"/>
            <w:shd w:fill="EAF0EE" w:val="clear"/>
            <w:tcMar>
              <w:top w:type="dxa" w:w="70"/>
              <w:left w:type="dxa" w:w="120"/>
              <w:bottom w:type="dxa" w:w="70"/>
              <w:right w:type="dxa" w:w="120"/>
            </w:tcMar>
          </w:tcPr>
          <w:p>
            <w:pPr>
              <w:spacing w:after="0" w:line="276"/>
            </w:pPr>
            <w:r>
              <w:rPr>
                <w:rFonts w:ascii="Times New Roman"/>
                <w:color w:val="000000"/>
                <w:sz w:val="19"/>
                <w:szCs w:val="19"/>
              </w:rPr>
              <w:t xml:space="preserve">MARPOL</w:t>
            </w:r>
          </w:p>
        </w:tc>
        <w:tc>
          <w:tcPr>
            <w:tcW w:type="pct" w:w="18%"/>
            <w:shd w:fill="EAF0EE" w:val="clear"/>
            <w:tcMar>
              <w:top w:type="dxa" w:w="70"/>
              <w:left w:type="dxa" w:w="120"/>
              <w:bottom w:type="dxa" w:w="70"/>
              <w:right w:type="dxa" w:w="120"/>
            </w:tcMar>
          </w:tcPr>
          <w:p>
            <w:pPr>
              <w:spacing w:after="0" w:line="276"/>
            </w:pPr>
            <w:r>
              <w:rPr>
                <w:rFonts w:ascii="Times New Roman"/>
                <w:color w:val="000000"/>
                <w:sz w:val="19"/>
                <w:szCs w:val="19"/>
              </w:rPr>
              <w:t xml:space="preserve">IMO (6 Annexes)</w:t>
            </w:r>
          </w:p>
        </w:tc>
        <w:tc>
          <w:tcPr>
            <w:tcW w:type="pct" w:w="32%"/>
            <w:shd w:fill="EAF0EE" w:val="clear"/>
            <w:tcMar>
              <w:top w:type="dxa" w:w="70"/>
              <w:left w:type="dxa" w:w="120"/>
              <w:bottom w:type="dxa" w:w="70"/>
              <w:right w:type="dxa" w:w="120"/>
            </w:tcMar>
          </w:tcPr>
          <w:p>
            <w:pPr>
              <w:spacing w:after="0" w:line="276"/>
            </w:pPr>
            <w:r>
              <w:rPr>
                <w:rFonts w:ascii="Times New Roman"/>
                <w:color w:val="000000"/>
                <w:sz w:val="19"/>
                <w:szCs w:val="19"/>
              </w:rPr>
              <w:t xml:space="preserve">Operational discharge limits</w:t>
            </w:r>
          </w:p>
        </w:tc>
        <w:tc>
          <w:tcPr>
            <w:tcW w:type="pct" w:w="28%"/>
            <w:shd w:fill="EAF0EE" w:val="clear"/>
            <w:tcMar>
              <w:top w:type="dxa" w:w="70"/>
              <w:left w:type="dxa" w:w="120"/>
              <w:bottom w:type="dxa" w:w="70"/>
              <w:right w:type="dxa" w:w="120"/>
            </w:tcMar>
          </w:tcPr>
          <w:p>
            <w:pPr>
              <w:spacing w:after="0" w:line="276"/>
            </w:pPr>
            <w:r>
              <w:rPr>
                <w:rFonts w:ascii="Times New Roman"/>
                <w:color w:val="000000"/>
                <w:sz w:val="19"/>
                <w:szCs w:val="19"/>
              </w:rPr>
              <w:t xml:space="preserve">Annex-specific</w:t>
            </w:r>
          </w:p>
        </w:tc>
      </w:tr>
      <w:tr>
        <w:trPr>
          <w:cantSplit/>
        </w:trPr>
        <w:tc>
          <w:tcPr>
            <w:tcW w:type="pct" w:w="22%"/>
            <w:shd w:fill="FFFFFF" w:val="clear"/>
            <w:tcMar>
              <w:top w:type="dxa" w:w="70"/>
              <w:left w:type="dxa" w:w="120"/>
              <w:bottom w:type="dxa" w:w="70"/>
              <w:right w:type="dxa" w:w="120"/>
            </w:tcMar>
          </w:tcPr>
          <w:p>
            <w:pPr>
              <w:spacing w:after="0" w:line="276"/>
            </w:pPr>
            <w:r>
              <w:rPr>
                <w:rFonts w:ascii="Times New Roman"/>
                <w:color w:val="000000"/>
                <w:sz w:val="19"/>
                <w:szCs w:val="19"/>
              </w:rPr>
              <w:t xml:space="preserve">SOLAS</w:t>
            </w:r>
          </w:p>
        </w:tc>
        <w:tc>
          <w:tcPr>
            <w:tcW w:type="pct" w:w="18%"/>
            <w:shd w:fill="FFFFFF" w:val="clear"/>
            <w:tcMar>
              <w:top w:type="dxa" w:w="70"/>
              <w:left w:type="dxa" w:w="120"/>
              <w:bottom w:type="dxa" w:w="70"/>
              <w:right w:type="dxa" w:w="120"/>
            </w:tcMar>
          </w:tcPr>
          <w:p>
            <w:pPr>
              <w:spacing w:after="0" w:line="276"/>
            </w:pPr>
            <w:r>
              <w:rPr>
                <w:rFonts w:ascii="Times New Roman"/>
                <w:color w:val="000000"/>
                <w:sz w:val="19"/>
                <w:szCs w:val="19"/>
              </w:rPr>
              <w:t xml:space="preserve">IMO (Chapters)</w:t>
            </w:r>
          </w:p>
        </w:tc>
        <w:tc>
          <w:tcPr>
            <w:tcW w:type="pct" w:w="32%"/>
            <w:shd w:fill="FFFFFF" w:val="clear"/>
            <w:tcMar>
              <w:top w:type="dxa" w:w="70"/>
              <w:left w:type="dxa" w:w="120"/>
              <w:bottom w:type="dxa" w:w="70"/>
              <w:right w:type="dxa" w:w="120"/>
            </w:tcMar>
          </w:tcPr>
          <w:p>
            <w:pPr>
              <w:spacing w:after="0" w:line="276"/>
            </w:pPr>
            <w:r>
              <w:rPr>
                <w:rFonts w:ascii="Times New Roman"/>
                <w:color w:val="000000"/>
                <w:sz w:val="19"/>
                <w:szCs w:val="19"/>
              </w:rPr>
              <w:t xml:space="preserve">Construction &amp; equipment</w:t>
            </w:r>
          </w:p>
        </w:tc>
        <w:tc>
          <w:tcPr>
            <w:tcW w:type="pct" w:w="28%"/>
            <w:shd w:fill="FFFFFF" w:val="clear"/>
            <w:tcMar>
              <w:top w:type="dxa" w:w="70"/>
              <w:left w:type="dxa" w:w="120"/>
              <w:bottom w:type="dxa" w:w="70"/>
              <w:right w:type="dxa" w:w="120"/>
            </w:tcMar>
          </w:tcPr>
          <w:p>
            <w:pPr>
              <w:spacing w:after="0" w:line="276"/>
            </w:pPr>
            <w:r>
              <w:rPr>
                <w:rFonts w:ascii="Times New Roman"/>
                <w:color w:val="000000"/>
                <w:sz w:val="19"/>
                <w:szCs w:val="19"/>
              </w:rPr>
              <w:t xml:space="preserve">Equipment/structural</w:t>
            </w:r>
          </w:p>
        </w:tc>
      </w:tr>
    </w:tbl>
    <w:p>
      <w:pPr>
        <w:spacing w:after="80" w:line="312"/>
        <w:ind w:firstLine="360"/>
        <w:jc w:val="both"/>
      </w:pPr>
      <w:r>
        <w:rPr>
          <w:rFonts w:ascii="Times New Roman"/>
          <w:color w:val="000000"/>
          <w:sz w:val="22"/>
          <w:szCs w:val="22"/>
        </w:rPr>
        <w:t xml:space="preserve">Each subsequent chapter follows an identical structure — purpose, documents, calculations, data, frequency, common mistakes and software automation — so that the instruments can be compared on a like-for-like basis. Where a value, threshold or date could change, it is marked as indicative and the reader is directed to the issuing body for the current text.</w:t>
      </w:r>
    </w:p>
    <w:p>
      <w:pPr>
        <w:pStyle w:val="Heading1"/>
        <w:spacing w:after="200" w:before="400" w:line="312"/>
      </w:pPr>
      <w:bookmarkStart w:id="100001" w:name="_Toc100001"/>
      <w:r>
        <w:rPr>
          <w:rFonts w:ascii="Times New Roman"/>
          <w:b/>
          <w:bCs/>
          <w:color w:val="0B1C2C"/>
          <w:sz w:val="32"/>
          <w:szCs w:val="32"/>
        </w:rPr>
        <w:t xml:space="preserve">2. IMO Data Collection System (DCS)</w:t>
      </w:r>
      <w:bookmarkEnd w:id="100001"/>
    </w:p>
    <w:p>
      <w:pPr>
        <w:spacing w:after="80" w:line="312"/>
        <w:ind w:firstLine="360"/>
        <w:jc w:val="both"/>
      </w:pPr>
      <w:r>
        <w:rPr>
          <w:rFonts w:ascii="Times New Roman"/>
          <w:color w:val="000000"/>
          <w:sz w:val="22"/>
          <w:szCs w:val="22"/>
        </w:rPr>
        <w:t xml:space="preserve">The IMO Data Collection System, in force since 1 March 2018 under MARPOL Annex VI, requires ships of 5,000 GT and above to record and report their annual fuel-oil consumption to their Administration. It was the first global, mandatory mechanism for collecting ships' fuel-use data and underpins the IMO's subsequent short-term greenhouse-gas measures, including CII.</w:t>
      </w:r>
    </w:p>
    <w:p>
      <w:pPr>
        <w:pStyle w:val="Heading2"/>
        <w:spacing w:after="140" w:before="280" w:line="312"/>
      </w:pPr>
      <w:bookmarkStart w:id="100002" w:name="_Toc100002"/>
      <w:r>
        <w:rPr>
          <w:rFonts w:ascii="Times New Roman"/>
          <w:b/>
          <w:bCs/>
          <w:color w:val="0B1C2C"/>
          <w:sz w:val="28"/>
          <w:szCs w:val="28"/>
        </w:rPr>
        <w:t xml:space="preserve">Purpose</w:t>
      </w:r>
      <w:bookmarkEnd w:id="100002"/>
    </w:p>
    <w:p>
      <w:pPr>
        <w:spacing w:after="80" w:line="312"/>
        <w:ind w:firstLine="360"/>
        <w:jc w:val="both"/>
      </w:pPr>
      <w:r>
        <w:rPr>
          <w:rFonts w:ascii="Times New Roman"/>
          <w:color w:val="000000"/>
          <w:sz w:val="22"/>
          <w:szCs w:val="22"/>
        </w:rPr>
        <w:t xml:space="preserve">DCS exists to give the IMO a verified, ship-level evidence base of aggregate fuel consumption and CO2 emissions. That base is used to track progress against the IMO Initial and Revised GHG Strategies (notably the 2030 and 2040 indicative checkpoints and the 2050 net-zero goal), to calibrate future measures, and to ensure each ship is accountable for the data it produces.</w:t>
      </w:r>
    </w:p>
    <w:p>
      <w:pPr>
        <w:pStyle w:val="Heading2"/>
        <w:spacing w:after="140" w:before="280" w:line="312"/>
      </w:pPr>
      <w:bookmarkStart w:id="100003" w:name="_Toc100003"/>
      <w:r>
        <w:rPr>
          <w:rFonts w:ascii="Times New Roman"/>
          <w:b/>
          <w:bCs/>
          <w:color w:val="0B1C2C"/>
          <w:sz w:val="28"/>
          <w:szCs w:val="28"/>
        </w:rPr>
        <w:t xml:space="preserve">Required Documents</w:t>
      </w:r>
      <w:bookmarkEnd w:id="100003"/>
    </w:p>
    <w:p>
      <w:pPr>
        <w:spacing w:after="80" w:line="312"/>
        <w:ind w:firstLine="360"/>
        <w:jc w:val="both"/>
      </w:pPr>
      <w:r>
        <w:rPr>
          <w:rFonts w:ascii="Times New Roman"/>
          <w:color w:val="000000"/>
          <w:sz w:val="22"/>
          <w:szCs w:val="22"/>
        </w:rPr>
        <w:t xml:space="preserve">The following documents form the core compliance evidence set for this regulation:</w:t>
      </w:r>
    </w:p>
    <w:p>
      <w:pPr>
        <w:pStyle w:val="ListParagraph"/>
        <w:numPr>
          <w:ilvl w:val="0"/>
          <w:numId w:val="1"/>
        </w:numPr>
        <w:spacing w:after="60" w:line="300"/>
      </w:pPr>
      <w:r>
        <w:rPr>
          <w:rFonts w:ascii="Times New Roman"/>
          <w:b/>
          <w:bCs/>
          <w:color w:val="000000"/>
          <w:sz w:val="22"/>
          <w:szCs w:val="22"/>
        </w:rPr>
        <w:t xml:space="preserve">Record of fuel consumption: </w:t>
      </w:r>
      <w:r>
        <w:rPr>
          <w:rFonts w:ascii="Times New Roman"/>
          <w:color w:val="000000"/>
          <w:sz w:val="22"/>
          <w:szCs w:val="22"/>
        </w:rPr>
        <w:t xml:space="preserve">the underlying shipboard log of fuel used per voyage and per year, by bunker type.</w:t>
      </w:r>
    </w:p>
    <w:p>
      <w:pPr>
        <w:pStyle w:val="ListParagraph"/>
        <w:numPr>
          <w:ilvl w:val="0"/>
          <w:numId w:val="1"/>
        </w:numPr>
        <w:spacing w:after="60" w:line="300"/>
      </w:pPr>
      <w:r>
        <w:rPr>
          <w:rFonts w:ascii="Times New Roman"/>
          <w:b/>
          <w:bCs/>
          <w:color w:val="000000"/>
          <w:sz w:val="22"/>
          <w:szCs w:val="22"/>
        </w:rPr>
        <w:t xml:space="preserve">DCS dataset (IMO format): </w:t>
      </w:r>
      <w:r>
        <w:rPr>
          <w:rFonts w:ascii="Times New Roman"/>
          <w:color w:val="000000"/>
          <w:sz w:val="22"/>
          <w:szCs w:val="22"/>
        </w:rPr>
        <w:t xml:space="preserve">the structured data record submitted to the Administration, covering consumption, distance, hours underway and method.</w:t>
      </w:r>
    </w:p>
    <w:p>
      <w:pPr>
        <w:pStyle w:val="ListParagraph"/>
        <w:numPr>
          <w:ilvl w:val="0"/>
          <w:numId w:val="1"/>
        </w:numPr>
        <w:spacing w:after="60" w:line="300"/>
      </w:pPr>
      <w:r>
        <w:rPr>
          <w:rFonts w:ascii="Times New Roman"/>
          <w:b/>
          <w:bCs/>
          <w:color w:val="000000"/>
          <w:sz w:val="22"/>
          <w:szCs w:val="22"/>
        </w:rPr>
        <w:t xml:space="preserve">Statement of Compliance (SoC): </w:t>
      </w:r>
      <w:r>
        <w:rPr>
          <w:rFonts w:ascii="Times New Roman"/>
          <w:color w:val="000000"/>
          <w:sz w:val="22"/>
          <w:szCs w:val="22"/>
        </w:rPr>
        <w:t xml:space="preserve">issued by the Administration or its Recognized Organization after verification, valid for the calendar year reported.</w:t>
      </w:r>
    </w:p>
    <w:p>
      <w:pPr>
        <w:pStyle w:val="ListParagraph"/>
        <w:numPr>
          <w:ilvl w:val="0"/>
          <w:numId w:val="1"/>
        </w:numPr>
        <w:spacing w:after="60" w:line="300"/>
      </w:pPr>
      <w:r>
        <w:rPr>
          <w:rFonts w:ascii="Times New Roman"/>
          <w:b/>
          <w:bCs/>
          <w:color w:val="000000"/>
          <w:sz w:val="22"/>
          <w:szCs w:val="22"/>
        </w:rPr>
        <w:t xml:space="preserve">SEEMP (Part I): </w:t>
      </w:r>
      <w:r>
        <w:rPr>
          <w:rFonts w:ascii="Times New Roman"/>
          <w:color w:val="000000"/>
          <w:sz w:val="22"/>
          <w:szCs w:val="22"/>
        </w:rPr>
        <w:t xml:space="preserve">the Ship Energy Efficiency Management Plan must be on board and referenced by the DCS process.</w:t>
      </w:r>
    </w:p>
    <w:p>
      <w:pPr>
        <w:pStyle w:val="Heading2"/>
        <w:spacing w:after="140" w:before="280" w:line="312"/>
      </w:pPr>
      <w:bookmarkStart w:id="100004" w:name="_Toc100004"/>
      <w:r>
        <w:rPr>
          <w:rFonts w:ascii="Times New Roman"/>
          <w:b/>
          <w:bCs/>
          <w:color w:val="0B1C2C"/>
          <w:sz w:val="28"/>
          <w:szCs w:val="28"/>
        </w:rPr>
        <w:t xml:space="preserve">Required Calculations</w:t>
      </w:r>
      <w:bookmarkEnd w:id="100004"/>
    </w:p>
    <w:p>
      <w:pPr>
        <w:spacing w:after="80" w:line="312"/>
        <w:ind w:firstLine="360"/>
        <w:jc w:val="both"/>
      </w:pPr>
      <w:r>
        <w:rPr>
          <w:rFonts w:ascii="Times New Roman"/>
          <w:color w:val="000000"/>
          <w:sz w:val="22"/>
          <w:szCs w:val="22"/>
        </w:rPr>
        <w:t xml:space="preserve">DCS itself is primarily a data-collection mechanism, but a small number of determinations must be made for the record to be valid:</w:t>
      </w:r>
    </w:p>
    <w:p>
      <w:pPr>
        <w:pStyle w:val="ListParagraph"/>
        <w:numPr>
          <w:ilvl w:val="0"/>
          <w:numId w:val="1"/>
        </w:numPr>
        <w:spacing w:after="60" w:line="300"/>
      </w:pPr>
      <w:r>
        <w:rPr>
          <w:rFonts w:ascii="Times New Roman"/>
          <w:b/>
          <w:bCs/>
          <w:color w:val="000000"/>
          <w:sz w:val="22"/>
          <w:szCs w:val="22"/>
        </w:rPr>
        <w:t xml:space="preserve">Annual fuel consumption by type: </w:t>
      </w:r>
      <w:r>
        <w:rPr>
          <w:rFonts w:ascii="Times New Roman"/>
          <w:color w:val="000000"/>
          <w:sz w:val="22"/>
          <w:szCs w:val="22"/>
        </w:rPr>
        <w:t xml:space="preserve">aggregation of HFO/VLSFO/MGO/LNG and other fuels, in metric tonnes, per the bunker delivery notes and tank soundings.</w:t>
      </w:r>
    </w:p>
    <w:p>
      <w:pPr>
        <w:pStyle w:val="ListParagraph"/>
        <w:numPr>
          <w:ilvl w:val="0"/>
          <w:numId w:val="1"/>
        </w:numPr>
        <w:spacing w:after="60" w:line="300"/>
      </w:pPr>
      <w:r>
        <w:rPr>
          <w:rFonts w:ascii="Times New Roman"/>
          <w:b/>
          <w:bCs/>
          <w:color w:val="000000"/>
          <w:sz w:val="22"/>
          <w:szCs w:val="22"/>
        </w:rPr>
        <w:t xml:space="preserve">Distance travelled: </w:t>
      </w:r>
      <w:r>
        <w:rPr>
          <w:rFonts w:ascii="Times New Roman"/>
          <w:color w:val="000000"/>
          <w:sz w:val="22"/>
          <w:szCs w:val="22"/>
        </w:rPr>
        <w:t xml:space="preserve">nautical miles from departure to arrival, taken from the logbook or an automatic recording device.</w:t>
      </w:r>
    </w:p>
    <w:p>
      <w:pPr>
        <w:pStyle w:val="ListParagraph"/>
        <w:numPr>
          <w:ilvl w:val="0"/>
          <w:numId w:val="1"/>
        </w:numPr>
        <w:spacing w:after="60" w:line="300"/>
      </w:pPr>
      <w:r>
        <w:rPr>
          <w:rFonts w:ascii="Times New Roman"/>
          <w:b/>
          <w:bCs/>
          <w:color w:val="000000"/>
          <w:sz w:val="22"/>
          <w:szCs w:val="22"/>
        </w:rPr>
        <w:t xml:space="preserve">Hours underway: </w:t>
      </w:r>
      <w:r>
        <w:rPr>
          <w:rFonts w:ascii="Times New Roman"/>
          <w:color w:val="000000"/>
          <w:sz w:val="22"/>
          <w:szCs w:val="22"/>
        </w:rPr>
        <w:t xml:space="preserve">engine-running or underway time used to derive average speed and to cross-check consumption.</w:t>
      </w:r>
    </w:p>
    <w:p>
      <w:pPr>
        <w:pStyle w:val="ListParagraph"/>
        <w:numPr>
          <w:ilvl w:val="0"/>
          <w:numId w:val="1"/>
        </w:numPr>
        <w:spacing w:after="60" w:line="300"/>
      </w:pPr>
      <w:r>
        <w:rPr>
          <w:rFonts w:ascii="Times New Roman"/>
          <w:b/>
          <w:bCs/>
          <w:color w:val="000000"/>
          <w:sz w:val="22"/>
          <w:szCs w:val="22"/>
        </w:rPr>
        <w:t xml:space="preserve">CO2 estimate (supporting): </w:t>
      </w:r>
      <w:r>
        <w:rPr>
          <w:rFonts w:ascii="Times New Roman"/>
          <w:color w:val="000000"/>
          <w:sz w:val="22"/>
          <w:szCs w:val="22"/>
        </w:rPr>
        <w:t xml:space="preserve">although DCS reports fuel mass, CO2 is commonly derived using IMO emission factors to align with downstream uses (CII, EU MRV).</w:t>
      </w:r>
    </w:p>
    <w:p>
      <w:pPr>
        <w:pStyle w:val="Heading2"/>
        <w:spacing w:after="140" w:before="280" w:line="312"/>
      </w:pPr>
      <w:bookmarkStart w:id="100005" w:name="_Toc100005"/>
      <w:r>
        <w:rPr>
          <w:rFonts w:ascii="Times New Roman"/>
          <w:b/>
          <w:bCs/>
          <w:color w:val="0B1C2C"/>
          <w:sz w:val="28"/>
          <w:szCs w:val="28"/>
        </w:rPr>
        <w:t xml:space="preserve">Required Data</w:t>
      </w:r>
      <w:bookmarkEnd w:id="100005"/>
    </w:p>
    <w:p>
      <w:pPr>
        <w:spacing w:after="80" w:line="312"/>
        <w:ind w:firstLine="360"/>
        <w:jc w:val="both"/>
      </w:pPr>
      <w:r>
        <w:rPr>
          <w:rFonts w:ascii="Times New Roman"/>
          <w:color w:val="000000"/>
          <w:sz w:val="22"/>
          <w:szCs w:val="22"/>
        </w:rPr>
        <w:t xml:space="preserve">The following data elements must be captured to support reporting and verification:</w:t>
      </w:r>
    </w:p>
    <w:p>
      <w:pPr>
        <w:pStyle w:val="ListParagraph"/>
        <w:numPr>
          <w:ilvl w:val="0"/>
          <w:numId w:val="1"/>
        </w:numPr>
        <w:spacing w:after="60" w:line="300"/>
      </w:pPr>
      <w:r>
        <w:rPr>
          <w:rFonts w:ascii="Times New Roman"/>
          <w:color w:val="000000"/>
          <w:sz w:val="22"/>
          <w:szCs w:val="22"/>
        </w:rPr>
        <w:t xml:space="preserve">Bunker delivery notes (BDN)   •   Tank-sounding / mass flow meter (MFM) readings   •   Voyage legs (port-to-port)   •   Distance and hours underway   •   Fuel type / sulphur content   •   Ship particulars (dwt, GT, IMO number)</w:t>
      </w:r>
    </w:p>
    <w:p>
      <w:pPr>
        <w:pStyle w:val="Heading2"/>
        <w:spacing w:after="140" w:before="280" w:line="312"/>
      </w:pPr>
      <w:bookmarkStart w:id="100006" w:name="_Toc100006"/>
      <w:r>
        <w:rPr>
          <w:rFonts w:ascii="Times New Roman"/>
          <w:b/>
          <w:bCs/>
          <w:color w:val="0B1C2C"/>
          <w:sz w:val="28"/>
          <w:szCs w:val="28"/>
        </w:rPr>
        <w:t xml:space="preserve">Reporting Frequency</w:t>
      </w:r>
      <w:bookmarkEnd w:id="100006"/>
    </w:p>
    <w:p>
      <w:pPr>
        <w:spacing w:after="80" w:line="312"/>
        <w:ind w:firstLine="360"/>
        <w:jc w:val="both"/>
      </w:pPr>
      <w:r>
        <w:rPr>
          <w:rFonts w:ascii="Times New Roman"/>
          <w:color w:val="000000"/>
          <w:sz w:val="22"/>
          <w:szCs w:val="22"/>
        </w:rPr>
        <w:t xml:space="preserve">Reporting is annual. Each calendar year's data is consolidated, verified by the Administration or its RO, and a Statement of Compliance is issued for the following year. The first full reporting year was 2019.</w:t>
      </w:r>
    </w:p>
    <w:p>
      <w:pPr>
        <w:pStyle w:val="Heading2"/>
        <w:spacing w:after="140" w:before="280" w:line="312"/>
      </w:pPr>
      <w:bookmarkStart w:id="100007" w:name="_Toc100007"/>
      <w:r>
        <w:rPr>
          <w:rFonts w:ascii="Times New Roman"/>
          <w:b/>
          <w:bCs/>
          <w:color w:val="0B1C2C"/>
          <w:sz w:val="28"/>
          <w:szCs w:val="28"/>
        </w:rPr>
        <w:t xml:space="preserve">Common Compliance Mistakes</w:t>
      </w:r>
      <w:bookmarkEnd w:id="100007"/>
    </w:p>
    <w:p>
      <w:pPr>
        <w:pStyle w:val="ListParagraph"/>
        <w:numPr>
          <w:ilvl w:val="0"/>
          <w:numId w:val="1"/>
        </w:numPr>
        <w:spacing w:after="60" w:line="300"/>
      </w:pPr>
      <w:r>
        <w:rPr>
          <w:rFonts w:ascii="Times New Roman"/>
          <w:color w:val="000000"/>
          <w:sz w:val="22"/>
          <w:szCs w:val="22"/>
        </w:rPr>
        <w:t xml:space="preserve">Reconciling MFM totals against BDNs only at year-end, when discrepancies are already embedded in the record.</w:t>
      </w:r>
    </w:p>
    <w:p>
      <w:pPr>
        <w:pStyle w:val="ListParagraph"/>
        <w:numPr>
          <w:ilvl w:val="0"/>
          <w:numId w:val="1"/>
        </w:numPr>
        <w:spacing w:after="60" w:line="300"/>
      </w:pPr>
      <w:r>
        <w:rPr>
          <w:rFonts w:ascii="Times New Roman"/>
          <w:color w:val="000000"/>
          <w:sz w:val="22"/>
          <w:szCs w:val="22"/>
        </w:rPr>
        <w:t xml:space="preserve">Excluding voyages that start or end outside the reporting calendar, creating gaps that verifiers flag.</w:t>
      </w:r>
    </w:p>
    <w:p>
      <w:pPr>
        <w:pStyle w:val="ListParagraph"/>
        <w:numPr>
          <w:ilvl w:val="0"/>
          <w:numId w:val="1"/>
        </w:numPr>
        <w:spacing w:after="60" w:line="300"/>
      </w:pPr>
      <w:r>
        <w:rPr>
          <w:rFonts w:ascii="Times New Roman"/>
          <w:color w:val="000000"/>
          <w:sz w:val="22"/>
          <w:szCs w:val="22"/>
        </w:rPr>
        <w:t xml:space="preserve">Using inconsistent fuel categorisation between the engine-room log and the DCS dataset.</w:t>
      </w:r>
    </w:p>
    <w:p>
      <w:pPr>
        <w:pStyle w:val="ListParagraph"/>
        <w:numPr>
          <w:ilvl w:val="0"/>
          <w:numId w:val="1"/>
        </w:numPr>
        <w:spacing w:after="60" w:line="300"/>
      </w:pPr>
      <w:r>
        <w:rPr>
          <w:rFonts w:ascii="Times New Roman"/>
          <w:color w:val="000000"/>
          <w:sz w:val="22"/>
          <w:szCs w:val="22"/>
        </w:rPr>
        <w:t xml:space="preserve">Leaving the SEEMP Part I out of date, so the data-collection methodology on file does not match what the crew actually does.</w:t>
      </w:r>
    </w:p>
    <w:p>
      <w:pPr>
        <w:pStyle w:val="ListParagraph"/>
        <w:numPr>
          <w:ilvl w:val="0"/>
          <w:numId w:val="1"/>
        </w:numPr>
        <w:spacing w:after="60" w:line="300"/>
      </w:pPr>
      <w:r>
        <w:rPr>
          <w:rFonts w:ascii="Times New Roman"/>
          <w:color w:val="000000"/>
          <w:sz w:val="22"/>
          <w:szCs w:val="22"/>
        </w:rPr>
        <w:t xml:space="preserve">Treating DCS as a pure reporting exercise and missing that its data drives the ship's CII rating.</w:t>
      </w:r>
    </w:p>
    <w:p>
      <w:pPr>
        <w:pStyle w:val="Heading2"/>
        <w:spacing w:after="140" w:before="280" w:line="312"/>
      </w:pPr>
      <w:bookmarkStart w:id="100008" w:name="_Toc100008"/>
      <w:r>
        <w:rPr>
          <w:rFonts w:ascii="Times New Roman"/>
          <w:b/>
          <w:bCs/>
          <w:color w:val="0B1C2C"/>
          <w:sz w:val="28"/>
          <w:szCs w:val="28"/>
        </w:rPr>
        <w:t xml:space="preserve">How Software Can Automate Compliance</w:t>
      </w:r>
      <w:bookmarkEnd w:id="100008"/>
    </w:p>
    <w:p>
      <w:pPr>
        <w:spacing w:after="80" w:line="312"/>
        <w:ind w:firstLine="360"/>
        <w:jc w:val="both"/>
      </w:pPr>
      <w:r>
        <w:rPr>
          <w:rFonts w:ascii="Times New Roman"/>
          <w:color w:val="000000"/>
          <w:sz w:val="22"/>
          <w:szCs w:val="22"/>
        </w:rPr>
        <w:t xml:space="preserve">A purpose-built compliance platform materially reduces manual effort and error exposure in the following ways:</w:t>
      </w:r>
    </w:p>
    <w:p>
      <w:pPr>
        <w:pStyle w:val="ListParagraph"/>
        <w:numPr>
          <w:ilvl w:val="0"/>
          <w:numId w:val="1"/>
        </w:numPr>
        <w:spacing w:after="60" w:line="300"/>
      </w:pPr>
      <w:r>
        <w:rPr>
          <w:rFonts w:ascii="Times New Roman"/>
          <w:color w:val="000000"/>
          <w:sz w:val="22"/>
          <w:szCs w:val="22"/>
        </w:rPr>
        <w:t xml:space="preserve">Automated capture of MFM and sounding data into a single consumption ledger, reconciled against each BDN on delivery.</w:t>
      </w:r>
    </w:p>
    <w:p>
      <w:pPr>
        <w:pStyle w:val="ListParagraph"/>
        <w:numPr>
          <w:ilvl w:val="0"/>
          <w:numId w:val="1"/>
        </w:numPr>
        <w:spacing w:after="60" w:line="300"/>
      </w:pPr>
      <w:r>
        <w:rPr>
          <w:rFonts w:ascii="Times New Roman"/>
          <w:color w:val="000000"/>
          <w:sz w:val="22"/>
          <w:szCs w:val="22"/>
        </w:rPr>
        <w:t xml:space="preserve">Voyage detection from AIS/ECDIS that auto-creates port-to-port legs with distance and underway hours.</w:t>
      </w:r>
    </w:p>
    <w:p>
      <w:pPr>
        <w:pStyle w:val="ListParagraph"/>
        <w:numPr>
          <w:ilvl w:val="0"/>
          <w:numId w:val="1"/>
        </w:numPr>
        <w:spacing w:after="60" w:line="300"/>
      </w:pPr>
      <w:r>
        <w:rPr>
          <w:rFonts w:ascii="Times New Roman"/>
          <w:color w:val="000000"/>
          <w:sz w:val="22"/>
          <w:szCs w:val="22"/>
        </w:rPr>
        <w:t xml:space="preserve">A pre-configured IMO DCS export that maps the verified ledger to the required dataset fields.</w:t>
      </w:r>
    </w:p>
    <w:p>
      <w:pPr>
        <w:pStyle w:val="ListParagraph"/>
        <w:numPr>
          <w:ilvl w:val="0"/>
          <w:numId w:val="1"/>
        </w:numPr>
        <w:spacing w:after="60" w:line="300"/>
      </w:pPr>
      <w:r>
        <w:rPr>
          <w:rFonts w:ascii="Times New Roman"/>
          <w:color w:val="000000"/>
          <w:sz w:val="22"/>
          <w:szCs w:val="22"/>
        </w:rPr>
        <w:t xml:space="preserve">Continuous CII projection from the same data, so the crew sees the rating impact of consumption in real time.</w:t>
      </w:r>
    </w:p>
    <w:p>
      <w:pPr>
        <w:pStyle w:val="ListParagraph"/>
        <w:numPr>
          <w:ilvl w:val="0"/>
          <w:numId w:val="1"/>
        </w:numPr>
        <w:spacing w:after="60" w:line="300"/>
      </w:pPr>
      <w:r>
        <w:rPr>
          <w:rFonts w:ascii="Times New Roman"/>
          <w:color w:val="000000"/>
          <w:sz w:val="22"/>
          <w:szCs w:val="22"/>
        </w:rPr>
        <w:t xml:space="preserve">Document vaulting of the SoC and SEEMP with expiry alerts ahead of the annual cycle.</w:t>
      </w:r>
    </w:p>
    <w:p>
      <w:pPr>
        <w:pStyle w:val="Heading1"/>
        <w:spacing w:after="200" w:before="400" w:line="312"/>
      </w:pPr>
      <w:bookmarkStart w:id="100009" w:name="_Toc100009"/>
      <w:r>
        <w:rPr>
          <w:rFonts w:ascii="Times New Roman"/>
          <w:b/>
          <w:bCs/>
          <w:color w:val="0B1C2C"/>
          <w:sz w:val="32"/>
          <w:szCs w:val="32"/>
        </w:rPr>
        <w:t xml:space="preserve">3. EU MRV (Monitoring, Reporting, Verification of CO2)</w:t>
      </w:r>
      <w:bookmarkEnd w:id="100009"/>
    </w:p>
    <w:p>
      <w:pPr>
        <w:spacing w:after="80" w:line="312"/>
        <w:ind w:firstLine="360"/>
        <w:jc w:val="both"/>
      </w:pPr>
      <w:r>
        <w:rPr>
          <w:rFonts w:ascii="Times New Roman"/>
          <w:color w:val="000000"/>
          <w:sz w:val="22"/>
          <w:szCs w:val="22"/>
        </w:rPr>
        <w:t xml:space="preserve">EU MRV — Regulation (EU) 2015/757 — was the European Union's first mandatory shipping-emissions reporting regime. Since 1 January 2018 it has required ships above 5,000 GT calling at EU/EEA ports to monitor, report and have independently verified their CO2 emissions, fuel consumption and transport work. It was substantially amended in 2023 to expand its scope (adding CH4 and N2O, and smaller and offshore ships in stages) and to align it with the EU ETS and FuelEU Maritime.</w:t>
      </w:r>
    </w:p>
    <w:p>
      <w:pPr>
        <w:pStyle w:val="Heading2"/>
        <w:spacing w:after="140" w:before="280" w:line="312"/>
      </w:pPr>
      <w:bookmarkStart w:id="100010" w:name="_Toc100010"/>
      <w:r>
        <w:rPr>
          <w:rFonts w:ascii="Times New Roman"/>
          <w:b/>
          <w:bCs/>
          <w:color w:val="0B1C2C"/>
          <w:sz w:val="28"/>
          <w:szCs w:val="28"/>
        </w:rPr>
        <w:t xml:space="preserve">Purpose</w:t>
      </w:r>
      <w:bookmarkEnd w:id="100010"/>
    </w:p>
    <w:p>
      <w:pPr>
        <w:spacing w:after="80" w:line="312"/>
        <w:ind w:firstLine="360"/>
        <w:jc w:val="both"/>
      </w:pPr>
      <w:r>
        <w:rPr>
          <w:rFonts w:ascii="Times New Roman"/>
          <w:color w:val="000000"/>
          <w:sz w:val="22"/>
          <w:szCs w:val="22"/>
        </w:rPr>
        <w:t xml:space="preserve">EU MRV creates a transparent, verified emissions record for shipping activity connected to the EU, providing the factual input for EU ETS allowance surrender and for FuelEU Maritime compliance. It also gives the European Commission and the public a reliable picture of the sector's carbon footprint in European trade.</w:t>
      </w:r>
    </w:p>
    <w:p>
      <w:pPr>
        <w:pStyle w:val="Heading2"/>
        <w:spacing w:after="140" w:before="280" w:line="312"/>
      </w:pPr>
      <w:bookmarkStart w:id="100011" w:name="_Toc100011"/>
      <w:r>
        <w:rPr>
          <w:rFonts w:ascii="Times New Roman"/>
          <w:b/>
          <w:bCs/>
          <w:color w:val="0B1C2C"/>
          <w:sz w:val="28"/>
          <w:szCs w:val="28"/>
        </w:rPr>
        <w:t xml:space="preserve">Required Documents</w:t>
      </w:r>
      <w:bookmarkEnd w:id="100011"/>
    </w:p>
    <w:p>
      <w:pPr>
        <w:spacing w:after="80" w:line="312"/>
        <w:ind w:firstLine="360"/>
        <w:jc w:val="both"/>
      </w:pPr>
      <w:r>
        <w:rPr>
          <w:rFonts w:ascii="Times New Roman"/>
          <w:color w:val="000000"/>
          <w:sz w:val="22"/>
          <w:szCs w:val="22"/>
        </w:rPr>
        <w:t xml:space="preserve">The following documents form the core compliance evidence set for this regulation:</w:t>
      </w:r>
    </w:p>
    <w:p>
      <w:pPr>
        <w:pStyle w:val="ListParagraph"/>
        <w:numPr>
          <w:ilvl w:val="0"/>
          <w:numId w:val="1"/>
        </w:numPr>
        <w:spacing w:after="60" w:line="300"/>
      </w:pPr>
      <w:r>
        <w:rPr>
          <w:rFonts w:ascii="Times New Roman"/>
          <w:b/>
          <w:bCs/>
          <w:color w:val="000000"/>
          <w:sz w:val="22"/>
          <w:szCs w:val="22"/>
        </w:rPr>
        <w:t xml:space="preserve">Monitoring Plan: </w:t>
      </w:r>
      <w:r>
        <w:rPr>
          <w:rFonts w:ascii="Times New Roman"/>
          <w:color w:val="000000"/>
          <w:sz w:val="22"/>
          <w:szCs w:val="22"/>
        </w:rPr>
        <w:t xml:space="preserve">a ship-specific document describing the monitoring methods, emission sources, fuels and procedures; it must be assessed by an accredited verifier before the reporting period.</w:t>
      </w:r>
    </w:p>
    <w:p>
      <w:pPr>
        <w:pStyle w:val="ListParagraph"/>
        <w:numPr>
          <w:ilvl w:val="0"/>
          <w:numId w:val="1"/>
        </w:numPr>
        <w:spacing w:after="60" w:line="300"/>
      </w:pPr>
      <w:r>
        <w:rPr>
          <w:rFonts w:ascii="Times New Roman"/>
          <w:b/>
          <w:bCs/>
          <w:color w:val="000000"/>
          <w:sz w:val="22"/>
          <w:szCs w:val="22"/>
        </w:rPr>
        <w:t xml:space="preserve">Annual Emissions Report (AER): </w:t>
      </w:r>
      <w:r>
        <w:rPr>
          <w:rFonts w:ascii="Times New Roman"/>
          <w:color w:val="000000"/>
          <w:sz w:val="22"/>
          <w:szCs w:val="22"/>
        </w:rPr>
        <w:t xml:space="preserve">the verified report submitted to the Commission/THETIS-MRV by 30 April, covering emissions, fuel consumption, distance, time at sea, cargo carried and transport work.</w:t>
      </w:r>
    </w:p>
    <w:p>
      <w:pPr>
        <w:pStyle w:val="ListParagraph"/>
        <w:numPr>
          <w:ilvl w:val="0"/>
          <w:numId w:val="1"/>
        </w:numPr>
        <w:spacing w:after="60" w:line="300"/>
      </w:pPr>
      <w:r>
        <w:rPr>
          <w:rFonts w:ascii="Times New Roman"/>
          <w:b/>
          <w:bCs/>
          <w:color w:val="000000"/>
          <w:sz w:val="22"/>
          <w:szCs w:val="22"/>
        </w:rPr>
        <w:t xml:space="preserve">Document of Compliance (DoC): </w:t>
      </w:r>
      <w:r>
        <w:rPr>
          <w:rFonts w:ascii="Times New Roman"/>
          <w:color w:val="000000"/>
          <w:sz w:val="22"/>
          <w:szCs w:val="22"/>
        </w:rPr>
        <w:t xml:space="preserve">issued by the verifier for each verified report; must be carried on board.</w:t>
      </w:r>
    </w:p>
    <w:p>
      <w:pPr>
        <w:pStyle w:val="ListParagraph"/>
        <w:numPr>
          <w:ilvl w:val="0"/>
          <w:numId w:val="1"/>
        </w:numPr>
        <w:spacing w:after="60" w:line="300"/>
      </w:pPr>
      <w:r>
        <w:rPr>
          <w:rFonts w:ascii="Times New Roman"/>
          <w:b/>
          <w:bCs/>
          <w:color w:val="000000"/>
          <w:sz w:val="22"/>
          <w:szCs w:val="22"/>
        </w:rPr>
        <w:t xml:space="preserve">Verifier's assessment records: </w:t>
      </w:r>
      <w:r>
        <w:rPr>
          <w:rFonts w:ascii="Times New Roman"/>
          <w:color w:val="000000"/>
          <w:sz w:val="22"/>
          <w:szCs w:val="22"/>
        </w:rPr>
        <w:t xml:space="preserve">the verifier's risk analysis, data-sampling and evidence files supporting the verification opinion.</w:t>
      </w:r>
    </w:p>
    <w:p>
      <w:pPr>
        <w:pStyle w:val="Heading2"/>
        <w:spacing w:after="140" w:before="280" w:line="312"/>
      </w:pPr>
      <w:bookmarkStart w:id="100012" w:name="_Toc100012"/>
      <w:r>
        <w:rPr>
          <w:rFonts w:ascii="Times New Roman"/>
          <w:b/>
          <w:bCs/>
          <w:color w:val="0B1C2C"/>
          <w:sz w:val="28"/>
          <w:szCs w:val="28"/>
        </w:rPr>
        <w:t xml:space="preserve">Required Calculations</w:t>
      </w:r>
      <w:bookmarkEnd w:id="100012"/>
    </w:p>
    <w:p>
      <w:pPr>
        <w:spacing w:after="80" w:line="312"/>
        <w:ind w:firstLine="360"/>
        <w:jc w:val="both"/>
      </w:pPr>
      <w:r>
        <w:rPr>
          <w:rFonts w:ascii="Times New Roman"/>
          <w:color w:val="000000"/>
          <w:sz w:val="22"/>
          <w:szCs w:val="22"/>
        </w:rPr>
        <w:t xml:space="preserve">Compliance depends on the following quantitative determinations:</w:t>
      </w:r>
    </w:p>
    <w:p>
      <w:pPr>
        <w:pStyle w:val="ListParagraph"/>
        <w:numPr>
          <w:ilvl w:val="0"/>
          <w:numId w:val="1"/>
        </w:numPr>
        <w:spacing w:after="60" w:line="300"/>
      </w:pPr>
      <w:r>
        <w:rPr>
          <w:rFonts w:ascii="Times New Roman"/>
          <w:b/>
          <w:bCs/>
          <w:color w:val="000000"/>
          <w:sz w:val="22"/>
          <w:szCs w:val="22"/>
        </w:rPr>
        <w:t xml:space="preserve">Emissions per voyage: </w:t>
      </w:r>
      <w:r>
        <w:rPr>
          <w:rFonts w:ascii="Times New Roman"/>
          <w:color w:val="000000"/>
          <w:sz w:val="22"/>
          <w:szCs w:val="22"/>
        </w:rPr>
        <w:t xml:space="preserve">fuel consumed × emission factor, split into CO2 and (from the amended scope) CH4 and N2O, with voyage-level allocation.</w:t>
      </w:r>
    </w:p>
    <w:p>
      <w:pPr>
        <w:pStyle w:val="ListParagraph"/>
        <w:numPr>
          <w:ilvl w:val="0"/>
          <w:numId w:val="1"/>
        </w:numPr>
        <w:spacing w:after="60" w:line="300"/>
      </w:pPr>
      <w:r>
        <w:rPr>
          <w:rFonts w:ascii="Times New Roman"/>
          <w:b/>
          <w:bCs/>
          <w:color w:val="000000"/>
          <w:sz w:val="22"/>
          <w:szCs w:val="22"/>
        </w:rPr>
        <w:t xml:space="preserve">Geographic allocation: </w:t>
      </w:r>
      <w:r>
        <w:rPr>
          <w:rFonts w:ascii="Times New Roman"/>
          <w:color w:val="000000"/>
          <w:sz w:val="22"/>
          <w:szCs w:val="22"/>
        </w:rPr>
        <w:t xml:space="preserve">100% of emissions from voyages and intra-EU/EEA port calls, plus 50% of emissions from voyages into or out of EU/EEA ports.</w:t>
      </w:r>
    </w:p>
    <w:p>
      <w:pPr>
        <w:pStyle w:val="ListParagraph"/>
        <w:numPr>
          <w:ilvl w:val="0"/>
          <w:numId w:val="1"/>
        </w:numPr>
        <w:spacing w:after="60" w:line="300"/>
      </w:pPr>
      <w:r>
        <w:rPr>
          <w:rFonts w:ascii="Times New Roman"/>
          <w:b/>
          <w:bCs/>
          <w:color w:val="000000"/>
          <w:sz w:val="22"/>
          <w:szCs w:val="22"/>
        </w:rPr>
        <w:t xml:space="preserve">Transport work: </w:t>
      </w:r>
      <w:r>
        <w:rPr>
          <w:rFonts w:ascii="Times New Roman"/>
          <w:color w:val="000000"/>
          <w:sz w:val="22"/>
          <w:szCs w:val="22"/>
        </w:rPr>
        <w:t xml:space="preserve">cargo carried (tonnes or passenger/guest-equivalent) × distance, used to derive emissions intensity (gCO2/t·nm).</w:t>
      </w:r>
    </w:p>
    <w:p>
      <w:pPr>
        <w:pStyle w:val="ListParagraph"/>
        <w:numPr>
          <w:ilvl w:val="0"/>
          <w:numId w:val="1"/>
        </w:numPr>
        <w:spacing w:after="60" w:line="300"/>
      </w:pPr>
      <w:r>
        <w:rPr>
          <w:rFonts w:ascii="Times New Roman"/>
          <w:b/>
          <w:bCs/>
          <w:color w:val="000000"/>
          <w:sz w:val="22"/>
          <w:szCs w:val="22"/>
        </w:rPr>
        <w:t xml:space="preserve">Emission factors: </w:t>
      </w:r>
      <w:r>
        <w:rPr>
          <w:rFonts w:ascii="Times New Roman"/>
          <w:color w:val="000000"/>
          <w:sz w:val="22"/>
          <w:szCs w:val="22"/>
        </w:rPr>
        <w:t xml:space="preserve">applied per fuel type and, for the expanded scope, per greenhouse gas, on a tank-to-wake basis.</w:t>
      </w:r>
    </w:p>
    <w:p>
      <w:pPr>
        <w:pStyle w:val="Heading2"/>
        <w:spacing w:after="140" w:before="280" w:line="312"/>
      </w:pPr>
      <w:bookmarkStart w:id="100013" w:name="_Toc100013"/>
      <w:r>
        <w:rPr>
          <w:rFonts w:ascii="Times New Roman"/>
          <w:b/>
          <w:bCs/>
          <w:color w:val="0B1C2C"/>
          <w:sz w:val="28"/>
          <w:szCs w:val="28"/>
        </w:rPr>
        <w:t xml:space="preserve">Required Data</w:t>
      </w:r>
      <w:bookmarkEnd w:id="100013"/>
    </w:p>
    <w:p>
      <w:pPr>
        <w:spacing w:after="80" w:line="312"/>
        <w:ind w:firstLine="360"/>
        <w:jc w:val="both"/>
      </w:pPr>
      <w:r>
        <w:rPr>
          <w:rFonts w:ascii="Times New Roman"/>
          <w:color w:val="000000"/>
          <w:sz w:val="22"/>
          <w:szCs w:val="22"/>
        </w:rPr>
        <w:t xml:space="preserve">The following data elements must be captured to support reporting and verification:</w:t>
      </w:r>
    </w:p>
    <w:p>
      <w:pPr>
        <w:pStyle w:val="ListParagraph"/>
        <w:numPr>
          <w:ilvl w:val="0"/>
          <w:numId w:val="1"/>
        </w:numPr>
        <w:spacing w:after="60" w:line="300"/>
      </w:pPr>
      <w:r>
        <w:rPr>
          <w:rFonts w:ascii="Times New Roman"/>
          <w:color w:val="000000"/>
          <w:sz w:val="22"/>
          <w:szCs w:val="22"/>
        </w:rPr>
        <w:t xml:space="preserve">Voyage records (port, date, berth time)   •   Fuel consumption per fuel type per voyage   •   Distance sailed and time at sea   •   Cargo carried per voyage   •   Monitoring-method evidence (BDN, MFM, bunker tank)   •   Ship particulars and monitoring-plan reference</w:t>
      </w:r>
    </w:p>
    <w:p>
      <w:pPr>
        <w:pStyle w:val="Heading2"/>
        <w:spacing w:after="140" w:before="280" w:line="312"/>
      </w:pPr>
      <w:bookmarkStart w:id="100014" w:name="_Toc100014"/>
      <w:r>
        <w:rPr>
          <w:rFonts w:ascii="Times New Roman"/>
          <w:b/>
          <w:bCs/>
          <w:color w:val="0B1C2C"/>
          <w:sz w:val="28"/>
          <w:szCs w:val="28"/>
        </w:rPr>
        <w:t xml:space="preserve">Reporting Frequency</w:t>
      </w:r>
      <w:bookmarkEnd w:id="100014"/>
    </w:p>
    <w:p>
      <w:pPr>
        <w:spacing w:after="80" w:line="312"/>
        <w:ind w:firstLine="360"/>
        <w:jc w:val="both"/>
      </w:pPr>
      <w:r>
        <w:rPr>
          <w:rFonts w:ascii="Times New Roman"/>
          <w:color w:val="000000"/>
          <w:sz w:val="22"/>
          <w:szCs w:val="22"/>
        </w:rPr>
        <w:t xml:space="preserve">Annual cycle: monitoring throughout the calendar year, the Annual Emissions Report submitted to THETIS-MRV by 30 April of the following year, verified before submission, and the Document of Compliance issued afterwards.</w:t>
      </w:r>
    </w:p>
    <w:p>
      <w:pPr>
        <w:pStyle w:val="Heading2"/>
        <w:spacing w:after="140" w:before="280" w:line="312"/>
      </w:pPr>
      <w:bookmarkStart w:id="100015" w:name="_Toc100015"/>
      <w:r>
        <w:rPr>
          <w:rFonts w:ascii="Times New Roman"/>
          <w:b/>
          <w:bCs/>
          <w:color w:val="0B1C2C"/>
          <w:sz w:val="28"/>
          <w:szCs w:val="28"/>
        </w:rPr>
        <w:t xml:space="preserve">Common Compliance Mistakes</w:t>
      </w:r>
      <w:bookmarkEnd w:id="100015"/>
    </w:p>
    <w:p>
      <w:pPr>
        <w:pStyle w:val="ListParagraph"/>
        <w:numPr>
          <w:ilvl w:val="0"/>
          <w:numId w:val="1"/>
        </w:numPr>
        <w:spacing w:after="60" w:line="300"/>
      </w:pPr>
      <w:r>
        <w:rPr>
          <w:rFonts w:ascii="Times New Roman"/>
          <w:color w:val="000000"/>
          <w:sz w:val="22"/>
          <w:szCs w:val="22"/>
        </w:rPr>
        <w:t xml:space="preserve">Failing to keep the Monitoring Plan in step with on-board reality, so the verifier finds a method mismatch.</w:t>
      </w:r>
    </w:p>
    <w:p>
      <w:pPr>
        <w:pStyle w:val="ListParagraph"/>
        <w:numPr>
          <w:ilvl w:val="0"/>
          <w:numId w:val="1"/>
        </w:numPr>
        <w:spacing w:after="60" w:line="300"/>
      </w:pPr>
      <w:r>
        <w:rPr>
          <w:rFonts w:ascii="Times New Roman"/>
          <w:color w:val="000000"/>
          <w:sz w:val="22"/>
          <w:szCs w:val="22"/>
        </w:rPr>
        <w:t xml:space="preserve">Mis-classifying voyages as intra-EU versus extra-EU, which corrupts the 100%/50% allocation.</w:t>
      </w:r>
    </w:p>
    <w:p>
      <w:pPr>
        <w:pStyle w:val="ListParagraph"/>
        <w:numPr>
          <w:ilvl w:val="0"/>
          <w:numId w:val="1"/>
        </w:numPr>
        <w:spacing w:after="60" w:line="300"/>
      </w:pPr>
      <w:r>
        <w:rPr>
          <w:rFonts w:ascii="Times New Roman"/>
          <w:color w:val="000000"/>
          <w:sz w:val="22"/>
          <w:szCs w:val="22"/>
        </w:rPr>
        <w:t xml:space="preserve">Recording cargo at the wrong point (loading versus sailing) and distorting transport work.</w:t>
      </w:r>
    </w:p>
    <w:p>
      <w:pPr>
        <w:pStyle w:val="ListParagraph"/>
        <w:numPr>
          <w:ilvl w:val="0"/>
          <w:numId w:val="1"/>
        </w:numPr>
        <w:spacing w:after="60" w:line="300"/>
      </w:pPr>
      <w:r>
        <w:rPr>
          <w:rFonts w:ascii="Times New Roman"/>
          <w:color w:val="000000"/>
          <w:sz w:val="22"/>
          <w:szCs w:val="22"/>
        </w:rPr>
        <w:t xml:space="preserve">Leaving CH4/N2O and the smaller-vessel scope changes (post-2023 amendment) out of the Monitoring Plan.</w:t>
      </w:r>
    </w:p>
    <w:p>
      <w:pPr>
        <w:pStyle w:val="ListParagraph"/>
        <w:numPr>
          <w:ilvl w:val="0"/>
          <w:numId w:val="1"/>
        </w:numPr>
        <w:spacing w:after="60" w:line="300"/>
      </w:pPr>
      <w:r>
        <w:rPr>
          <w:rFonts w:ascii="Times New Roman"/>
          <w:color w:val="000000"/>
          <w:sz w:val="22"/>
          <w:szCs w:val="22"/>
        </w:rPr>
        <w:t xml:space="preserve">Submitting the AER before verification, or missing the 30 April deadline and exposing the company to penalties.</w:t>
      </w:r>
    </w:p>
    <w:p>
      <w:pPr>
        <w:pStyle w:val="Heading2"/>
        <w:spacing w:after="140" w:before="280" w:line="312"/>
      </w:pPr>
      <w:bookmarkStart w:id="100016" w:name="_Toc100016"/>
      <w:r>
        <w:rPr>
          <w:rFonts w:ascii="Times New Roman"/>
          <w:b/>
          <w:bCs/>
          <w:color w:val="0B1C2C"/>
          <w:sz w:val="28"/>
          <w:szCs w:val="28"/>
        </w:rPr>
        <w:t xml:space="preserve">How Software Can Automate Compliance</w:t>
      </w:r>
      <w:bookmarkEnd w:id="100016"/>
    </w:p>
    <w:p>
      <w:pPr>
        <w:spacing w:after="80" w:line="312"/>
        <w:ind w:firstLine="360"/>
        <w:jc w:val="both"/>
      </w:pPr>
      <w:r>
        <w:rPr>
          <w:rFonts w:ascii="Times New Roman"/>
          <w:color w:val="000000"/>
          <w:sz w:val="22"/>
          <w:szCs w:val="22"/>
        </w:rPr>
        <w:t xml:space="preserve">A purpose-built compliance platform materially reduces manual effort and error exposure in the following ways:</w:t>
      </w:r>
    </w:p>
    <w:p>
      <w:pPr>
        <w:pStyle w:val="ListParagraph"/>
        <w:numPr>
          <w:ilvl w:val="0"/>
          <w:numId w:val="1"/>
        </w:numPr>
        <w:spacing w:after="60" w:line="300"/>
      </w:pPr>
      <w:r>
        <w:rPr>
          <w:rFonts w:ascii="Times New Roman"/>
          <w:color w:val="000000"/>
          <w:sz w:val="22"/>
          <w:szCs w:val="22"/>
        </w:rPr>
        <w:t xml:space="preserve">A configurable Monitoring Plan template that is versioned alongside the live data pipeline, evidencing method consistency.</w:t>
      </w:r>
    </w:p>
    <w:p>
      <w:pPr>
        <w:pStyle w:val="ListParagraph"/>
        <w:numPr>
          <w:ilvl w:val="0"/>
          <w:numId w:val="1"/>
        </w:numPr>
        <w:spacing w:after="60" w:line="300"/>
      </w:pPr>
      <w:r>
        <w:rPr>
          <w:rFonts w:ascii="Times New Roman"/>
          <w:color w:val="000000"/>
          <w:sz w:val="22"/>
          <w:szCs w:val="22"/>
        </w:rPr>
        <w:t xml:space="preserve">Automatic voyage classification (intra/extra-EU, at berth, manoeuvring) from AIS and port-call data.</w:t>
      </w:r>
    </w:p>
    <w:p>
      <w:pPr>
        <w:pStyle w:val="ListParagraph"/>
        <w:numPr>
          <w:ilvl w:val="0"/>
          <w:numId w:val="1"/>
        </w:numPr>
        <w:spacing w:after="60" w:line="300"/>
      </w:pPr>
      <w:r>
        <w:rPr>
          <w:rFonts w:ascii="Times New Roman"/>
          <w:color w:val="000000"/>
          <w:sz w:val="22"/>
          <w:szCs w:val="22"/>
        </w:rPr>
        <w:t xml:space="preserve">Per-voyage emission calculation with regulatory emission-factor tables maintained centrally.</w:t>
      </w:r>
    </w:p>
    <w:p>
      <w:pPr>
        <w:pStyle w:val="ListParagraph"/>
        <w:numPr>
          <w:ilvl w:val="0"/>
          <w:numId w:val="1"/>
        </w:numPr>
        <w:spacing w:after="60" w:line="300"/>
      </w:pPr>
      <w:r>
        <w:rPr>
          <w:rFonts w:ascii="Times New Roman"/>
          <w:color w:val="000000"/>
          <w:sz w:val="22"/>
          <w:szCs w:val="22"/>
        </w:rPr>
        <w:t xml:space="preserve">One-click generation of the AER in the THETIS-MRV format, and archiving of the verifier's evidence pack.</w:t>
      </w:r>
    </w:p>
    <w:p>
      <w:pPr>
        <w:pStyle w:val="ListParagraph"/>
        <w:numPr>
          <w:ilvl w:val="0"/>
          <w:numId w:val="1"/>
        </w:numPr>
        <w:spacing w:after="60" w:line="300"/>
      </w:pPr>
      <w:r>
        <w:rPr>
          <w:rFonts w:ascii="Times New Roman"/>
          <w:color w:val="000000"/>
          <w:sz w:val="22"/>
          <w:szCs w:val="22"/>
        </w:rPr>
        <w:t xml:space="preserve">Shared ledger with EU ETS and FuelEU so a single verified dataset feeds all three instruments.</w:t>
      </w:r>
    </w:p>
    <w:p>
      <w:pPr>
        <w:pStyle w:val="Heading1"/>
        <w:spacing w:after="200" w:before="400" w:line="312"/>
      </w:pPr>
      <w:bookmarkStart w:id="100017" w:name="_Toc100017"/>
      <w:r>
        <w:rPr>
          <w:rFonts w:ascii="Times New Roman"/>
          <w:b/>
          <w:bCs/>
          <w:color w:val="0B1C2C"/>
          <w:sz w:val="32"/>
          <w:szCs w:val="32"/>
        </w:rPr>
        <w:t xml:space="preserve">4. EU Emissions Trading System (ETS) — Maritime</w:t>
      </w:r>
      <w:bookmarkEnd w:id="100017"/>
    </w:p>
    <w:p>
      <w:pPr>
        <w:spacing w:after="80" w:line="312"/>
        <w:ind w:firstLine="360"/>
        <w:jc w:val="both"/>
      </w:pPr>
      <w:r>
        <w:rPr>
          <w:rFonts w:ascii="Times New Roman"/>
          <w:color w:val="000000"/>
          <w:sz w:val="22"/>
          <w:szCs w:val="22"/>
        </w:rPr>
        <w:t xml:space="preserve">Shipping was brought into the EU ETS by Directive (EU) 2023/959, amending the ETS Directive (2003/87/EC). From 1 January 2024, large ships (≥ 5,000 GT) trading to, from and between EU/EEA ports must surrender EU Allowances (EUAs) for a share of their reported CO2 emissions. The system turns the emissions already measured under EU MRV into a financial obligation and is the EU's principal market-based measure for the sector.</w:t>
      </w:r>
    </w:p>
    <w:p>
      <w:pPr>
        <w:pStyle w:val="Heading2"/>
        <w:spacing w:after="140" w:before="280" w:line="312"/>
      </w:pPr>
      <w:bookmarkStart w:id="100018" w:name="_Toc100018"/>
      <w:r>
        <w:rPr>
          <w:rFonts w:ascii="Times New Roman"/>
          <w:b/>
          <w:bCs/>
          <w:color w:val="0B1C2C"/>
          <w:sz w:val="28"/>
          <w:szCs w:val="28"/>
        </w:rPr>
        <w:t xml:space="preserve">Purpose</w:t>
      </w:r>
      <w:bookmarkEnd w:id="100018"/>
    </w:p>
    <w:p>
      <w:pPr>
        <w:spacing w:after="80" w:line="312"/>
        <w:ind w:firstLine="360"/>
        <w:jc w:val="both"/>
      </w:pPr>
      <w:r>
        <w:rPr>
          <w:rFonts w:ascii="Times New Roman"/>
          <w:color w:val="000000"/>
          <w:sz w:val="22"/>
          <w:szCs w:val="22"/>
        </w:rPr>
        <w:t xml:space="preserve">By putting a price on CO2 emitted on EU-related voyages, EU ETS creates a direct economic incentive to reduce emissions — through efficiency, slow-steaming, alternative fuels or operational change — and integrates shipping into the broader EU carbon market alongside aviation, power and industry.</w:t>
      </w:r>
    </w:p>
    <w:p>
      <w:pPr>
        <w:pStyle w:val="Heading2"/>
        <w:spacing w:after="140" w:before="280" w:line="312"/>
      </w:pPr>
      <w:bookmarkStart w:id="100019" w:name="_Toc100019"/>
      <w:r>
        <w:rPr>
          <w:rFonts w:ascii="Times New Roman"/>
          <w:b/>
          <w:bCs/>
          <w:color w:val="0B1C2C"/>
          <w:sz w:val="28"/>
          <w:szCs w:val="28"/>
        </w:rPr>
        <w:t xml:space="preserve">Required Documents</w:t>
      </w:r>
      <w:bookmarkEnd w:id="100019"/>
    </w:p>
    <w:p>
      <w:pPr>
        <w:spacing w:after="80" w:line="312"/>
        <w:ind w:firstLine="360"/>
        <w:jc w:val="both"/>
      </w:pPr>
      <w:r>
        <w:rPr>
          <w:rFonts w:ascii="Times New Roman"/>
          <w:color w:val="000000"/>
          <w:sz w:val="22"/>
          <w:szCs w:val="22"/>
        </w:rPr>
        <w:t xml:space="preserve">The following documents form the core compliance evidence set for this regulation:</w:t>
      </w:r>
    </w:p>
    <w:p>
      <w:pPr>
        <w:pStyle w:val="ListParagraph"/>
        <w:numPr>
          <w:ilvl w:val="0"/>
          <w:numId w:val="1"/>
        </w:numPr>
        <w:spacing w:after="60" w:line="300"/>
      </w:pPr>
      <w:r>
        <w:rPr>
          <w:rFonts w:ascii="Times New Roman"/>
          <w:b/>
          <w:bCs/>
          <w:color w:val="000000"/>
          <w:sz w:val="22"/>
          <w:szCs w:val="22"/>
        </w:rPr>
        <w:t xml:space="preserve">EU MRV Annual Emissions Report: </w:t>
      </w:r>
      <w:r>
        <w:rPr>
          <w:rFonts w:ascii="Times New Roman"/>
          <w:color w:val="000000"/>
          <w:sz w:val="22"/>
          <w:szCs w:val="22"/>
        </w:rPr>
        <w:t xml:space="preserve">the verified AER is the factual basis for the volume of allowances to be surrendered.</w:t>
      </w:r>
    </w:p>
    <w:p>
      <w:pPr>
        <w:pStyle w:val="ListParagraph"/>
        <w:numPr>
          <w:ilvl w:val="0"/>
          <w:numId w:val="1"/>
        </w:numPr>
        <w:spacing w:after="60" w:line="300"/>
      </w:pPr>
      <w:r>
        <w:rPr>
          <w:rFonts w:ascii="Times New Roman"/>
          <w:b/>
          <w:bCs/>
          <w:color w:val="000000"/>
          <w:sz w:val="22"/>
          <w:szCs w:val="22"/>
        </w:rPr>
        <w:t xml:space="preserve">Company account in the Union Registry: </w:t>
      </w:r>
      <w:r>
        <w:rPr>
          <w:rFonts w:ascii="Times New Roman"/>
          <w:color w:val="000000"/>
          <w:sz w:val="22"/>
          <w:szCs w:val="22"/>
        </w:rPr>
        <w:t xml:space="preserve">each shipping company must open and operate an account to hold, transfer and surrender EUAs; from 2025 this sits under the Maritime Operator Holding Account framework administered through the responsible Member State (or, for non-EU companies, the implementing-administration).</w:t>
      </w:r>
    </w:p>
    <w:p>
      <w:pPr>
        <w:pStyle w:val="ListParagraph"/>
        <w:numPr>
          <w:ilvl w:val="0"/>
          <w:numId w:val="1"/>
        </w:numPr>
        <w:spacing w:after="60" w:line="300"/>
      </w:pPr>
      <w:r>
        <w:rPr>
          <w:rFonts w:ascii="Times New Roman"/>
          <w:b/>
          <w:bCs/>
          <w:color w:val="000000"/>
          <w:sz w:val="22"/>
          <w:szCs w:val="22"/>
        </w:rPr>
        <w:t xml:space="preserve">Surrender records: </w:t>
      </w:r>
      <w:r>
        <w:rPr>
          <w:rFonts w:ascii="Times New Roman"/>
          <w:color w:val="000000"/>
          <w:sz w:val="22"/>
          <w:szCs w:val="22"/>
        </w:rPr>
        <w:t xml:space="preserve">evidence of EUAs surrendered against the verified obligation each year.</w:t>
      </w:r>
    </w:p>
    <w:p>
      <w:pPr>
        <w:pStyle w:val="ListParagraph"/>
        <w:numPr>
          <w:ilvl w:val="0"/>
          <w:numId w:val="1"/>
        </w:numPr>
        <w:spacing w:after="60" w:line="300"/>
      </w:pPr>
      <w:r>
        <w:rPr>
          <w:rFonts w:ascii="Times New Roman"/>
          <w:b/>
          <w:bCs/>
          <w:color w:val="000000"/>
          <w:sz w:val="22"/>
          <w:szCs w:val="22"/>
        </w:rPr>
        <w:t xml:space="preserve">Verifier's DoC and compliance records: </w:t>
      </w:r>
      <w:r>
        <w:rPr>
          <w:rFonts w:ascii="Times New Roman"/>
          <w:color w:val="000000"/>
          <w:sz w:val="22"/>
          <w:szCs w:val="22"/>
        </w:rPr>
        <w:t xml:space="preserve">the chain linking verified emissions to the surrendered volume.</w:t>
      </w:r>
    </w:p>
    <w:p>
      <w:pPr>
        <w:pStyle w:val="Heading2"/>
        <w:spacing w:after="140" w:before="280" w:line="312"/>
      </w:pPr>
      <w:bookmarkStart w:id="100020" w:name="_Toc100020"/>
      <w:r>
        <w:rPr>
          <w:rFonts w:ascii="Times New Roman"/>
          <w:b/>
          <w:bCs/>
          <w:color w:val="0B1C2C"/>
          <w:sz w:val="28"/>
          <w:szCs w:val="28"/>
        </w:rPr>
        <w:t xml:space="preserve">Required Calculations</w:t>
      </w:r>
      <w:bookmarkEnd w:id="100020"/>
    </w:p>
    <w:p>
      <w:pPr>
        <w:spacing w:after="80" w:line="312"/>
        <w:ind w:firstLine="360"/>
        <w:jc w:val="both"/>
      </w:pPr>
      <w:r>
        <w:rPr>
          <w:rFonts w:ascii="Times New Roman"/>
          <w:color w:val="000000"/>
          <w:sz w:val="22"/>
          <w:szCs w:val="22"/>
        </w:rPr>
        <w:t xml:space="preserve">Compliance depends on the following quantitative determinations:</w:t>
      </w:r>
    </w:p>
    <w:p>
      <w:pPr>
        <w:pStyle w:val="ListParagraph"/>
        <w:numPr>
          <w:ilvl w:val="0"/>
          <w:numId w:val="1"/>
        </w:numPr>
        <w:spacing w:after="60" w:line="300"/>
      </w:pPr>
      <w:r>
        <w:rPr>
          <w:rFonts w:ascii="Times New Roman"/>
          <w:b/>
          <w:bCs/>
          <w:color w:val="000000"/>
          <w:sz w:val="22"/>
          <w:szCs w:val="22"/>
        </w:rPr>
        <w:t xml:space="preserve">Surrender obligation: </w:t>
      </w:r>
      <w:r>
        <w:rPr>
          <w:rFonts w:ascii="Times New Roman"/>
          <w:color w:val="000000"/>
          <w:sz w:val="22"/>
          <w:szCs w:val="22"/>
        </w:rPr>
        <w:t xml:space="preserve">verified CO2 emissions (from EU MRV), allocated 100% for intra-EU/EEA voyages and at berth, 50% for extra-EU/EEA inbound/outbound voyages.</w:t>
      </w:r>
    </w:p>
    <w:p>
      <w:pPr>
        <w:pStyle w:val="ListParagraph"/>
        <w:numPr>
          <w:ilvl w:val="0"/>
          <w:numId w:val="1"/>
        </w:numPr>
        <w:spacing w:after="60" w:line="300"/>
      </w:pPr>
      <w:r>
        <w:rPr>
          <w:rFonts w:ascii="Times New Roman"/>
          <w:b/>
          <w:bCs/>
          <w:color w:val="000000"/>
          <w:sz w:val="22"/>
          <w:szCs w:val="22"/>
        </w:rPr>
        <w:t xml:space="preserve">Phased coverage: </w:t>
      </w:r>
      <w:r>
        <w:rPr>
          <w:rFonts w:ascii="Times New Roman"/>
          <w:color w:val="000000"/>
          <w:sz w:val="22"/>
          <w:szCs w:val="22"/>
        </w:rPr>
        <w:t xml:space="preserve">40% of 2024 emissions surrendered in 2025, 70% of 2025 emissions surrendered in 2026, and 100% of 2026 emissions surrendered in 2027 and thereafter. (Methane and nitrous oxide are brought into scope from 2026 reporting.)</w:t>
      </w:r>
    </w:p>
    <w:p>
      <w:pPr>
        <w:pStyle w:val="ListParagraph"/>
        <w:numPr>
          <w:ilvl w:val="0"/>
          <w:numId w:val="1"/>
        </w:numPr>
        <w:spacing w:after="60" w:line="300"/>
      </w:pPr>
      <w:r>
        <w:rPr>
          <w:rFonts w:ascii="Times New Roman"/>
          <w:b/>
          <w:bCs/>
          <w:color w:val="000000"/>
          <w:sz w:val="22"/>
          <w:szCs w:val="22"/>
        </w:rPr>
        <w:t xml:space="preserve">Allowance cost: </w:t>
      </w:r>
      <w:r>
        <w:rPr>
          <w:rFonts w:ascii="Times New Roman"/>
          <w:color w:val="000000"/>
          <w:sz w:val="22"/>
          <w:szCs w:val="22"/>
        </w:rPr>
        <w:t xml:space="preserve">surrendered volume × EUA market price; companies must budget for procurement, timing and hedging.</w:t>
      </w:r>
    </w:p>
    <w:p>
      <w:pPr>
        <w:pStyle w:val="ListParagraph"/>
        <w:numPr>
          <w:ilvl w:val="0"/>
          <w:numId w:val="1"/>
        </w:numPr>
        <w:spacing w:after="60" w:line="300"/>
      </w:pPr>
      <w:r>
        <w:rPr>
          <w:rFonts w:ascii="Times New Roman"/>
          <w:b/>
          <w:bCs/>
          <w:color w:val="000000"/>
          <w:sz w:val="22"/>
          <w:szCs w:val="22"/>
        </w:rPr>
        <w:t xml:space="preserve">Ice-class and other adjustments: </w:t>
      </w:r>
      <w:r>
        <w:rPr>
          <w:rFonts w:ascii="Times New Roman"/>
          <w:color w:val="000000"/>
          <w:sz w:val="22"/>
          <w:szCs w:val="22"/>
        </w:rPr>
        <w:t xml:space="preserve">specific reductions apply for certain ice-class vessels and voyages to outermost regions, where applicable.</w:t>
      </w:r>
    </w:p>
    <w:p>
      <w:pPr>
        <w:pStyle w:val="Heading2"/>
        <w:spacing w:after="140" w:before="280" w:line="312"/>
      </w:pPr>
      <w:bookmarkStart w:id="100021" w:name="_Toc100021"/>
      <w:r>
        <w:rPr>
          <w:rFonts w:ascii="Times New Roman"/>
          <w:b/>
          <w:bCs/>
          <w:color w:val="0B1C2C"/>
          <w:sz w:val="28"/>
          <w:szCs w:val="28"/>
        </w:rPr>
        <w:t xml:space="preserve">Required Data</w:t>
      </w:r>
      <w:bookmarkEnd w:id="100021"/>
    </w:p>
    <w:p>
      <w:pPr>
        <w:spacing w:after="80" w:line="312"/>
        <w:ind w:firstLine="360"/>
        <w:jc w:val="both"/>
      </w:pPr>
      <w:r>
        <w:rPr>
          <w:rFonts w:ascii="Times New Roman"/>
          <w:color w:val="000000"/>
          <w:sz w:val="22"/>
          <w:szCs w:val="22"/>
        </w:rPr>
        <w:t xml:space="preserve">The following data elements must be captured to support reporting and verification:</w:t>
      </w:r>
    </w:p>
    <w:p>
      <w:pPr>
        <w:pStyle w:val="ListParagraph"/>
        <w:numPr>
          <w:ilvl w:val="0"/>
          <w:numId w:val="1"/>
        </w:numPr>
        <w:spacing w:after="60" w:line="300"/>
      </w:pPr>
      <w:r>
        <w:rPr>
          <w:rFonts w:ascii="Times New Roman"/>
          <w:color w:val="000000"/>
          <w:sz w:val="22"/>
          <w:szCs w:val="22"/>
        </w:rPr>
        <w:t xml:space="preserve">Verified EU MRV emissions data   •   EU/EEA port-call sequence (geographic allocation)   •   Company and ship identification in the Union Registry   •   EUA holdings and transactions   •   EUA market prices and procurement plan   •   Verifier evidence chain</w:t>
      </w:r>
    </w:p>
    <w:p>
      <w:pPr>
        <w:pStyle w:val="Heading2"/>
        <w:spacing w:after="140" w:before="280" w:line="312"/>
      </w:pPr>
      <w:bookmarkStart w:id="100022" w:name="_Toc100022"/>
      <w:r>
        <w:rPr>
          <w:rFonts w:ascii="Times New Roman"/>
          <w:b/>
          <w:bCs/>
          <w:color w:val="0B1C2C"/>
          <w:sz w:val="28"/>
          <w:szCs w:val="28"/>
        </w:rPr>
        <w:t xml:space="preserve">Reporting Frequency</w:t>
      </w:r>
      <w:bookmarkEnd w:id="100022"/>
    </w:p>
    <w:p>
      <w:pPr>
        <w:spacing w:after="80" w:line="312"/>
        <w:ind w:firstLine="360"/>
        <w:jc w:val="both"/>
      </w:pPr>
      <w:r>
        <w:rPr>
          <w:rFonts w:ascii="Times New Roman"/>
          <w:color w:val="000000"/>
          <w:sz w:val="22"/>
          <w:szCs w:val="22"/>
        </w:rPr>
        <w:t xml:space="preserve">Annual surrender: the obligation for a given reporting year is settled by surrendering allowances in the following September (e.g. 2024 emissions are surrendered by September 2025). MRV reporting remains annual, by 30 April. Companies also face quarterly monitoring of their position against expected surrender.</w:t>
      </w:r>
    </w:p>
    <w:p>
      <w:pPr>
        <w:pStyle w:val="Heading2"/>
        <w:spacing w:after="140" w:before="280" w:line="312"/>
      </w:pPr>
      <w:bookmarkStart w:id="100023" w:name="_Toc100023"/>
      <w:r>
        <w:rPr>
          <w:rFonts w:ascii="Times New Roman"/>
          <w:b/>
          <w:bCs/>
          <w:color w:val="0B1C2C"/>
          <w:sz w:val="28"/>
          <w:szCs w:val="28"/>
        </w:rPr>
        <w:t xml:space="preserve">Common Compliance Mistakes</w:t>
      </w:r>
      <w:bookmarkEnd w:id="100023"/>
    </w:p>
    <w:p>
      <w:pPr>
        <w:pStyle w:val="ListParagraph"/>
        <w:numPr>
          <w:ilvl w:val="0"/>
          <w:numId w:val="1"/>
        </w:numPr>
        <w:spacing w:after="60" w:line="300"/>
      </w:pPr>
      <w:r>
        <w:rPr>
          <w:rFonts w:ascii="Times New Roman"/>
          <w:color w:val="000000"/>
          <w:sz w:val="22"/>
          <w:szCs w:val="22"/>
        </w:rPr>
        <w:t xml:space="preserve">Underestimating the 40/70/100% phase-in and being caught short on allowance procurement.</w:t>
      </w:r>
    </w:p>
    <w:p>
      <w:pPr>
        <w:pStyle w:val="ListParagraph"/>
        <w:numPr>
          <w:ilvl w:val="0"/>
          <w:numId w:val="1"/>
        </w:numPr>
        <w:spacing w:after="60" w:line="300"/>
      </w:pPr>
      <w:r>
        <w:rPr>
          <w:rFonts w:ascii="Times New Roman"/>
          <w:color w:val="000000"/>
          <w:sz w:val="22"/>
          <w:szCs w:val="22"/>
        </w:rPr>
        <w:t xml:space="preserve">Confusing the reporting entity (the 'shipping company' as defined) with the registered shipowner or the technical manager.</w:t>
      </w:r>
    </w:p>
    <w:p>
      <w:pPr>
        <w:pStyle w:val="ListParagraph"/>
        <w:numPr>
          <w:ilvl w:val="0"/>
          <w:numId w:val="1"/>
        </w:numPr>
        <w:spacing w:after="60" w:line="300"/>
      </w:pPr>
      <w:r>
        <w:rPr>
          <w:rFonts w:ascii="Times New Roman"/>
          <w:color w:val="000000"/>
          <w:sz w:val="22"/>
          <w:szCs w:val="22"/>
        </w:rPr>
        <w:t xml:space="preserve">Not opening or funding the Union Registry account in time to allow orderly EUA purchases.</w:t>
      </w:r>
    </w:p>
    <w:p>
      <w:pPr>
        <w:pStyle w:val="ListParagraph"/>
        <w:numPr>
          <w:ilvl w:val="0"/>
          <w:numId w:val="1"/>
        </w:numPr>
        <w:spacing w:after="60" w:line="300"/>
      </w:pPr>
      <w:r>
        <w:rPr>
          <w:rFonts w:ascii="Times New Roman"/>
          <w:color w:val="000000"/>
          <w:sz w:val="22"/>
          <w:szCs w:val="22"/>
        </w:rPr>
        <w:t xml:space="preserve">Failing to agree commercial allocation of ETS cost between owner, charterer and sub-charterer in the contract.</w:t>
      </w:r>
    </w:p>
    <w:p>
      <w:pPr>
        <w:pStyle w:val="ListParagraph"/>
        <w:numPr>
          <w:ilvl w:val="0"/>
          <w:numId w:val="1"/>
        </w:numPr>
        <w:spacing w:after="60" w:line="300"/>
      </w:pPr>
      <w:r>
        <w:rPr>
          <w:rFonts w:ascii="Times New Roman"/>
          <w:color w:val="000000"/>
          <w:sz w:val="22"/>
          <w:szCs w:val="22"/>
        </w:rPr>
        <w:t xml:space="preserve">Overlooking the shift to 100% coverage and the addition of CH4/N2O from the 2026 reporting year.</w:t>
      </w:r>
    </w:p>
    <w:p>
      <w:pPr>
        <w:pStyle w:val="Heading2"/>
        <w:spacing w:after="140" w:before="280" w:line="312"/>
      </w:pPr>
      <w:bookmarkStart w:id="100024" w:name="_Toc100024"/>
      <w:r>
        <w:rPr>
          <w:rFonts w:ascii="Times New Roman"/>
          <w:b/>
          <w:bCs/>
          <w:color w:val="0B1C2C"/>
          <w:sz w:val="28"/>
          <w:szCs w:val="28"/>
        </w:rPr>
        <w:t xml:space="preserve">How Software Can Automate Compliance</w:t>
      </w:r>
      <w:bookmarkEnd w:id="100024"/>
    </w:p>
    <w:p>
      <w:pPr>
        <w:spacing w:after="80" w:line="312"/>
        <w:ind w:firstLine="360"/>
        <w:jc w:val="both"/>
      </w:pPr>
      <w:r>
        <w:rPr>
          <w:rFonts w:ascii="Times New Roman"/>
          <w:color w:val="000000"/>
          <w:sz w:val="22"/>
          <w:szCs w:val="22"/>
        </w:rPr>
        <w:t xml:space="preserve">A purpose-built compliance platform materially reduces manual effort and error exposure in the following ways:</w:t>
      </w:r>
    </w:p>
    <w:p>
      <w:pPr>
        <w:pStyle w:val="ListParagraph"/>
        <w:numPr>
          <w:ilvl w:val="0"/>
          <w:numId w:val="1"/>
        </w:numPr>
        <w:spacing w:after="60" w:line="300"/>
      </w:pPr>
      <w:r>
        <w:rPr>
          <w:rFonts w:ascii="Times New Roman"/>
          <w:color w:val="000000"/>
          <w:sz w:val="22"/>
          <w:szCs w:val="22"/>
        </w:rPr>
        <w:t xml:space="preserve">Live, voyage-level accumulation of the EU ETS surrender exposure straight from the EU MRV ledger.</w:t>
      </w:r>
    </w:p>
    <w:p>
      <w:pPr>
        <w:pStyle w:val="ListParagraph"/>
        <w:numPr>
          <w:ilvl w:val="0"/>
          <w:numId w:val="1"/>
        </w:numPr>
        <w:spacing w:after="60" w:line="300"/>
      </w:pPr>
      <w:r>
        <w:rPr>
          <w:rFonts w:ascii="Times New Roman"/>
          <w:color w:val="000000"/>
          <w:sz w:val="22"/>
          <w:szCs w:val="22"/>
        </w:rPr>
        <w:t xml:space="preserve">Phase-in-aware projection that re-baselines the obligation as the percentage step changes each year.</w:t>
      </w:r>
    </w:p>
    <w:p>
      <w:pPr>
        <w:pStyle w:val="ListParagraph"/>
        <w:numPr>
          <w:ilvl w:val="0"/>
          <w:numId w:val="1"/>
        </w:numPr>
        <w:spacing w:after="60" w:line="300"/>
      </w:pPr>
      <w:r>
        <w:rPr>
          <w:rFonts w:ascii="Times New Roman"/>
          <w:color w:val="000000"/>
          <w:sz w:val="22"/>
          <w:szCs w:val="22"/>
        </w:rPr>
        <w:t xml:space="preserve">Registry integration that reconciles holdings, surrenders and the verified obligation in one view.</w:t>
      </w:r>
    </w:p>
    <w:p>
      <w:pPr>
        <w:pStyle w:val="ListParagraph"/>
        <w:numPr>
          <w:ilvl w:val="0"/>
          <w:numId w:val="1"/>
        </w:numPr>
        <w:spacing w:after="60" w:line="300"/>
      </w:pPr>
      <w:r>
        <w:rPr>
          <w:rFonts w:ascii="Times New Roman"/>
          <w:color w:val="000000"/>
          <w:sz w:val="22"/>
          <w:szCs w:val="22"/>
        </w:rPr>
        <w:t xml:space="preserve">EUA price scenarios and a procurement calendar with alerts ahead of the September deadline.</w:t>
      </w:r>
    </w:p>
    <w:p>
      <w:pPr>
        <w:pStyle w:val="ListParagraph"/>
        <w:numPr>
          <w:ilvl w:val="0"/>
          <w:numId w:val="1"/>
        </w:numPr>
        <w:spacing w:after="60" w:line="300"/>
      </w:pPr>
      <w:r>
        <w:rPr>
          <w:rFonts w:ascii="Times New Roman"/>
          <w:color w:val="000000"/>
          <w:sz w:val="22"/>
          <w:szCs w:val="22"/>
        </w:rPr>
        <w:t xml:space="preserve">Charter-party tagging that allocates ETS cost to the responsible commercial party per voyage line.</w:t>
      </w:r>
    </w:p>
    <w:p>
      <w:pPr>
        <w:pStyle w:val="Heading1"/>
        <w:spacing w:after="200" w:before="400" w:line="312"/>
      </w:pPr>
      <w:bookmarkStart w:id="100025" w:name="_Toc100025"/>
      <w:r>
        <w:rPr>
          <w:rFonts w:ascii="Times New Roman"/>
          <w:b/>
          <w:bCs/>
          <w:color w:val="0B1C2C"/>
          <w:sz w:val="32"/>
          <w:szCs w:val="32"/>
        </w:rPr>
        <w:t xml:space="preserve">5. FuelEU Maritime</w:t>
      </w:r>
      <w:bookmarkEnd w:id="100025"/>
    </w:p>
    <w:p>
      <w:pPr>
        <w:spacing w:after="80" w:line="312"/>
        <w:ind w:firstLine="360"/>
        <w:jc w:val="both"/>
      </w:pPr>
      <w:r>
        <w:rPr>
          <w:rFonts w:ascii="Times New Roman"/>
          <w:color w:val="000000"/>
          <w:sz w:val="22"/>
          <w:szCs w:val="22"/>
        </w:rPr>
        <w:t xml:space="preserve">FuelEU Maritime (Regulation (EU) 2023/1805) entered into force on 1 January 2025. It is a technology-forcing instrument: rather than pricing carbon, it sets a limit on the greenhouse-gas intensity of the energy used on board ships calling at EU/EEA ports, measured on a well-to-wake basis, and it rewards the uptake of sustainable renewable fuels. It applies to the same ≥ 5,000 GT population as EU MRV/ETS (with passenger and offshore expansions on a staged basis).</w:t>
      </w:r>
    </w:p>
    <w:p>
      <w:pPr>
        <w:pStyle w:val="Heading2"/>
        <w:spacing w:after="140" w:before="280" w:line="312"/>
      </w:pPr>
      <w:bookmarkStart w:id="100026" w:name="_Toc100026"/>
      <w:r>
        <w:rPr>
          <w:rFonts w:ascii="Times New Roman"/>
          <w:b/>
          <w:bCs/>
          <w:color w:val="0B1C2C"/>
          <w:sz w:val="28"/>
          <w:szCs w:val="28"/>
        </w:rPr>
        <w:t xml:space="preserve">Purpose</w:t>
      </w:r>
      <w:bookmarkEnd w:id="100026"/>
    </w:p>
    <w:p>
      <w:pPr>
        <w:spacing w:after="80" w:line="312"/>
        <w:ind w:firstLine="360"/>
        <w:jc w:val="both"/>
      </w:pPr>
      <w:r>
        <w:rPr>
          <w:rFonts w:ascii="Times New Roman"/>
          <w:color w:val="000000"/>
          <w:sz w:val="22"/>
          <w:szCs w:val="22"/>
        </w:rPr>
        <w:t xml:space="preserve">FuelEU Maritime aims to pull the maritime fuel mix toward low- and zero-carbon alternatives by guaranteeing demand for them. Where EU ETS raises the cost of emitting, FuelEU limits the carbon intensity of energy itself, and imposes a financial penalty on energy used above the limit.</w:t>
      </w:r>
    </w:p>
    <w:p>
      <w:pPr>
        <w:pStyle w:val="Heading2"/>
        <w:spacing w:after="140" w:before="280" w:line="312"/>
      </w:pPr>
      <w:bookmarkStart w:id="100027" w:name="_Toc100027"/>
      <w:r>
        <w:rPr>
          <w:rFonts w:ascii="Times New Roman"/>
          <w:b/>
          <w:bCs/>
          <w:color w:val="0B1C2C"/>
          <w:sz w:val="28"/>
          <w:szCs w:val="28"/>
        </w:rPr>
        <w:t xml:space="preserve">Required Documents</w:t>
      </w:r>
      <w:bookmarkEnd w:id="100027"/>
    </w:p>
    <w:p>
      <w:pPr>
        <w:spacing w:after="80" w:line="312"/>
        <w:ind w:firstLine="360"/>
        <w:jc w:val="both"/>
      </w:pPr>
      <w:r>
        <w:rPr>
          <w:rFonts w:ascii="Times New Roman"/>
          <w:color w:val="000000"/>
          <w:sz w:val="22"/>
          <w:szCs w:val="22"/>
        </w:rPr>
        <w:t xml:space="preserve">The following documents form the core compliance evidence set for this regulation:</w:t>
      </w:r>
    </w:p>
    <w:p>
      <w:pPr>
        <w:pStyle w:val="ListParagraph"/>
        <w:numPr>
          <w:ilvl w:val="0"/>
          <w:numId w:val="1"/>
        </w:numPr>
        <w:spacing w:after="60" w:line="300"/>
      </w:pPr>
      <w:r>
        <w:rPr>
          <w:rFonts w:ascii="Times New Roman"/>
          <w:b/>
          <w:bCs/>
          <w:color w:val="000000"/>
          <w:sz w:val="22"/>
          <w:szCs w:val="22"/>
        </w:rPr>
        <w:t xml:space="preserve">Monitoring Plan (FuelEU): </w:t>
      </w:r>
      <w:r>
        <w:rPr>
          <w:rFonts w:ascii="Times New Roman"/>
          <w:color w:val="000000"/>
          <w:sz w:val="22"/>
          <w:szCs w:val="22"/>
        </w:rPr>
        <w:t xml:space="preserve">a ship-specific plan defining the energy sources, emission factors (well-to-tank and tank-to-wake) and monitoring methodology.</w:t>
      </w:r>
    </w:p>
    <w:p>
      <w:pPr>
        <w:pStyle w:val="ListParagraph"/>
        <w:numPr>
          <w:ilvl w:val="0"/>
          <w:numId w:val="1"/>
        </w:numPr>
        <w:spacing w:after="60" w:line="300"/>
      </w:pPr>
      <w:r>
        <w:rPr>
          <w:rFonts w:ascii="Times New Roman"/>
          <w:b/>
          <w:bCs/>
          <w:color w:val="000000"/>
          <w:sz w:val="22"/>
          <w:szCs w:val="22"/>
        </w:rPr>
        <w:t xml:space="preserve">FuelEU emissions report: </w:t>
      </w:r>
      <w:r>
        <w:rPr>
          <w:rFonts w:ascii="Times New Roman"/>
          <w:color w:val="000000"/>
          <w:sz w:val="22"/>
          <w:szCs w:val="22"/>
        </w:rPr>
        <w:t xml:space="preserve">the annual report of energy used and resulting WtW GHG intensity, submitted and verified alongside the EU MRV cycle.</w:t>
      </w:r>
    </w:p>
    <w:p>
      <w:pPr>
        <w:pStyle w:val="ListParagraph"/>
        <w:numPr>
          <w:ilvl w:val="0"/>
          <w:numId w:val="1"/>
        </w:numPr>
        <w:spacing w:after="60" w:line="300"/>
      </w:pPr>
      <w:r>
        <w:rPr>
          <w:rFonts w:ascii="Times New Roman"/>
          <w:b/>
          <w:bCs/>
          <w:color w:val="000000"/>
          <w:sz w:val="22"/>
          <w:szCs w:val="22"/>
        </w:rPr>
        <w:t xml:space="preserve">Document of Compliance (FuelEU): </w:t>
      </w:r>
      <w:r>
        <w:rPr>
          <w:rFonts w:ascii="Times New Roman"/>
          <w:color w:val="000000"/>
          <w:sz w:val="22"/>
          <w:szCs w:val="22"/>
        </w:rPr>
        <w:t xml:space="preserve">issued by the verifier confirming the limit was met or, where not, that the penalty was paid.</w:t>
      </w:r>
    </w:p>
    <w:p>
      <w:pPr>
        <w:pStyle w:val="ListParagraph"/>
        <w:numPr>
          <w:ilvl w:val="0"/>
          <w:numId w:val="1"/>
        </w:numPr>
        <w:spacing w:after="60" w:line="300"/>
      </w:pPr>
      <w:r>
        <w:rPr>
          <w:rFonts w:ascii="Times New Roman"/>
          <w:b/>
          <w:bCs/>
          <w:color w:val="000000"/>
          <w:sz w:val="22"/>
          <w:szCs w:val="22"/>
        </w:rPr>
        <w:t xml:space="preserve">Proof of sustainable-fuel origin: </w:t>
      </w:r>
      <w:r>
        <w:rPr>
          <w:rFonts w:ascii="Times New Roman"/>
          <w:color w:val="000000"/>
          <w:sz w:val="22"/>
          <w:szCs w:val="22"/>
        </w:rPr>
        <w:t xml:space="preserve">for biofuels, RFNBOs and other certified pathways, evidence (e.g. sustainability certificates) supporting the emission factors claimed.</w:t>
      </w:r>
    </w:p>
    <w:p>
      <w:pPr>
        <w:pStyle w:val="Heading2"/>
        <w:spacing w:after="140" w:before="280" w:line="312"/>
      </w:pPr>
      <w:bookmarkStart w:id="100028" w:name="_Toc100028"/>
      <w:r>
        <w:rPr>
          <w:rFonts w:ascii="Times New Roman"/>
          <w:b/>
          <w:bCs/>
          <w:color w:val="0B1C2C"/>
          <w:sz w:val="28"/>
          <w:szCs w:val="28"/>
        </w:rPr>
        <w:t xml:space="preserve">Required Calculations</w:t>
      </w:r>
      <w:bookmarkEnd w:id="100028"/>
    </w:p>
    <w:p>
      <w:pPr>
        <w:spacing w:after="80" w:line="312"/>
        <w:ind w:firstLine="360"/>
        <w:jc w:val="both"/>
      </w:pPr>
      <w:r>
        <w:rPr>
          <w:rFonts w:ascii="Times New Roman"/>
          <w:color w:val="000000"/>
          <w:sz w:val="22"/>
          <w:szCs w:val="22"/>
        </w:rPr>
        <w:t xml:space="preserve">Compliance depends on the following quantitative determinations:</w:t>
      </w:r>
    </w:p>
    <w:p>
      <w:pPr>
        <w:pStyle w:val="ListParagraph"/>
        <w:numPr>
          <w:ilvl w:val="0"/>
          <w:numId w:val="1"/>
        </w:numPr>
        <w:spacing w:after="60" w:line="300"/>
      </w:pPr>
      <w:r>
        <w:rPr>
          <w:rFonts w:ascii="Times New Roman"/>
          <w:b/>
          <w:bCs/>
          <w:color w:val="000000"/>
          <w:sz w:val="22"/>
          <w:szCs w:val="22"/>
        </w:rPr>
        <w:t xml:space="preserve">Well-to-wake GHG intensity: </w:t>
      </w:r>
      <w:r>
        <w:rPr>
          <w:rFonts w:ascii="Times New Roman"/>
          <w:color w:val="000000"/>
          <w:sz w:val="22"/>
          <w:szCs w:val="22"/>
        </w:rPr>
        <w:t xml:space="preserve">for each energy carrier, (well-to-tank + tank-to-wake) emission factor, expressed in gCO2eq/MJ, weighted across all energy used.</w:t>
      </w:r>
    </w:p>
    <w:p>
      <w:pPr>
        <w:pStyle w:val="ListParagraph"/>
        <w:numPr>
          <w:ilvl w:val="0"/>
          <w:numId w:val="1"/>
        </w:numPr>
        <w:spacing w:after="60" w:line="300"/>
      </w:pPr>
      <w:r>
        <w:rPr>
          <w:rFonts w:ascii="Times New Roman"/>
          <w:b/>
          <w:bCs/>
          <w:color w:val="000000"/>
          <w:sz w:val="22"/>
          <w:szCs w:val="22"/>
        </w:rPr>
        <w:t xml:space="preserve">Compliance balance: </w:t>
      </w:r>
      <w:r>
        <w:rPr>
          <w:rFonts w:ascii="Times New Roman"/>
          <w:color w:val="000000"/>
          <w:sz w:val="22"/>
          <w:szCs w:val="22"/>
        </w:rPr>
        <w:t xml:space="preserve">the difference between the ship's achieved intensity and the regulatory limit, multiplied by the energy used; a negative balance indicates non-compliance.</w:t>
      </w:r>
    </w:p>
    <w:p>
      <w:pPr>
        <w:pStyle w:val="ListParagraph"/>
        <w:numPr>
          <w:ilvl w:val="0"/>
          <w:numId w:val="1"/>
        </w:numPr>
        <w:spacing w:after="60" w:line="300"/>
      </w:pPr>
      <w:r>
        <w:rPr>
          <w:rFonts w:ascii="Times New Roman"/>
          <w:b/>
          <w:bCs/>
          <w:color w:val="000000"/>
          <w:sz w:val="22"/>
          <w:szCs w:val="22"/>
        </w:rPr>
        <w:t xml:space="preserve">Limit trajectory: </w:t>
      </w:r>
      <w:r>
        <w:rPr>
          <w:rFonts w:ascii="Times New Roman"/>
          <w:color w:val="000000"/>
          <w:sz w:val="22"/>
          <w:szCs w:val="22"/>
        </w:rPr>
        <w:t xml:space="preserve">a 2% reduction from the 2020 reference (91.16 gCO2eq/MJ) in 2025, rising to 6% by 2030 and stepping up to 80% by 2050 (values indicative — verify against current text).</w:t>
      </w:r>
    </w:p>
    <w:p>
      <w:pPr>
        <w:pStyle w:val="ListParagraph"/>
        <w:numPr>
          <w:ilvl w:val="0"/>
          <w:numId w:val="1"/>
        </w:numPr>
        <w:spacing w:after="60" w:line="300"/>
      </w:pPr>
      <w:r>
        <w:rPr>
          <w:rFonts w:ascii="Times New Roman"/>
          <w:b/>
          <w:bCs/>
          <w:color w:val="000000"/>
          <w:sz w:val="22"/>
          <w:szCs w:val="22"/>
        </w:rPr>
        <w:t xml:space="preserve">Penalty: </w:t>
      </w:r>
      <w:r>
        <w:rPr>
          <w:rFonts w:ascii="Times New Roman"/>
          <w:color w:val="000000"/>
          <w:sz w:val="22"/>
          <w:szCs w:val="22"/>
        </w:rPr>
        <w:t xml:space="preserve">applied to the excess energy at roughly €2,400 per tonne of VLSFO-equivalent, escalating for repeat non-compliance through the banking/borrowing mechanism.</w:t>
      </w:r>
    </w:p>
    <w:p>
      <w:pPr>
        <w:pStyle w:val="ListParagraph"/>
        <w:numPr>
          <w:ilvl w:val="0"/>
          <w:numId w:val="1"/>
        </w:numPr>
        <w:spacing w:after="60" w:line="300"/>
      </w:pPr>
      <w:r>
        <w:rPr>
          <w:rFonts w:ascii="Times New Roman"/>
          <w:b/>
          <w:bCs/>
          <w:color w:val="000000"/>
          <w:sz w:val="22"/>
          <w:szCs w:val="22"/>
        </w:rPr>
        <w:t xml:space="preserve">Rewards and incentives: </w:t>
      </w:r>
      <w:r>
        <w:rPr>
          <w:rFonts w:ascii="Times New Roman"/>
          <w:color w:val="000000"/>
          <w:sz w:val="22"/>
          <w:szCs w:val="22"/>
        </w:rPr>
        <w:t xml:space="preserve">the regulation includes a reward multiplier for RFNBOs (in the early years) and a container on-board connection requirement for shore power where OPS is available.</w:t>
      </w:r>
    </w:p>
    <w:p>
      <w:pPr>
        <w:pStyle w:val="Heading2"/>
        <w:spacing w:after="140" w:before="280" w:line="312"/>
      </w:pPr>
      <w:bookmarkStart w:id="100029" w:name="_Toc100029"/>
      <w:r>
        <w:rPr>
          <w:rFonts w:ascii="Times New Roman"/>
          <w:b/>
          <w:bCs/>
          <w:color w:val="0B1C2C"/>
          <w:sz w:val="28"/>
          <w:szCs w:val="28"/>
        </w:rPr>
        <w:t xml:space="preserve">Required Data</w:t>
      </w:r>
      <w:bookmarkEnd w:id="100029"/>
    </w:p>
    <w:p>
      <w:pPr>
        <w:spacing w:after="80" w:line="312"/>
        <w:ind w:firstLine="360"/>
        <w:jc w:val="both"/>
      </w:pPr>
      <w:r>
        <w:rPr>
          <w:rFonts w:ascii="Times New Roman"/>
          <w:color w:val="000000"/>
          <w:sz w:val="22"/>
          <w:szCs w:val="22"/>
        </w:rPr>
        <w:t xml:space="preserve">The following data elements must be captured to support reporting and verification:</w:t>
      </w:r>
    </w:p>
    <w:p>
      <w:pPr>
        <w:pStyle w:val="ListParagraph"/>
        <w:numPr>
          <w:ilvl w:val="0"/>
          <w:numId w:val="1"/>
        </w:numPr>
        <w:spacing w:after="60" w:line="300"/>
      </w:pPr>
      <w:r>
        <w:rPr>
          <w:rFonts w:ascii="Times New Roman"/>
          <w:color w:val="000000"/>
          <w:sz w:val="22"/>
          <w:szCs w:val="22"/>
        </w:rPr>
        <w:t xml:space="preserve">Energy used per fuel type (in MJ)   •   Well-to-tank and tank-to-wake emission factors per fuel   •   Voyage geography (100% EU / 50% extra-EU)   •   On-shore power supply (OPS) use at berth   •   Sustainable-fuel certificates   •   Ship and engine configuration</w:t>
      </w:r>
    </w:p>
    <w:p>
      <w:pPr>
        <w:pStyle w:val="Heading2"/>
        <w:spacing w:after="140" w:before="280" w:line="312"/>
      </w:pPr>
      <w:bookmarkStart w:id="100030" w:name="_Toc100030"/>
      <w:r>
        <w:rPr>
          <w:rFonts w:ascii="Times New Roman"/>
          <w:b/>
          <w:bCs/>
          <w:color w:val="0B1C2C"/>
          <w:sz w:val="28"/>
          <w:szCs w:val="28"/>
        </w:rPr>
        <w:t xml:space="preserve">Reporting Frequency</w:t>
      </w:r>
      <w:bookmarkEnd w:id="100030"/>
    </w:p>
    <w:p>
      <w:pPr>
        <w:spacing w:after="80" w:line="312"/>
        <w:ind w:firstLine="360"/>
        <w:jc w:val="both"/>
      </w:pPr>
      <w:r>
        <w:rPr>
          <w:rFonts w:ascii="Times New Roman"/>
          <w:color w:val="000000"/>
          <w:sz w:val="22"/>
          <w:szCs w:val="22"/>
        </w:rPr>
        <w:t xml:space="preserve">Annual, aligned with EU MRV: monitoring throughout the year, the verified FuelEU report and compliance balance by 30 June of the following year, and any penalty settled on the notified schedule. The limit tightens in five-year steps.</w:t>
      </w:r>
    </w:p>
    <w:p>
      <w:pPr>
        <w:pStyle w:val="Heading2"/>
        <w:spacing w:after="140" w:before="280" w:line="312"/>
      </w:pPr>
      <w:bookmarkStart w:id="100031" w:name="_Toc100031"/>
      <w:r>
        <w:rPr>
          <w:rFonts w:ascii="Times New Roman"/>
          <w:b/>
          <w:bCs/>
          <w:color w:val="0B1C2C"/>
          <w:sz w:val="28"/>
          <w:szCs w:val="28"/>
        </w:rPr>
        <w:t xml:space="preserve">Common Compliance Mistakes</w:t>
      </w:r>
      <w:bookmarkEnd w:id="100031"/>
    </w:p>
    <w:p>
      <w:pPr>
        <w:pStyle w:val="ListParagraph"/>
        <w:numPr>
          <w:ilvl w:val="0"/>
          <w:numId w:val="1"/>
        </w:numPr>
        <w:spacing w:after="60" w:line="300"/>
      </w:pPr>
      <w:r>
        <w:rPr>
          <w:rFonts w:ascii="Times New Roman"/>
          <w:color w:val="000000"/>
          <w:sz w:val="22"/>
          <w:szCs w:val="22"/>
        </w:rPr>
        <w:t xml:space="preserve">Confusing tank-to-wake (EU MRV/ETS) with well-to-wake (FuelEU) intensity and double-counting or omitting the upstream component.</w:t>
      </w:r>
    </w:p>
    <w:p>
      <w:pPr>
        <w:pStyle w:val="ListParagraph"/>
        <w:numPr>
          <w:ilvl w:val="0"/>
          <w:numId w:val="1"/>
        </w:numPr>
        <w:spacing w:after="60" w:line="300"/>
      </w:pPr>
      <w:r>
        <w:rPr>
          <w:rFonts w:ascii="Times New Roman"/>
          <w:color w:val="000000"/>
          <w:sz w:val="22"/>
          <w:szCs w:val="22"/>
        </w:rPr>
        <w:t xml:space="preserve">Claiming RFNBO or biofuel emission factors without retaining the supporting sustainability certificates.</w:t>
      </w:r>
    </w:p>
    <w:p>
      <w:pPr>
        <w:pStyle w:val="ListParagraph"/>
        <w:numPr>
          <w:ilvl w:val="0"/>
          <w:numId w:val="1"/>
        </w:numPr>
        <w:spacing w:after="60" w:line="300"/>
      </w:pPr>
      <w:r>
        <w:rPr>
          <w:rFonts w:ascii="Times New Roman"/>
          <w:color w:val="000000"/>
          <w:sz w:val="22"/>
          <w:szCs w:val="22"/>
        </w:rPr>
        <w:t xml:space="preserve">Overlooking the shore-power (OPS) obligation at covered EU ports for applicable container and passenger ships.</w:t>
      </w:r>
    </w:p>
    <w:p>
      <w:pPr>
        <w:pStyle w:val="ListParagraph"/>
        <w:numPr>
          <w:ilvl w:val="0"/>
          <w:numId w:val="1"/>
        </w:numPr>
        <w:spacing w:after="60" w:line="300"/>
      </w:pPr>
      <w:r>
        <w:rPr>
          <w:rFonts w:ascii="Times New Roman"/>
          <w:color w:val="000000"/>
          <w:sz w:val="22"/>
          <w:szCs w:val="22"/>
        </w:rPr>
        <w:t xml:space="preserve">Borrowing from a future compliance period without planning the repayment, leaving the next year non-compliant.</w:t>
      </w:r>
    </w:p>
    <w:p>
      <w:pPr>
        <w:pStyle w:val="ListParagraph"/>
        <w:numPr>
          <w:ilvl w:val="0"/>
          <w:numId w:val="1"/>
        </w:numPr>
        <w:spacing w:after="60" w:line="300"/>
      </w:pPr>
      <w:r>
        <w:rPr>
          <w:rFonts w:ascii="Times New Roman"/>
          <w:color w:val="000000"/>
          <w:sz w:val="22"/>
          <w:szCs w:val="22"/>
        </w:rPr>
        <w:t xml:space="preserve">Treating FuelEU and EU ETS as substitutes rather than two layered obligations on the same activity.</w:t>
      </w:r>
    </w:p>
    <w:p>
      <w:pPr>
        <w:pStyle w:val="Heading2"/>
        <w:spacing w:after="140" w:before="280" w:line="312"/>
      </w:pPr>
      <w:bookmarkStart w:id="100032" w:name="_Toc100032"/>
      <w:r>
        <w:rPr>
          <w:rFonts w:ascii="Times New Roman"/>
          <w:b/>
          <w:bCs/>
          <w:color w:val="0B1C2C"/>
          <w:sz w:val="28"/>
          <w:szCs w:val="28"/>
        </w:rPr>
        <w:t xml:space="preserve">How Software Can Automate Compliance</w:t>
      </w:r>
      <w:bookmarkEnd w:id="100032"/>
    </w:p>
    <w:p>
      <w:pPr>
        <w:spacing w:after="80" w:line="312"/>
        <w:ind w:firstLine="360"/>
        <w:jc w:val="both"/>
      </w:pPr>
      <w:r>
        <w:rPr>
          <w:rFonts w:ascii="Times New Roman"/>
          <w:color w:val="000000"/>
          <w:sz w:val="22"/>
          <w:szCs w:val="22"/>
        </w:rPr>
        <w:t xml:space="preserve">A purpose-built compliance platform materially reduces manual effort and error exposure in the following ways:</w:t>
      </w:r>
    </w:p>
    <w:p>
      <w:pPr>
        <w:pStyle w:val="ListParagraph"/>
        <w:numPr>
          <w:ilvl w:val="0"/>
          <w:numId w:val="1"/>
        </w:numPr>
        <w:spacing w:after="60" w:line="300"/>
      </w:pPr>
      <w:r>
        <w:rPr>
          <w:rFonts w:ascii="Times New Roman"/>
          <w:color w:val="000000"/>
          <w:sz w:val="22"/>
          <w:szCs w:val="22"/>
        </w:rPr>
        <w:t xml:space="preserve">A fuel-and-energy master ledger with both TtW and WtW factors maintained centrally so a single fuel entry feeds both EU ETS/MRV and FuelEU.</w:t>
      </w:r>
    </w:p>
    <w:p>
      <w:pPr>
        <w:pStyle w:val="ListParagraph"/>
        <w:numPr>
          <w:ilvl w:val="0"/>
          <w:numId w:val="1"/>
        </w:numPr>
        <w:spacing w:after="60" w:line="300"/>
      </w:pPr>
      <w:r>
        <w:rPr>
          <w:rFonts w:ascii="Times New Roman"/>
          <w:color w:val="000000"/>
          <w:sz w:val="22"/>
          <w:szCs w:val="22"/>
        </w:rPr>
        <w:t xml:space="preserve">Automatic computation of the compliance balance and a running projection against the five-year limit trajectory.</w:t>
      </w:r>
    </w:p>
    <w:p>
      <w:pPr>
        <w:pStyle w:val="ListParagraph"/>
        <w:numPr>
          <w:ilvl w:val="0"/>
          <w:numId w:val="1"/>
        </w:numPr>
        <w:spacing w:after="60" w:line="300"/>
      </w:pPr>
      <w:r>
        <w:rPr>
          <w:rFonts w:ascii="Times New Roman"/>
          <w:color w:val="000000"/>
          <w:sz w:val="22"/>
          <w:szCs w:val="22"/>
        </w:rPr>
        <w:t xml:space="preserve">Reward and penalty modelling for fuel-switching scenarios (e.g. LNG, biofuel blends, e-fuels) before procurement.</w:t>
      </w:r>
    </w:p>
    <w:p>
      <w:pPr>
        <w:pStyle w:val="ListParagraph"/>
        <w:numPr>
          <w:ilvl w:val="0"/>
          <w:numId w:val="1"/>
        </w:numPr>
        <w:spacing w:after="60" w:line="300"/>
      </w:pPr>
      <w:r>
        <w:rPr>
          <w:rFonts w:ascii="Times New Roman"/>
          <w:color w:val="000000"/>
          <w:sz w:val="22"/>
          <w:szCs w:val="22"/>
        </w:rPr>
        <w:t xml:space="preserve">Certificate vaulting that links each batch of sustainable fuel to its sustainability evidence and emission factor.</w:t>
      </w:r>
    </w:p>
    <w:p>
      <w:pPr>
        <w:pStyle w:val="ListParagraph"/>
        <w:numPr>
          <w:ilvl w:val="0"/>
          <w:numId w:val="1"/>
        </w:numPr>
        <w:spacing w:after="60" w:line="300"/>
      </w:pPr>
      <w:r>
        <w:rPr>
          <w:rFonts w:ascii="Times New Roman"/>
          <w:color w:val="000000"/>
          <w:sz w:val="22"/>
          <w:szCs w:val="22"/>
        </w:rPr>
        <w:t xml:space="preserve">OPS-use capture and validation against the port infrastructure list to evidence the shore-power obligation.</w:t>
      </w:r>
    </w:p>
    <w:p>
      <w:pPr>
        <w:pStyle w:val="Heading1"/>
        <w:spacing w:after="200" w:before="400" w:line="312"/>
      </w:pPr>
      <w:bookmarkStart w:id="100033" w:name="_Toc100033"/>
      <w:r>
        <w:rPr>
          <w:rFonts w:ascii="Times New Roman"/>
          <w:b/>
          <w:bCs/>
          <w:color w:val="0B1C2C"/>
          <w:sz w:val="32"/>
          <w:szCs w:val="32"/>
        </w:rPr>
        <w:t xml:space="preserve">6. Carbon Intensity Indicator (CII)</w:t>
      </w:r>
      <w:bookmarkEnd w:id="100033"/>
    </w:p>
    <w:p>
      <w:pPr>
        <w:spacing w:after="80" w:line="312"/>
        <w:ind w:firstLine="360"/>
        <w:jc w:val="both"/>
      </w:pPr>
      <w:r>
        <w:rPr>
          <w:rFonts w:ascii="Times New Roman"/>
          <w:color w:val="000000"/>
          <w:sz w:val="22"/>
          <w:szCs w:val="22"/>
        </w:rPr>
        <w:t xml:space="preserve">The CII is the operational-efficiency element of the IMO's short-term GHG measure, introduced by MARPOL Annex VI amendments that took effect on 1 November 2022. For ships of 5,000 GT and above, it expresses each year's carbon intensity as an operational rating and requires a corrective plan when the rating falls below acceptable.</w:t>
      </w:r>
    </w:p>
    <w:p>
      <w:pPr>
        <w:pStyle w:val="Heading2"/>
        <w:spacing w:after="140" w:before="280" w:line="312"/>
      </w:pPr>
      <w:bookmarkStart w:id="100034" w:name="_Toc100034"/>
      <w:r>
        <w:rPr>
          <w:rFonts w:ascii="Times New Roman"/>
          <w:b/>
          <w:bCs/>
          <w:color w:val="0B1C2C"/>
          <w:sz w:val="28"/>
          <w:szCs w:val="28"/>
        </w:rPr>
        <w:t xml:space="preserve">Purpose</w:t>
      </w:r>
      <w:bookmarkEnd w:id="100034"/>
    </w:p>
    <w:p>
      <w:pPr>
        <w:spacing w:after="80" w:line="312"/>
        <w:ind w:firstLine="360"/>
        <w:jc w:val="both"/>
      </w:pPr>
      <w:r>
        <w:rPr>
          <w:rFonts w:ascii="Times New Roman"/>
          <w:color w:val="000000"/>
          <w:sz w:val="22"/>
          <w:szCs w:val="22"/>
        </w:rPr>
        <w:t xml:space="preserve">CII translates each ship's annual operation into a single, comparable efficiency grade (A to E), creating an ongoing incentive to reduce emissions per unit of transport work through speed, routing, hull condition, energy -saving devices and fuel choice.</w:t>
      </w:r>
    </w:p>
    <w:p>
      <w:pPr>
        <w:pStyle w:val="Heading2"/>
        <w:spacing w:after="140" w:before="280" w:line="312"/>
      </w:pPr>
      <w:bookmarkStart w:id="100035" w:name="_Toc100035"/>
      <w:r>
        <w:rPr>
          <w:rFonts w:ascii="Times New Roman"/>
          <w:b/>
          <w:bCs/>
          <w:color w:val="0B1C2C"/>
          <w:sz w:val="28"/>
          <w:szCs w:val="28"/>
        </w:rPr>
        <w:t xml:space="preserve">Required Documents</w:t>
      </w:r>
      <w:bookmarkEnd w:id="100035"/>
    </w:p>
    <w:p>
      <w:pPr>
        <w:spacing w:after="80" w:line="312"/>
        <w:ind w:firstLine="360"/>
        <w:jc w:val="both"/>
      </w:pPr>
      <w:r>
        <w:rPr>
          <w:rFonts w:ascii="Times New Roman"/>
          <w:color w:val="000000"/>
          <w:sz w:val="22"/>
          <w:szCs w:val="22"/>
        </w:rPr>
        <w:t xml:space="preserve">The following documents form the core compliance evidence set for this regulation:</w:t>
      </w:r>
    </w:p>
    <w:p>
      <w:pPr>
        <w:pStyle w:val="ListParagraph"/>
        <w:numPr>
          <w:ilvl w:val="0"/>
          <w:numId w:val="1"/>
        </w:numPr>
        <w:spacing w:after="60" w:line="300"/>
      </w:pPr>
      <w:r>
        <w:rPr>
          <w:rFonts w:ascii="Times New Roman"/>
          <w:b/>
          <w:bCs/>
          <w:color w:val="000000"/>
          <w:sz w:val="22"/>
          <w:szCs w:val="22"/>
        </w:rPr>
        <w:t xml:space="preserve">SEEMP Part III — CII Implementation Plan: </w:t>
      </w:r>
      <w:r>
        <w:rPr>
          <w:rFonts w:ascii="Times New Roman"/>
          <w:color w:val="000000"/>
          <w:sz w:val="22"/>
          <w:szCs w:val="22"/>
        </w:rPr>
        <w:t xml:space="preserve">for ships rated D or E (or the equivalent for three consecutive years), a documented plan of corrective measures, verified by the RO.</w:t>
      </w:r>
    </w:p>
    <w:p>
      <w:pPr>
        <w:pStyle w:val="ListParagraph"/>
        <w:numPr>
          <w:ilvl w:val="0"/>
          <w:numId w:val="1"/>
        </w:numPr>
        <w:spacing w:after="60" w:line="300"/>
      </w:pPr>
      <w:r>
        <w:rPr>
          <w:rFonts w:ascii="Times New Roman"/>
          <w:b/>
          <w:bCs/>
          <w:color w:val="000000"/>
          <w:sz w:val="22"/>
          <w:szCs w:val="22"/>
        </w:rPr>
        <w:t xml:space="preserve">Verified annual CII record: </w:t>
      </w:r>
      <w:r>
        <w:rPr>
          <w:rFonts w:ascii="Times New Roman"/>
          <w:color w:val="000000"/>
          <w:sz w:val="22"/>
          <w:szCs w:val="22"/>
        </w:rPr>
        <w:t xml:space="preserve">the computed Attained CII and assigned rating, recorded with the DCS data set.</w:t>
      </w:r>
    </w:p>
    <w:p>
      <w:pPr>
        <w:pStyle w:val="ListParagraph"/>
        <w:numPr>
          <w:ilvl w:val="0"/>
          <w:numId w:val="1"/>
        </w:numPr>
        <w:spacing w:after="60" w:line="300"/>
      </w:pPr>
      <w:r>
        <w:rPr>
          <w:rFonts w:ascii="Times New Roman"/>
          <w:b/>
          <w:bCs/>
          <w:color w:val="000000"/>
          <w:sz w:val="22"/>
          <w:szCs w:val="22"/>
        </w:rPr>
        <w:t xml:space="preserve">Statement of Compliance: </w:t>
      </w:r>
      <w:r>
        <w:rPr>
          <w:rFonts w:ascii="Times New Roman"/>
          <w:color w:val="000000"/>
          <w:sz w:val="22"/>
          <w:szCs w:val="22"/>
        </w:rPr>
        <w:t xml:space="preserve">reflecting the CII rating for the reporting year.</w:t>
      </w:r>
    </w:p>
    <w:p>
      <w:pPr>
        <w:pStyle w:val="ListParagraph"/>
        <w:numPr>
          <w:ilvl w:val="0"/>
          <w:numId w:val="1"/>
        </w:numPr>
        <w:spacing w:after="60" w:line="300"/>
      </w:pPr>
      <w:r>
        <w:rPr>
          <w:rFonts w:ascii="Times New Roman"/>
          <w:b/>
          <w:bCs/>
          <w:color w:val="000000"/>
          <w:sz w:val="22"/>
          <w:szCs w:val="22"/>
        </w:rPr>
        <w:t xml:space="preserve">Supporting DCS data: </w:t>
      </w:r>
      <w:r>
        <w:rPr>
          <w:rFonts w:ascii="Times New Roman"/>
          <w:color w:val="000000"/>
          <w:sz w:val="22"/>
          <w:szCs w:val="22"/>
        </w:rPr>
        <w:t xml:space="preserve">CII is derived from the IMO DCS dataset, so the underlying consumption, distance and capacity data must be intact.</w:t>
      </w:r>
    </w:p>
    <w:p>
      <w:pPr>
        <w:pStyle w:val="Heading2"/>
        <w:spacing w:after="140" w:before="280" w:line="312"/>
      </w:pPr>
      <w:bookmarkStart w:id="100036" w:name="_Toc100036"/>
      <w:r>
        <w:rPr>
          <w:rFonts w:ascii="Times New Roman"/>
          <w:b/>
          <w:bCs/>
          <w:color w:val="0B1C2C"/>
          <w:sz w:val="28"/>
          <w:szCs w:val="28"/>
        </w:rPr>
        <w:t xml:space="preserve">Required Calculations</w:t>
      </w:r>
      <w:bookmarkEnd w:id="100036"/>
    </w:p>
    <w:p>
      <w:pPr>
        <w:spacing w:after="80" w:line="312"/>
        <w:ind w:firstLine="360"/>
        <w:jc w:val="both"/>
      </w:pPr>
      <w:r>
        <w:rPr>
          <w:rFonts w:ascii="Times New Roman"/>
          <w:color w:val="000000"/>
          <w:sz w:val="22"/>
          <w:szCs w:val="22"/>
        </w:rPr>
        <w:t xml:space="preserve">Compliance depends on the following quantitative determinations:</w:t>
      </w:r>
    </w:p>
    <w:p>
      <w:pPr>
        <w:pStyle w:val="ListParagraph"/>
        <w:numPr>
          <w:ilvl w:val="0"/>
          <w:numId w:val="1"/>
        </w:numPr>
        <w:spacing w:after="60" w:line="300"/>
      </w:pPr>
      <w:r>
        <w:rPr>
          <w:rFonts w:ascii="Times New Roman"/>
          <w:b/>
          <w:bCs/>
          <w:color w:val="000000"/>
          <w:sz w:val="22"/>
          <w:szCs w:val="22"/>
        </w:rPr>
        <w:t xml:space="preserve">Attained CII: </w:t>
      </w:r>
      <w:r>
        <w:rPr>
          <w:rFonts w:ascii="Times New Roman"/>
          <w:color w:val="000000"/>
          <w:sz w:val="22"/>
          <w:szCs w:val="22"/>
        </w:rPr>
        <w:t xml:space="preserve">annual emissions (derived from fuel × CO2 factor) divided by (capacity × distance); for most ship types, capacity is deadweight, expressed in gCO2/dwt·nm.</w:t>
      </w:r>
    </w:p>
    <w:p>
      <w:pPr>
        <w:pStyle w:val="ListParagraph"/>
        <w:numPr>
          <w:ilvl w:val="0"/>
          <w:numId w:val="1"/>
        </w:numPr>
        <w:spacing w:after="60" w:line="300"/>
      </w:pPr>
      <w:r>
        <w:rPr>
          <w:rFonts w:ascii="Times New Roman"/>
          <w:b/>
          <w:bCs/>
          <w:color w:val="000000"/>
          <w:sz w:val="22"/>
          <w:szCs w:val="22"/>
        </w:rPr>
        <w:t xml:space="preserve">Required CII: </w:t>
      </w:r>
      <w:r>
        <w:rPr>
          <w:rFonts w:ascii="Times New Roman"/>
          <w:color w:val="000000"/>
          <w:sz w:val="22"/>
          <w:szCs w:val="22"/>
        </w:rPr>
        <w:t xml:space="preserve">the year-specific limit from the ship's reference line and the reduction factor for that year (the limits tighten annually through 2026).</w:t>
      </w:r>
    </w:p>
    <w:p>
      <w:pPr>
        <w:pStyle w:val="ListParagraph"/>
        <w:numPr>
          <w:ilvl w:val="0"/>
          <w:numId w:val="1"/>
        </w:numPr>
        <w:spacing w:after="60" w:line="300"/>
      </w:pPr>
      <w:r>
        <w:rPr>
          <w:rFonts w:ascii="Times New Roman"/>
          <w:b/>
          <w:bCs/>
          <w:color w:val="000000"/>
          <w:sz w:val="22"/>
          <w:szCs w:val="22"/>
        </w:rPr>
        <w:t xml:space="preserve">Rating: </w:t>
      </w:r>
      <w:r>
        <w:rPr>
          <w:rFonts w:ascii="Times New Roman"/>
          <w:color w:val="000000"/>
          <w:sz w:val="22"/>
          <w:szCs w:val="22"/>
        </w:rPr>
        <w:t xml:space="preserve">A, B, C, D or E, determined by how far the Attained CII deviates from the Required CII; the band edges widen each year, making the same performance harder to maintain.</w:t>
      </w:r>
    </w:p>
    <w:p>
      <w:pPr>
        <w:pStyle w:val="ListParagraph"/>
        <w:numPr>
          <w:ilvl w:val="0"/>
          <w:numId w:val="1"/>
        </w:numPr>
        <w:spacing w:after="60" w:line="300"/>
      </w:pPr>
      <w:r>
        <w:rPr>
          <w:rFonts w:ascii="Times New Roman"/>
          <w:b/>
          <w:bCs/>
          <w:color w:val="000000"/>
          <w:sz w:val="22"/>
          <w:szCs w:val="22"/>
        </w:rPr>
        <w:t xml:space="preserve">Rating-year adjustment: </w:t>
      </w:r>
      <w:r>
        <w:rPr>
          <w:rFonts w:ascii="Times New Roman"/>
          <w:color w:val="000000"/>
          <w:sz w:val="22"/>
          <w:szCs w:val="22"/>
        </w:rPr>
        <w:t xml:space="preserve">correction factors and voyage exclusions (e.g. for specific ice navigation, safety, or shuttle-tank operations) are applied per the latest guidelines before rating.</w:t>
      </w:r>
    </w:p>
    <w:p>
      <w:pPr>
        <w:pStyle w:val="Heading2"/>
        <w:spacing w:after="140" w:before="280" w:line="312"/>
      </w:pPr>
      <w:bookmarkStart w:id="100037" w:name="_Toc100037"/>
      <w:r>
        <w:rPr>
          <w:rFonts w:ascii="Times New Roman"/>
          <w:b/>
          <w:bCs/>
          <w:color w:val="0B1C2C"/>
          <w:sz w:val="28"/>
          <w:szCs w:val="28"/>
        </w:rPr>
        <w:t xml:space="preserve">Required Data</w:t>
      </w:r>
      <w:bookmarkEnd w:id="100037"/>
    </w:p>
    <w:p>
      <w:pPr>
        <w:spacing w:after="80" w:line="312"/>
        <w:ind w:firstLine="360"/>
        <w:jc w:val="both"/>
      </w:pPr>
      <w:r>
        <w:rPr>
          <w:rFonts w:ascii="Times New Roman"/>
          <w:color w:val="000000"/>
          <w:sz w:val="22"/>
          <w:szCs w:val="22"/>
        </w:rPr>
        <w:t xml:space="preserve">The following data elements must be captured to support reporting and verification:</w:t>
      </w:r>
    </w:p>
    <w:p>
      <w:pPr>
        <w:pStyle w:val="ListParagraph"/>
        <w:numPr>
          <w:ilvl w:val="0"/>
          <w:numId w:val="1"/>
        </w:numPr>
        <w:spacing w:after="60" w:line="300"/>
      </w:pPr>
      <w:r>
        <w:rPr>
          <w:rFonts w:ascii="Times New Roman"/>
          <w:color w:val="000000"/>
          <w:sz w:val="22"/>
          <w:szCs w:val="22"/>
        </w:rPr>
        <w:t xml:space="preserve">Annual fuel consumption by type   •   Distance travelled (nm)   •   Capacity (dwt or GT, by ship type)   •   Hours underway   •   Voyage corrections and exclusions   •   Ship type and particulars</w:t>
      </w:r>
    </w:p>
    <w:p>
      <w:pPr>
        <w:pStyle w:val="Heading2"/>
        <w:spacing w:after="140" w:before="280" w:line="312"/>
      </w:pPr>
      <w:bookmarkStart w:id="100038" w:name="_Toc100038"/>
      <w:r>
        <w:rPr>
          <w:rFonts w:ascii="Times New Roman"/>
          <w:b/>
          <w:bCs/>
          <w:color w:val="0B1C2C"/>
          <w:sz w:val="28"/>
          <w:szCs w:val="28"/>
        </w:rPr>
        <w:t xml:space="preserve">Reporting Frequency</w:t>
      </w:r>
      <w:bookmarkEnd w:id="100038"/>
    </w:p>
    <w:p>
      <w:pPr>
        <w:spacing w:after="80" w:line="312"/>
        <w:ind w:firstLine="360"/>
        <w:jc w:val="both"/>
      </w:pPr>
      <w:r>
        <w:rPr>
          <w:rFonts w:ascii="Times New Roman"/>
          <w:color w:val="000000"/>
          <w:sz w:val="22"/>
          <w:szCs w:val="22"/>
        </w:rPr>
        <w:t xml:space="preserve">Annual. The Attained CII is computed from the verified DCS data each calendar year, a rating is assigned, and any required SEEMP Part III corrective plan is submitted for the following cycle.</w:t>
      </w:r>
    </w:p>
    <w:p>
      <w:pPr>
        <w:pStyle w:val="Heading2"/>
        <w:spacing w:after="140" w:before="280" w:line="312"/>
      </w:pPr>
      <w:bookmarkStart w:id="100039" w:name="_Toc100039"/>
      <w:r>
        <w:rPr>
          <w:rFonts w:ascii="Times New Roman"/>
          <w:b/>
          <w:bCs/>
          <w:color w:val="0B1C2C"/>
          <w:sz w:val="28"/>
          <w:szCs w:val="28"/>
        </w:rPr>
        <w:t xml:space="preserve">Common Compliance Mistakes</w:t>
      </w:r>
      <w:bookmarkEnd w:id="100039"/>
    </w:p>
    <w:p>
      <w:pPr>
        <w:pStyle w:val="ListParagraph"/>
        <w:numPr>
          <w:ilvl w:val="0"/>
          <w:numId w:val="1"/>
        </w:numPr>
        <w:spacing w:after="60" w:line="300"/>
      </w:pPr>
      <w:r>
        <w:rPr>
          <w:rFonts w:ascii="Times New Roman"/>
          <w:color w:val="000000"/>
          <w:sz w:val="22"/>
          <w:szCs w:val="22"/>
        </w:rPr>
        <w:t xml:space="preserve">Reading CII only at year-end, when there is no time left to correct a slipping rating.</w:t>
      </w:r>
    </w:p>
    <w:p>
      <w:pPr>
        <w:pStyle w:val="ListParagraph"/>
        <w:numPr>
          <w:ilvl w:val="0"/>
          <w:numId w:val="1"/>
        </w:numPr>
        <w:spacing w:after="60" w:line="300"/>
      </w:pPr>
      <w:r>
        <w:rPr>
          <w:rFonts w:ascii="Times New Roman"/>
          <w:color w:val="000000"/>
          <w:sz w:val="22"/>
          <w:szCs w:val="22"/>
        </w:rPr>
        <w:t xml:space="preserve">Mis-applying correction factors or claiming exclusions that the verifier cannot evidence.</w:t>
      </w:r>
    </w:p>
    <w:p>
      <w:pPr>
        <w:pStyle w:val="ListParagraph"/>
        <w:numPr>
          <w:ilvl w:val="0"/>
          <w:numId w:val="1"/>
        </w:numPr>
        <w:spacing w:after="60" w:line="300"/>
      </w:pPr>
      <w:r>
        <w:rPr>
          <w:rFonts w:ascii="Times New Roman"/>
          <w:color w:val="000000"/>
          <w:sz w:val="22"/>
          <w:szCs w:val="22"/>
        </w:rPr>
        <w:t xml:space="preserve">Letting the SEEMP Part III become generic rather than a genuine, ship-specific corrective plan.</w:t>
      </w:r>
    </w:p>
    <w:p>
      <w:pPr>
        <w:pStyle w:val="ListParagraph"/>
        <w:numPr>
          <w:ilvl w:val="0"/>
          <w:numId w:val="1"/>
        </w:numPr>
        <w:spacing w:after="60" w:line="300"/>
      </w:pPr>
      <w:r>
        <w:rPr>
          <w:rFonts w:ascii="Times New Roman"/>
          <w:color w:val="000000"/>
          <w:sz w:val="22"/>
          <w:szCs w:val="22"/>
        </w:rPr>
        <w:t xml:space="preserve">Ignoring the progressive tightening of the Required CII, so a 'C' one year becomes a 'D' the next at unchanged performance.</w:t>
      </w:r>
    </w:p>
    <w:p>
      <w:pPr>
        <w:pStyle w:val="ListParagraph"/>
        <w:numPr>
          <w:ilvl w:val="0"/>
          <w:numId w:val="1"/>
        </w:numPr>
        <w:spacing w:after="60" w:line="300"/>
      </w:pPr>
      <w:r>
        <w:rPr>
          <w:rFonts w:ascii="Times New Roman"/>
          <w:color w:val="000000"/>
          <w:sz w:val="22"/>
          <w:szCs w:val="22"/>
        </w:rPr>
        <w:t xml:space="preserve">Disconnecting CII from commercial decisions (charter speed, laycan) so the rating degrades unnoticed.</w:t>
      </w:r>
    </w:p>
    <w:p>
      <w:pPr>
        <w:pStyle w:val="Heading2"/>
        <w:spacing w:after="140" w:before="280" w:line="312"/>
      </w:pPr>
      <w:bookmarkStart w:id="100040" w:name="_Toc100040"/>
      <w:r>
        <w:rPr>
          <w:rFonts w:ascii="Times New Roman"/>
          <w:b/>
          <w:bCs/>
          <w:color w:val="0B1C2C"/>
          <w:sz w:val="28"/>
          <w:szCs w:val="28"/>
        </w:rPr>
        <w:t xml:space="preserve">How Software Can Automate Compliance</w:t>
      </w:r>
      <w:bookmarkEnd w:id="100040"/>
    </w:p>
    <w:p>
      <w:pPr>
        <w:spacing w:after="80" w:line="312"/>
        <w:ind w:firstLine="360"/>
        <w:jc w:val="both"/>
      </w:pPr>
      <w:r>
        <w:rPr>
          <w:rFonts w:ascii="Times New Roman"/>
          <w:color w:val="000000"/>
          <w:sz w:val="22"/>
          <w:szCs w:val="22"/>
        </w:rPr>
        <w:t xml:space="preserve">A purpose-built compliance platform materially reduces manual effort and error exposure in the following ways:</w:t>
      </w:r>
    </w:p>
    <w:p>
      <w:pPr>
        <w:pStyle w:val="ListParagraph"/>
        <w:numPr>
          <w:ilvl w:val="0"/>
          <w:numId w:val="1"/>
        </w:numPr>
        <w:spacing w:after="60" w:line="300"/>
      </w:pPr>
      <w:r>
        <w:rPr>
          <w:rFonts w:ascii="Times New Roman"/>
          <w:color w:val="000000"/>
          <w:sz w:val="22"/>
          <w:szCs w:val="22"/>
        </w:rPr>
        <w:t xml:space="preserve">Continuous, in-year CII projection from the live consumption and AIS-derived distance, showing the projected rating any day of the year.</w:t>
      </w:r>
    </w:p>
    <w:p>
      <w:pPr>
        <w:pStyle w:val="ListParagraph"/>
        <w:numPr>
          <w:ilvl w:val="0"/>
          <w:numId w:val="1"/>
        </w:numPr>
        <w:spacing w:after="60" w:line="300"/>
      </w:pPr>
      <w:r>
        <w:rPr>
          <w:rFonts w:ascii="Times New Roman"/>
          <w:color w:val="000000"/>
          <w:sz w:val="22"/>
          <w:szCs w:val="22"/>
        </w:rPr>
        <w:t xml:space="preserve">What-if modelling for speed reduction, weather routing and fuel switches, with their rating impact before commitment.</w:t>
      </w:r>
    </w:p>
    <w:p>
      <w:pPr>
        <w:pStyle w:val="ListParagraph"/>
        <w:numPr>
          <w:ilvl w:val="0"/>
          <w:numId w:val="1"/>
        </w:numPr>
        <w:spacing w:after="60" w:line="300"/>
      </w:pPr>
      <w:r>
        <w:rPr>
          <w:rFonts w:ascii="Times New Roman"/>
          <w:color w:val="000000"/>
          <w:sz w:val="22"/>
          <w:szCs w:val="22"/>
        </w:rPr>
        <w:t xml:space="preserve">Automatic flagging when the projected rating crosses into D or E, triggering SEEMP Part III preparation early.</w:t>
      </w:r>
    </w:p>
    <w:p>
      <w:pPr>
        <w:pStyle w:val="ListParagraph"/>
        <w:numPr>
          <w:ilvl w:val="0"/>
          <w:numId w:val="1"/>
        </w:numPr>
        <w:spacing w:after="60" w:line="300"/>
      </w:pPr>
      <w:r>
        <w:rPr>
          <w:rFonts w:ascii="Times New Roman"/>
          <w:color w:val="000000"/>
          <w:sz w:val="22"/>
          <w:szCs w:val="22"/>
        </w:rPr>
        <w:t xml:space="preserve">Correction-factor and exclusion checking built into the calculation engine, with evidence captured automatically.</w:t>
      </w:r>
    </w:p>
    <w:p>
      <w:pPr>
        <w:pStyle w:val="ListParagraph"/>
        <w:numPr>
          <w:ilvl w:val="0"/>
          <w:numId w:val="1"/>
        </w:numPr>
        <w:spacing w:after="60" w:line="300"/>
      </w:pPr>
      <w:r>
        <w:rPr>
          <w:rFonts w:ascii="Times New Roman"/>
          <w:color w:val="000000"/>
          <w:sz w:val="22"/>
          <w:szCs w:val="22"/>
        </w:rPr>
        <w:t xml:space="preserve">Charterer-facing dashboards so commercial decisions reflect their CII consequence.</w:t>
      </w:r>
    </w:p>
    <w:p>
      <w:pPr>
        <w:pStyle w:val="Heading1"/>
        <w:spacing w:after="200" w:before="400" w:line="312"/>
      </w:pPr>
      <w:bookmarkStart w:id="100041" w:name="_Toc100041"/>
      <w:r>
        <w:rPr>
          <w:rFonts w:ascii="Times New Roman"/>
          <w:b/>
          <w:bCs/>
          <w:color w:val="0B1C2C"/>
          <w:sz w:val="32"/>
          <w:szCs w:val="32"/>
        </w:rPr>
        <w:t xml:space="preserve">7. Energy Efficiency Existing Ship Index (EEXI)</w:t>
      </w:r>
      <w:bookmarkEnd w:id="100041"/>
    </w:p>
    <w:p>
      <w:pPr>
        <w:spacing w:after="80" w:line="312"/>
        <w:ind w:firstLine="360"/>
        <w:jc w:val="both"/>
      </w:pPr>
      <w:r>
        <w:rPr>
          <w:rFonts w:ascii="Times New Roman"/>
          <w:color w:val="000000"/>
          <w:sz w:val="22"/>
          <w:szCs w:val="22"/>
        </w:rPr>
        <w:t xml:space="preserve">The EEXI is the technical (design) counterpart to CII, introduced by the same 2021 MARPOL Annex VI amendments and effective from 1 November 2022. It is a one-off certification that an existing ship's installed power and efficiency attain a required level, broadly analogous to the EEDI applied to new ships.</w:t>
      </w:r>
    </w:p>
    <w:p>
      <w:pPr>
        <w:pStyle w:val="Heading2"/>
        <w:spacing w:after="140" w:before="280" w:line="312"/>
      </w:pPr>
      <w:bookmarkStart w:id="100042" w:name="_Toc100042"/>
      <w:r>
        <w:rPr>
          <w:rFonts w:ascii="Times New Roman"/>
          <w:b/>
          <w:bCs/>
          <w:color w:val="0B1C2C"/>
          <w:sz w:val="28"/>
          <w:szCs w:val="28"/>
        </w:rPr>
        <w:t xml:space="preserve">Purpose</w:t>
      </w:r>
      <w:bookmarkEnd w:id="100042"/>
    </w:p>
    <w:p>
      <w:pPr>
        <w:spacing w:after="80" w:line="312"/>
        <w:ind w:firstLine="360"/>
        <w:jc w:val="both"/>
      </w:pPr>
      <w:r>
        <w:rPr>
          <w:rFonts w:ascii="Times New Roman"/>
          <w:color w:val="000000"/>
          <w:sz w:val="22"/>
          <w:szCs w:val="22"/>
        </w:rPr>
        <w:t xml:space="preserve">EEXI ensures that the existing fleet's technical design meets a minimum energy-efficiency threshold, forcing owners of inefficient ships to apply measures — typically engine power limitation (EPL or ShaPoLi) — so that the technical baseline of the whole fleet is raised toward the new-build standard.</w:t>
      </w:r>
    </w:p>
    <w:p>
      <w:pPr>
        <w:pStyle w:val="Heading2"/>
        <w:spacing w:after="140" w:before="280" w:line="312"/>
      </w:pPr>
      <w:bookmarkStart w:id="100043" w:name="_Toc100043"/>
      <w:r>
        <w:rPr>
          <w:rFonts w:ascii="Times New Roman"/>
          <w:b/>
          <w:bCs/>
          <w:color w:val="0B1C2C"/>
          <w:sz w:val="28"/>
          <w:szCs w:val="28"/>
        </w:rPr>
        <w:t xml:space="preserve">Required Documents</w:t>
      </w:r>
      <w:bookmarkEnd w:id="100043"/>
    </w:p>
    <w:p>
      <w:pPr>
        <w:spacing w:after="80" w:line="312"/>
        <w:ind w:firstLine="360"/>
        <w:jc w:val="both"/>
      </w:pPr>
      <w:r>
        <w:rPr>
          <w:rFonts w:ascii="Times New Roman"/>
          <w:color w:val="000000"/>
          <w:sz w:val="22"/>
          <w:szCs w:val="22"/>
        </w:rPr>
        <w:t xml:space="preserve">The following documents form the core compliance evidence set for this regulation:</w:t>
      </w:r>
    </w:p>
    <w:p>
      <w:pPr>
        <w:pStyle w:val="ListParagraph"/>
        <w:numPr>
          <w:ilvl w:val="0"/>
          <w:numId w:val="1"/>
        </w:numPr>
        <w:spacing w:after="60" w:line="300"/>
      </w:pPr>
      <w:r>
        <w:rPr>
          <w:rFonts w:ascii="Times New Roman"/>
          <w:b/>
          <w:bCs/>
          <w:color w:val="000000"/>
          <w:sz w:val="22"/>
          <w:szCs w:val="22"/>
        </w:rPr>
        <w:t xml:space="preserve">Technical File / EEXI File: </w:t>
      </w:r>
      <w:r>
        <w:rPr>
          <w:rFonts w:ascii="Times New Roman"/>
          <w:color w:val="000000"/>
          <w:sz w:val="22"/>
          <w:szCs w:val="22"/>
        </w:rPr>
        <w:t xml:space="preserve">ship-specific document showing the attained EEXI calculation, the required EEXI and the basis of the calculation, approved by the RO.</w:t>
      </w:r>
    </w:p>
    <w:p>
      <w:pPr>
        <w:pStyle w:val="ListParagraph"/>
        <w:numPr>
          <w:ilvl w:val="0"/>
          <w:numId w:val="1"/>
        </w:numPr>
        <w:spacing w:after="60" w:line="300"/>
      </w:pPr>
      <w:r>
        <w:rPr>
          <w:rFonts w:ascii="Times New Roman"/>
          <w:b/>
          <w:bCs/>
          <w:color w:val="000000"/>
          <w:sz w:val="22"/>
          <w:szCs w:val="22"/>
        </w:rPr>
        <w:t xml:space="preserve">Engine Power Limitation (EPL/ShaPoLi) documentation: </w:t>
      </w:r>
      <w:r>
        <w:rPr>
          <w:rFonts w:ascii="Times New Roman"/>
          <w:color w:val="000000"/>
          <w:sz w:val="22"/>
          <w:szCs w:val="22"/>
        </w:rPr>
        <w:t xml:space="preserve">where a limiter is needed to comply, the certified limit, its sealing/override arrangements and the onboard management procedure.</w:t>
      </w:r>
    </w:p>
    <w:p>
      <w:pPr>
        <w:pStyle w:val="ListParagraph"/>
        <w:numPr>
          <w:ilvl w:val="0"/>
          <w:numId w:val="1"/>
        </w:numPr>
        <w:spacing w:after="60" w:line="300"/>
      </w:pPr>
      <w:r>
        <w:rPr>
          <w:rFonts w:ascii="Times New Roman"/>
          <w:b/>
          <w:bCs/>
          <w:color w:val="000000"/>
          <w:sz w:val="22"/>
          <w:szCs w:val="22"/>
        </w:rPr>
        <w:t xml:space="preserve">International Energy Efficiency (IEE) Certificate: </w:t>
      </w:r>
      <w:r>
        <w:rPr>
          <w:rFonts w:ascii="Times New Roman"/>
          <w:color w:val="000000"/>
          <w:sz w:val="22"/>
          <w:szCs w:val="22"/>
        </w:rPr>
        <w:t xml:space="preserve">issued on the basis of the approved EEXI file, evidencing compliance.</w:t>
      </w:r>
    </w:p>
    <w:p>
      <w:pPr>
        <w:pStyle w:val="ListParagraph"/>
        <w:numPr>
          <w:ilvl w:val="0"/>
          <w:numId w:val="1"/>
        </w:numPr>
        <w:spacing w:after="60" w:line="300"/>
      </w:pPr>
      <w:r>
        <w:rPr>
          <w:rFonts w:ascii="Times New Roman"/>
          <w:b/>
          <w:bCs/>
          <w:color w:val="000000"/>
          <w:sz w:val="22"/>
          <w:szCs w:val="22"/>
        </w:rPr>
        <w:t xml:space="preserve">Approved supporting calculations: </w:t>
      </w:r>
      <w:r>
        <w:rPr>
          <w:rFonts w:ascii="Times New Roman"/>
          <w:color w:val="000000"/>
          <w:sz w:val="22"/>
          <w:szCs w:val="22"/>
        </w:rPr>
        <w:t xml:space="preserve">speed/power trial results, reference speed data and any wind/solar auxiliary-power credit evidence.</w:t>
      </w:r>
    </w:p>
    <w:p>
      <w:pPr>
        <w:pStyle w:val="Heading2"/>
        <w:spacing w:after="140" w:before="280" w:line="312"/>
      </w:pPr>
      <w:bookmarkStart w:id="100044" w:name="_Toc100044"/>
      <w:r>
        <w:rPr>
          <w:rFonts w:ascii="Times New Roman"/>
          <w:b/>
          <w:bCs/>
          <w:color w:val="0B1C2C"/>
          <w:sz w:val="28"/>
          <w:szCs w:val="28"/>
        </w:rPr>
        <w:t xml:space="preserve">Required Calculations</w:t>
      </w:r>
      <w:bookmarkEnd w:id="100044"/>
    </w:p>
    <w:p>
      <w:pPr>
        <w:spacing w:after="80" w:line="312"/>
        <w:ind w:firstLine="360"/>
        <w:jc w:val="both"/>
      </w:pPr>
      <w:r>
        <w:rPr>
          <w:rFonts w:ascii="Times New Roman"/>
          <w:color w:val="000000"/>
          <w:sz w:val="22"/>
          <w:szCs w:val="22"/>
        </w:rPr>
        <w:t xml:space="preserve">Compliance depends on the following quantitative determinations:</w:t>
      </w:r>
    </w:p>
    <w:p>
      <w:pPr>
        <w:pStyle w:val="ListParagraph"/>
        <w:numPr>
          <w:ilvl w:val="0"/>
          <w:numId w:val="1"/>
        </w:numPr>
        <w:spacing w:after="60" w:line="300"/>
      </w:pPr>
      <w:r>
        <w:rPr>
          <w:rFonts w:ascii="Times New Roman"/>
          <w:b/>
          <w:bCs/>
          <w:color w:val="000000"/>
          <w:sz w:val="22"/>
          <w:szCs w:val="22"/>
        </w:rPr>
        <w:t xml:space="preserve">Attained EEXI: </w:t>
      </w:r>
      <w:r>
        <w:rPr>
          <w:rFonts w:ascii="Times New Roman"/>
          <w:color w:val="000000"/>
          <w:sz w:val="22"/>
          <w:szCs w:val="22"/>
        </w:rPr>
        <w:t xml:space="preserve">(installed power × CO2 factor × correction) divided by (capacity × reference speed), aggregated across main and auxiliary engines, with optional innovative-efficiency credits.</w:t>
      </w:r>
    </w:p>
    <w:p>
      <w:pPr>
        <w:pStyle w:val="ListParagraph"/>
        <w:numPr>
          <w:ilvl w:val="0"/>
          <w:numId w:val="1"/>
        </w:numPr>
        <w:spacing w:after="60" w:line="300"/>
      </w:pPr>
      <w:r>
        <w:rPr>
          <w:rFonts w:ascii="Times New Roman"/>
          <w:b/>
          <w:bCs/>
          <w:color w:val="000000"/>
          <w:sz w:val="22"/>
          <w:szCs w:val="22"/>
        </w:rPr>
        <w:t xml:space="preserve">Required EEXI: </w:t>
      </w:r>
      <w:r>
        <w:rPr>
          <w:rFonts w:ascii="Times New Roman"/>
          <w:color w:val="000000"/>
          <w:sz w:val="22"/>
          <w:szCs w:val="22"/>
        </w:rPr>
        <w:t xml:space="preserve">derived from the applicable EEDI reference line for the ship type and size, multiplied by a reduction factor.</w:t>
      </w:r>
    </w:p>
    <w:p>
      <w:pPr>
        <w:pStyle w:val="ListParagraph"/>
        <w:numPr>
          <w:ilvl w:val="0"/>
          <w:numId w:val="1"/>
        </w:numPr>
        <w:spacing w:after="60" w:line="300"/>
      </w:pPr>
      <w:r>
        <w:rPr>
          <w:rFonts w:ascii="Times New Roman"/>
          <w:b/>
          <w:bCs/>
          <w:color w:val="000000"/>
          <w:sz w:val="22"/>
          <w:szCs w:val="22"/>
        </w:rPr>
        <w:t xml:space="preserve">Power limitation: </w:t>
      </w:r>
      <w:r>
        <w:rPr>
          <w:rFonts w:ascii="Times New Roman"/>
          <w:color w:val="000000"/>
          <w:sz w:val="22"/>
          <w:szCs w:val="22"/>
        </w:rPr>
        <w:t xml:space="preserve">where Attained EEXI exceeds Required, the level of EPL/ShaPoLi needed to bring it within the limit, with the resulting restricted power recorded.</w:t>
      </w:r>
    </w:p>
    <w:p>
      <w:pPr>
        <w:pStyle w:val="ListParagraph"/>
        <w:numPr>
          <w:ilvl w:val="0"/>
          <w:numId w:val="1"/>
        </w:numPr>
        <w:spacing w:after="60" w:line="300"/>
      </w:pPr>
      <w:r>
        <w:rPr>
          <w:rFonts w:ascii="Times New Roman"/>
          <w:b/>
          <w:bCs/>
          <w:color w:val="000000"/>
          <w:sz w:val="22"/>
          <w:szCs w:val="22"/>
        </w:rPr>
        <w:t xml:space="preserve">Overridable-limit management: </w:t>
      </w:r>
      <w:r>
        <w:rPr>
          <w:rFonts w:ascii="Times New Roman"/>
          <w:color w:val="000000"/>
          <w:sz w:val="22"/>
          <w:szCs w:val="22"/>
        </w:rPr>
        <w:t xml:space="preserve">the calculation of when override is permitted (emergencies) and the logging that evidences correct use.</w:t>
      </w:r>
    </w:p>
    <w:p>
      <w:pPr>
        <w:pStyle w:val="Heading2"/>
        <w:spacing w:after="140" w:before="280" w:line="312"/>
      </w:pPr>
      <w:bookmarkStart w:id="100045" w:name="_Toc100045"/>
      <w:r>
        <w:rPr>
          <w:rFonts w:ascii="Times New Roman"/>
          <w:b/>
          <w:bCs/>
          <w:color w:val="0B1C2C"/>
          <w:sz w:val="28"/>
          <w:szCs w:val="28"/>
        </w:rPr>
        <w:t xml:space="preserve">Required Data</w:t>
      </w:r>
      <w:bookmarkEnd w:id="100045"/>
    </w:p>
    <w:p>
      <w:pPr>
        <w:spacing w:after="80" w:line="312"/>
        <w:ind w:firstLine="360"/>
        <w:jc w:val="both"/>
      </w:pPr>
      <w:r>
        <w:rPr>
          <w:rFonts w:ascii="Times New Roman"/>
          <w:color w:val="000000"/>
          <w:sz w:val="22"/>
          <w:szCs w:val="22"/>
        </w:rPr>
        <w:t xml:space="preserve">The following data elements must be captured to support reporting and verification:</w:t>
      </w:r>
    </w:p>
    <w:p>
      <w:pPr>
        <w:pStyle w:val="ListParagraph"/>
        <w:numPr>
          <w:ilvl w:val="0"/>
          <w:numId w:val="1"/>
        </w:numPr>
        <w:spacing w:after="60" w:line="300"/>
      </w:pPr>
      <w:r>
        <w:rPr>
          <w:rFonts w:ascii="Times New Roman"/>
          <w:color w:val="000000"/>
          <w:sz w:val="22"/>
          <w:szCs w:val="22"/>
        </w:rPr>
        <w:t xml:space="preserve">Main and auxiliary engine power and specific fuel consumption   •   Installed power / MCR   •   Capacity (dwt/GT)   •   Reference speed from speed-power trials   •   Fuel types in use   •   ShaPoLi/EPL setting and override logs</w:t>
      </w:r>
    </w:p>
    <w:p>
      <w:pPr>
        <w:pStyle w:val="Heading2"/>
        <w:spacing w:after="140" w:before="280" w:line="312"/>
      </w:pPr>
      <w:bookmarkStart w:id="100046" w:name="_Toc100046"/>
      <w:r>
        <w:rPr>
          <w:rFonts w:ascii="Times New Roman"/>
          <w:b/>
          <w:bCs/>
          <w:color w:val="0B1C2C"/>
          <w:sz w:val="28"/>
          <w:szCs w:val="28"/>
        </w:rPr>
        <w:t xml:space="preserve">Reporting Frequency</w:t>
      </w:r>
      <w:bookmarkEnd w:id="100046"/>
    </w:p>
    <w:p>
      <w:pPr>
        <w:spacing w:after="80" w:line="312"/>
        <w:ind w:firstLine="360"/>
        <w:jc w:val="both"/>
      </w:pPr>
      <w:r>
        <w:rPr>
          <w:rFonts w:ascii="Times New Roman"/>
          <w:color w:val="000000"/>
          <w:sz w:val="22"/>
          <w:szCs w:val="22"/>
        </w:rPr>
        <w:t xml:space="preserve">EEXI is a one-off certification at first survey after the 2022 entry into force, but it must be re-validated whenever a relevant change occurs (e.g. engine change, modification to power limitation, or conversion that affects the index).</w:t>
      </w:r>
    </w:p>
    <w:p>
      <w:pPr>
        <w:pStyle w:val="Heading2"/>
        <w:spacing w:after="140" w:before="280" w:line="312"/>
      </w:pPr>
      <w:bookmarkStart w:id="100047" w:name="_Toc100047"/>
      <w:r>
        <w:rPr>
          <w:rFonts w:ascii="Times New Roman"/>
          <w:b/>
          <w:bCs/>
          <w:color w:val="0B1C2C"/>
          <w:sz w:val="28"/>
          <w:szCs w:val="28"/>
        </w:rPr>
        <w:t xml:space="preserve">Common Compliance Mistakes</w:t>
      </w:r>
      <w:bookmarkEnd w:id="100047"/>
    </w:p>
    <w:p>
      <w:pPr>
        <w:pStyle w:val="ListParagraph"/>
        <w:numPr>
          <w:ilvl w:val="0"/>
          <w:numId w:val="1"/>
        </w:numPr>
        <w:spacing w:after="60" w:line="300"/>
      </w:pPr>
      <w:r>
        <w:rPr>
          <w:rFonts w:ascii="Times New Roman"/>
          <w:color w:val="000000"/>
          <w:sz w:val="22"/>
          <w:szCs w:val="22"/>
        </w:rPr>
        <w:t xml:space="preserve">Letting an overridable limiter be overridden without the mandatory log entry, breaching the certified condition.</w:t>
      </w:r>
    </w:p>
    <w:p>
      <w:pPr>
        <w:pStyle w:val="ListParagraph"/>
        <w:numPr>
          <w:ilvl w:val="0"/>
          <w:numId w:val="1"/>
        </w:numPr>
        <w:spacing w:after="60" w:line="300"/>
      </w:pPr>
      <w:r>
        <w:rPr>
          <w:rFonts w:ascii="Times New Roman"/>
          <w:color w:val="000000"/>
          <w:sz w:val="22"/>
          <w:szCs w:val="22"/>
        </w:rPr>
        <w:t xml:space="preserve">Not re-validating the EEXI after an engine, propeller or hull change that affects the calculation.</w:t>
      </w:r>
    </w:p>
    <w:p>
      <w:pPr>
        <w:pStyle w:val="ListParagraph"/>
        <w:numPr>
          <w:ilvl w:val="0"/>
          <w:numId w:val="1"/>
        </w:numPr>
        <w:spacing w:after="60" w:line="300"/>
      </w:pPr>
      <w:r>
        <w:rPr>
          <w:rFonts w:ascii="Times New Roman"/>
          <w:color w:val="000000"/>
          <w:sz w:val="22"/>
          <w:szCs w:val="22"/>
        </w:rPr>
        <w:t xml:space="preserve">Relying on outdated speed-trial data, so the reference speed no longer reflects the ship's condition.</w:t>
      </w:r>
    </w:p>
    <w:p>
      <w:pPr>
        <w:pStyle w:val="ListParagraph"/>
        <w:numPr>
          <w:ilvl w:val="0"/>
          <w:numId w:val="1"/>
        </w:numPr>
        <w:spacing w:after="60" w:line="300"/>
      </w:pPr>
      <w:r>
        <w:rPr>
          <w:rFonts w:ascii="Times New Roman"/>
          <w:color w:val="000000"/>
          <w:sz w:val="22"/>
          <w:szCs w:val="22"/>
        </w:rPr>
        <w:t xml:space="preserve">Treating EEXI as 'done' because the certificate is on board, while ignoring its interaction with CII in operation.</w:t>
      </w:r>
    </w:p>
    <w:p>
      <w:pPr>
        <w:pStyle w:val="ListParagraph"/>
        <w:numPr>
          <w:ilvl w:val="0"/>
          <w:numId w:val="1"/>
        </w:numPr>
        <w:spacing w:after="60" w:line="300"/>
      </w:pPr>
      <w:r>
        <w:rPr>
          <w:rFonts w:ascii="Times New Roman"/>
          <w:color w:val="000000"/>
          <w:sz w:val="22"/>
          <w:szCs w:val="22"/>
        </w:rPr>
        <w:t xml:space="preserve">Miscalculating auxiliary-power and innovative-technology credits, which verifiers then reject.</w:t>
      </w:r>
    </w:p>
    <w:p>
      <w:pPr>
        <w:pStyle w:val="Heading2"/>
        <w:spacing w:after="140" w:before="280" w:line="312"/>
      </w:pPr>
      <w:bookmarkStart w:id="100048" w:name="_Toc100048"/>
      <w:r>
        <w:rPr>
          <w:rFonts w:ascii="Times New Roman"/>
          <w:b/>
          <w:bCs/>
          <w:color w:val="0B1C2C"/>
          <w:sz w:val="28"/>
          <w:szCs w:val="28"/>
        </w:rPr>
        <w:t xml:space="preserve">How Software Can Automate Compliance</w:t>
      </w:r>
      <w:bookmarkEnd w:id="100048"/>
    </w:p>
    <w:p>
      <w:pPr>
        <w:spacing w:after="80" w:line="312"/>
        <w:ind w:firstLine="360"/>
        <w:jc w:val="both"/>
      </w:pPr>
      <w:r>
        <w:rPr>
          <w:rFonts w:ascii="Times New Roman"/>
          <w:color w:val="000000"/>
          <w:sz w:val="22"/>
          <w:szCs w:val="22"/>
        </w:rPr>
        <w:t xml:space="preserve">A purpose-built compliance platform materially reduces manual effort and error exposure in the following ways:</w:t>
      </w:r>
    </w:p>
    <w:p>
      <w:pPr>
        <w:pStyle w:val="ListParagraph"/>
        <w:numPr>
          <w:ilvl w:val="0"/>
          <w:numId w:val="1"/>
        </w:numPr>
        <w:spacing w:after="60" w:line="300"/>
      </w:pPr>
      <w:r>
        <w:rPr>
          <w:rFonts w:ascii="Times New Roman"/>
          <w:color w:val="000000"/>
          <w:sz w:val="22"/>
          <w:szCs w:val="22"/>
        </w:rPr>
        <w:t xml:space="preserve">A central asset register of each ship's EEXI file, IEE Certificate and ShaPoLi/EPL settings, with change-triggers for re-validation.</w:t>
      </w:r>
    </w:p>
    <w:p>
      <w:pPr>
        <w:pStyle w:val="ListParagraph"/>
        <w:numPr>
          <w:ilvl w:val="0"/>
          <w:numId w:val="1"/>
        </w:numPr>
        <w:spacing w:after="60" w:line="300"/>
      </w:pPr>
      <w:r>
        <w:rPr>
          <w:rFonts w:ascii="Times New Roman"/>
          <w:color w:val="000000"/>
          <w:sz w:val="22"/>
          <w:szCs w:val="22"/>
        </w:rPr>
        <w:t xml:space="preserve">Override-log monitoring that flags undocumented or excessive use of power-limit override.</w:t>
      </w:r>
    </w:p>
    <w:p>
      <w:pPr>
        <w:pStyle w:val="ListParagraph"/>
        <w:numPr>
          <w:ilvl w:val="0"/>
          <w:numId w:val="1"/>
        </w:numPr>
        <w:spacing w:after="60" w:line="300"/>
      </w:pPr>
      <w:r>
        <w:rPr>
          <w:rFonts w:ascii="Times New Roman"/>
          <w:color w:val="000000"/>
          <w:sz w:val="22"/>
          <w:szCs w:val="22"/>
        </w:rPr>
        <w:t xml:space="preserve">Linkage between the certified EPL/ShaPoLi and operational data, so any breach is detected in near-real time.</w:t>
      </w:r>
    </w:p>
    <w:p>
      <w:pPr>
        <w:pStyle w:val="ListParagraph"/>
        <w:numPr>
          <w:ilvl w:val="0"/>
          <w:numId w:val="1"/>
        </w:numPr>
        <w:spacing w:after="60" w:line="300"/>
      </w:pPr>
      <w:r>
        <w:rPr>
          <w:rFonts w:ascii="Times New Roman"/>
          <w:color w:val="000000"/>
          <w:sz w:val="22"/>
          <w:szCs w:val="22"/>
        </w:rPr>
        <w:t xml:space="preserve">Document workflows for technical-file approval and renewal, with expiry and amendment alerts.</w:t>
      </w:r>
    </w:p>
    <w:p>
      <w:pPr>
        <w:pStyle w:val="ListParagraph"/>
        <w:numPr>
          <w:ilvl w:val="0"/>
          <w:numId w:val="1"/>
        </w:numPr>
        <w:spacing w:after="60" w:line="300"/>
      </w:pPr>
      <w:r>
        <w:rPr>
          <w:rFonts w:ascii="Times New Roman"/>
          <w:color w:val="000000"/>
          <w:sz w:val="22"/>
          <w:szCs w:val="22"/>
        </w:rPr>
        <w:t xml:space="preserve">Scenario modelling for retrofits (hull coating, propeller, energy-saving device) showing the EEXI and CII effect together.</w:t>
      </w:r>
    </w:p>
    <w:p>
      <w:pPr>
        <w:pStyle w:val="Heading1"/>
        <w:spacing w:after="200" w:before="400" w:line="312"/>
      </w:pPr>
      <w:bookmarkStart w:id="100049" w:name="_Toc100049"/>
      <w:r>
        <w:rPr>
          <w:rFonts w:ascii="Times New Roman"/>
          <w:b/>
          <w:bCs/>
          <w:color w:val="0B1C2C"/>
          <w:sz w:val="32"/>
          <w:szCs w:val="32"/>
        </w:rPr>
        <w:t xml:space="preserve">8. ISM Code (International Safety Management)</w:t>
      </w:r>
      <w:bookmarkEnd w:id="100049"/>
    </w:p>
    <w:p>
      <w:pPr>
        <w:spacing w:after="80" w:line="312"/>
        <w:ind w:firstLine="360"/>
        <w:jc w:val="both"/>
      </w:pPr>
      <w:r>
        <w:rPr>
          <w:rFonts w:ascii="Times New Roman"/>
          <w:color w:val="000000"/>
          <w:sz w:val="22"/>
          <w:szCs w:val="22"/>
        </w:rPr>
        <w:t xml:space="preserve">The ISM Code (IMO Resolution A.741, mandatory since 1998) requires every shipping company to develop, implement and maintain a Safety Management System covering ship operations and environmental protection. It is the umbrella management standard that gives every other instrument its operational teeth.</w:t>
      </w:r>
    </w:p>
    <w:p>
      <w:pPr>
        <w:pStyle w:val="Heading2"/>
        <w:spacing w:after="140" w:before="280" w:line="312"/>
      </w:pPr>
      <w:bookmarkStart w:id="100050" w:name="_Toc100050"/>
      <w:r>
        <w:rPr>
          <w:rFonts w:ascii="Times New Roman"/>
          <w:b/>
          <w:bCs/>
          <w:color w:val="0B1C2C"/>
          <w:sz w:val="28"/>
          <w:szCs w:val="28"/>
        </w:rPr>
        <w:t xml:space="preserve">Purpose</w:t>
      </w:r>
      <w:bookmarkEnd w:id="100050"/>
    </w:p>
    <w:p>
      <w:pPr>
        <w:spacing w:after="80" w:line="312"/>
        <w:ind w:firstLine="360"/>
        <w:jc w:val="both"/>
      </w:pPr>
      <w:r>
        <w:rPr>
          <w:rFonts w:ascii="Times New Roman"/>
          <w:color w:val="000000"/>
          <w:sz w:val="22"/>
          <w:szCs w:val="22"/>
        </w:rPr>
        <w:t xml:space="preserve">ISM exists to ensure that ships are operated safely, that the environment is protected, and that safety and pollution-prevention are managed through a documented, auditable system with clear responsibility, rather than left to individual practice.</w:t>
      </w:r>
    </w:p>
    <w:p>
      <w:pPr>
        <w:pStyle w:val="Heading2"/>
        <w:spacing w:after="140" w:before="280" w:line="312"/>
      </w:pPr>
      <w:bookmarkStart w:id="100051" w:name="_Toc100051"/>
      <w:r>
        <w:rPr>
          <w:rFonts w:ascii="Times New Roman"/>
          <w:b/>
          <w:bCs/>
          <w:color w:val="0B1C2C"/>
          <w:sz w:val="28"/>
          <w:szCs w:val="28"/>
        </w:rPr>
        <w:t xml:space="preserve">Required Documents</w:t>
      </w:r>
      <w:bookmarkEnd w:id="100051"/>
    </w:p>
    <w:p>
      <w:pPr>
        <w:spacing w:after="80" w:line="312"/>
        <w:ind w:firstLine="360"/>
        <w:jc w:val="both"/>
      </w:pPr>
      <w:r>
        <w:rPr>
          <w:rFonts w:ascii="Times New Roman"/>
          <w:color w:val="000000"/>
          <w:sz w:val="22"/>
          <w:szCs w:val="22"/>
        </w:rPr>
        <w:t xml:space="preserve">The following documents form the core compliance evidence set for this regulation:</w:t>
      </w:r>
    </w:p>
    <w:p>
      <w:pPr>
        <w:pStyle w:val="ListParagraph"/>
        <w:numPr>
          <w:ilvl w:val="0"/>
          <w:numId w:val="1"/>
        </w:numPr>
        <w:spacing w:after="60" w:line="300"/>
      </w:pPr>
      <w:r>
        <w:rPr>
          <w:rFonts w:ascii="Times New Roman"/>
          <w:b/>
          <w:bCs/>
          <w:color w:val="000000"/>
          <w:sz w:val="22"/>
          <w:szCs w:val="22"/>
        </w:rPr>
        <w:t xml:space="preserve">Safety Management System (SMS) manual: </w:t>
      </w:r>
      <w:r>
        <w:rPr>
          <w:rFonts w:ascii="Times New Roman"/>
          <w:color w:val="000000"/>
          <w:sz w:val="22"/>
          <w:szCs w:val="22"/>
        </w:rPr>
        <w:t xml:space="preserve">the company's documented system, including procedures, responsibilities and emergency preparedness.</w:t>
      </w:r>
    </w:p>
    <w:p>
      <w:pPr>
        <w:pStyle w:val="ListParagraph"/>
        <w:numPr>
          <w:ilvl w:val="0"/>
          <w:numId w:val="1"/>
        </w:numPr>
        <w:spacing w:after="60" w:line="300"/>
      </w:pPr>
      <w:r>
        <w:rPr>
          <w:rFonts w:ascii="Times New Roman"/>
          <w:b/>
          <w:bCs/>
          <w:color w:val="000000"/>
          <w:sz w:val="22"/>
          <w:szCs w:val="22"/>
        </w:rPr>
        <w:t xml:space="preserve">Document of Compliance (Doc): </w:t>
      </w:r>
      <w:r>
        <w:rPr>
          <w:rFonts w:ascii="Times New Roman"/>
          <w:color w:val="000000"/>
          <w:sz w:val="22"/>
          <w:szCs w:val="22"/>
        </w:rPr>
        <w:t xml:space="preserve">issued to the company by the Administration/RO, confirming the SMS meets the Code; subject to annual verification.</w:t>
      </w:r>
    </w:p>
    <w:p>
      <w:pPr>
        <w:pStyle w:val="ListParagraph"/>
        <w:numPr>
          <w:ilvl w:val="0"/>
          <w:numId w:val="1"/>
        </w:numPr>
        <w:spacing w:after="60" w:line="300"/>
      </w:pPr>
      <w:r>
        <w:rPr>
          <w:rFonts w:ascii="Times New Roman"/>
          <w:b/>
          <w:bCs/>
          <w:color w:val="000000"/>
          <w:sz w:val="22"/>
          <w:szCs w:val="22"/>
        </w:rPr>
        <w:t xml:space="preserve">Safety Management Certificate (SMC): </w:t>
      </w:r>
      <w:r>
        <w:rPr>
          <w:rFonts w:ascii="Times New Roman"/>
          <w:color w:val="000000"/>
          <w:sz w:val="22"/>
          <w:szCs w:val="22"/>
        </w:rPr>
        <w:t xml:space="preserve">issued to each ship, confirming it is operated in line with the company's approved SMS.</w:t>
      </w:r>
    </w:p>
    <w:p>
      <w:pPr>
        <w:pStyle w:val="ListParagraph"/>
        <w:numPr>
          <w:ilvl w:val="0"/>
          <w:numId w:val="1"/>
        </w:numPr>
        <w:spacing w:after="60" w:line="300"/>
      </w:pPr>
      <w:r>
        <w:rPr>
          <w:rFonts w:ascii="Times New Roman"/>
          <w:b/>
          <w:bCs/>
          <w:color w:val="000000"/>
          <w:sz w:val="22"/>
          <w:szCs w:val="22"/>
        </w:rPr>
        <w:t xml:space="preserve">Records of non-conformities, accidents and drills: </w:t>
      </w:r>
      <w:r>
        <w:rPr>
          <w:rFonts w:ascii="Times New Roman"/>
          <w:color w:val="000000"/>
          <w:sz w:val="22"/>
          <w:szCs w:val="22"/>
        </w:rPr>
        <w:t xml:space="preserve">objective evidence that the system is being used and improved.</w:t>
      </w:r>
    </w:p>
    <w:p>
      <w:pPr>
        <w:pStyle w:val="Heading2"/>
        <w:spacing w:after="140" w:before="280" w:line="312"/>
      </w:pPr>
      <w:bookmarkStart w:id="100052" w:name="_Toc100052"/>
      <w:r>
        <w:rPr>
          <w:rFonts w:ascii="Times New Roman"/>
          <w:b/>
          <w:bCs/>
          <w:color w:val="0B1C2C"/>
          <w:sz w:val="28"/>
          <w:szCs w:val="28"/>
        </w:rPr>
        <w:t xml:space="preserve">Required Calculations</w:t>
      </w:r>
      <w:bookmarkEnd w:id="100052"/>
    </w:p>
    <w:p>
      <w:pPr>
        <w:spacing w:after="80" w:line="312"/>
        <w:ind w:firstLine="360"/>
        <w:jc w:val="both"/>
      </w:pPr>
      <w:r>
        <w:rPr>
          <w:rFonts w:ascii="Times New Roman"/>
          <w:color w:val="000000"/>
          <w:sz w:val="22"/>
          <w:szCs w:val="22"/>
        </w:rPr>
        <w:t xml:space="preserve">Compliance depends on the following quantitative determinations:</w:t>
      </w:r>
    </w:p>
    <w:p>
      <w:pPr>
        <w:pStyle w:val="ListParagraph"/>
        <w:numPr>
          <w:ilvl w:val="0"/>
          <w:numId w:val="1"/>
        </w:numPr>
        <w:spacing w:after="60" w:line="300"/>
      </w:pPr>
      <w:r>
        <w:rPr>
          <w:rFonts w:ascii="Times New Roman"/>
          <w:b/>
          <w:bCs/>
          <w:color w:val="000000"/>
          <w:sz w:val="22"/>
          <w:szCs w:val="22"/>
        </w:rPr>
        <w:t xml:space="preserve">No numeric index: </w:t>
      </w:r>
      <w:r>
        <w:rPr>
          <w:rFonts w:ascii="Times New Roman"/>
          <w:color w:val="000000"/>
          <w:sz w:val="22"/>
          <w:szCs w:val="22"/>
        </w:rPr>
        <w:t xml:space="preserve">ISM is a management standard, not a calculation; 'compliance math' consists of audit findings, corrective-action closure rates and lagging safety indicators (LTI, near-miss rates).</w:t>
      </w:r>
    </w:p>
    <w:p>
      <w:pPr>
        <w:pStyle w:val="ListParagraph"/>
        <w:numPr>
          <w:ilvl w:val="0"/>
          <w:numId w:val="1"/>
        </w:numPr>
        <w:spacing w:after="60" w:line="300"/>
      </w:pPr>
      <w:r>
        <w:rPr>
          <w:rFonts w:ascii="Times New Roman"/>
          <w:b/>
          <w:bCs/>
          <w:color w:val="000000"/>
          <w:sz w:val="22"/>
          <w:szCs w:val="22"/>
        </w:rPr>
        <w:t xml:space="preserve">Risk assessment: </w:t>
      </w:r>
      <w:r>
        <w:rPr>
          <w:rFonts w:ascii="Times New Roman"/>
          <w:color w:val="000000"/>
          <w:sz w:val="22"/>
          <w:szCs w:val="22"/>
        </w:rPr>
        <w:t xml:space="preserve">qualitative or semi-quantitative risk ranking used to prioritise tasks and controls within the SMS.</w:t>
      </w:r>
    </w:p>
    <w:p>
      <w:pPr>
        <w:pStyle w:val="ListParagraph"/>
        <w:numPr>
          <w:ilvl w:val="0"/>
          <w:numId w:val="1"/>
        </w:numPr>
        <w:spacing w:after="60" w:line="300"/>
      </w:pPr>
      <w:r>
        <w:rPr>
          <w:rFonts w:ascii="Times New Roman"/>
          <w:b/>
          <w:bCs/>
          <w:color w:val="000000"/>
          <w:sz w:val="22"/>
          <w:szCs w:val="22"/>
        </w:rPr>
        <w:t xml:space="preserve">Corrective-action metrics: </w:t>
      </w:r>
      <w:r>
        <w:rPr>
          <w:rFonts w:ascii="Times New Roman"/>
          <w:color w:val="000000"/>
          <w:sz w:val="22"/>
          <w:szCs w:val="22"/>
        </w:rPr>
        <w:t xml:space="preserve">tracking of open non-conformities, time-to-close and recurrence, as the management measure of system health.</w:t>
      </w:r>
    </w:p>
    <w:p>
      <w:pPr>
        <w:pStyle w:val="Heading2"/>
        <w:spacing w:after="140" w:before="280" w:line="312"/>
      </w:pPr>
      <w:bookmarkStart w:id="100053" w:name="_Toc100053"/>
      <w:r>
        <w:rPr>
          <w:rFonts w:ascii="Times New Roman"/>
          <w:b/>
          <w:bCs/>
          <w:color w:val="0B1C2C"/>
          <w:sz w:val="28"/>
          <w:szCs w:val="28"/>
        </w:rPr>
        <w:t xml:space="preserve">Required Data</w:t>
      </w:r>
      <w:bookmarkEnd w:id="100053"/>
    </w:p>
    <w:p>
      <w:pPr>
        <w:spacing w:after="80" w:line="312"/>
        <w:ind w:firstLine="360"/>
        <w:jc w:val="both"/>
      </w:pPr>
      <w:r>
        <w:rPr>
          <w:rFonts w:ascii="Times New Roman"/>
          <w:color w:val="000000"/>
          <w:sz w:val="22"/>
          <w:szCs w:val="22"/>
        </w:rPr>
        <w:t xml:space="preserve">The following data elements must be captured to support reporting and verification:</w:t>
      </w:r>
    </w:p>
    <w:p>
      <w:pPr>
        <w:pStyle w:val="ListParagraph"/>
        <w:numPr>
          <w:ilvl w:val="0"/>
          <w:numId w:val="1"/>
        </w:numPr>
        <w:spacing w:after="60" w:line="300"/>
      </w:pPr>
      <w:r>
        <w:rPr>
          <w:rFonts w:ascii="Times New Roman"/>
          <w:color w:val="000000"/>
          <w:sz w:val="22"/>
          <w:szCs w:val="22"/>
        </w:rPr>
        <w:t xml:space="preserve">Audit schedules and reports   •   Non-conformity and corrective-action records   •   Accident / incident / near-miss reports   •   Drill and training records   •   Maintenance records linked to safety equipment   •   Master's standing orders and review reports</w:t>
      </w:r>
    </w:p>
    <w:p>
      <w:pPr>
        <w:pStyle w:val="Heading2"/>
        <w:spacing w:after="140" w:before="280" w:line="312"/>
      </w:pPr>
      <w:bookmarkStart w:id="100054" w:name="_Toc100054"/>
      <w:r>
        <w:rPr>
          <w:rFonts w:ascii="Times New Roman"/>
          <w:b/>
          <w:bCs/>
          <w:color w:val="0B1C2C"/>
          <w:sz w:val="28"/>
          <w:szCs w:val="28"/>
        </w:rPr>
        <w:t xml:space="preserve">Reporting Frequency</w:t>
      </w:r>
      <w:bookmarkEnd w:id="100054"/>
    </w:p>
    <w:p>
      <w:pPr>
        <w:spacing w:after="80" w:line="312"/>
        <w:ind w:firstLine="360"/>
        <w:jc w:val="both"/>
      </w:pPr>
      <w:r>
        <w:rPr>
          <w:rFonts w:ascii="Times New Roman"/>
          <w:color w:val="000000"/>
          <w:sz w:val="22"/>
          <w:szCs w:val="22"/>
        </w:rPr>
        <w:t xml:space="preserve">The company Document of Compliance is verified annually and re-issued every five years; the ship's SMC is subject to an intermediate and a renewal verification; internal audits and management reviews occur at least annually, and drills on a recurring schedule.</w:t>
      </w:r>
    </w:p>
    <w:p>
      <w:pPr>
        <w:pStyle w:val="Heading2"/>
        <w:spacing w:after="140" w:before="280" w:line="312"/>
      </w:pPr>
      <w:bookmarkStart w:id="100055" w:name="_Toc100055"/>
      <w:r>
        <w:rPr>
          <w:rFonts w:ascii="Times New Roman"/>
          <w:b/>
          <w:bCs/>
          <w:color w:val="0B1C2C"/>
          <w:sz w:val="28"/>
          <w:szCs w:val="28"/>
        </w:rPr>
        <w:t xml:space="preserve">Common Compliance Mistakes</w:t>
      </w:r>
      <w:bookmarkEnd w:id="100055"/>
    </w:p>
    <w:p>
      <w:pPr>
        <w:pStyle w:val="ListParagraph"/>
        <w:numPr>
          <w:ilvl w:val="0"/>
          <w:numId w:val="1"/>
        </w:numPr>
        <w:spacing w:after="60" w:line="300"/>
      </w:pPr>
      <w:r>
        <w:rPr>
          <w:rFonts w:ascii="Times New Roman"/>
          <w:color w:val="000000"/>
          <w:sz w:val="22"/>
          <w:szCs w:val="22"/>
        </w:rPr>
        <w:t xml:space="preserve">Letting the SMS become a paper system disconnected from how the ship is actually run.</w:t>
      </w:r>
    </w:p>
    <w:p>
      <w:pPr>
        <w:pStyle w:val="ListParagraph"/>
        <w:numPr>
          <w:ilvl w:val="0"/>
          <w:numId w:val="1"/>
        </w:numPr>
        <w:spacing w:after="60" w:line="300"/>
      </w:pPr>
      <w:r>
        <w:rPr>
          <w:rFonts w:ascii="Times New Roman"/>
          <w:color w:val="000000"/>
          <w:sz w:val="22"/>
          <w:szCs w:val="22"/>
        </w:rPr>
        <w:t xml:space="preserve">Closing non-conformities without genuine root-cause analysis, so the same finding recurs at the next audit.</w:t>
      </w:r>
    </w:p>
    <w:p>
      <w:pPr>
        <w:pStyle w:val="ListParagraph"/>
        <w:numPr>
          <w:ilvl w:val="0"/>
          <w:numId w:val="1"/>
        </w:numPr>
        <w:spacing w:after="60" w:line="300"/>
      </w:pPr>
      <w:r>
        <w:rPr>
          <w:rFonts w:ascii="Times New Roman"/>
          <w:color w:val="000000"/>
          <w:sz w:val="22"/>
          <w:szCs w:val="22"/>
        </w:rPr>
        <w:t xml:space="preserve">Under-reporting near-misses, losing the early-warning data that the Code is designed to capture.</w:t>
      </w:r>
    </w:p>
    <w:p>
      <w:pPr>
        <w:pStyle w:val="ListParagraph"/>
        <w:numPr>
          <w:ilvl w:val="0"/>
          <w:numId w:val="1"/>
        </w:numPr>
        <w:spacing w:after="60" w:line="300"/>
      </w:pPr>
      <w:r>
        <w:rPr>
          <w:rFonts w:ascii="Times New Roman"/>
          <w:color w:val="000000"/>
          <w:sz w:val="22"/>
          <w:szCs w:val="22"/>
        </w:rPr>
        <w:t xml:space="preserve">Failing to cascade changes in other regulations (CII, FuelEU, cyber) into SMS procedures.</w:t>
      </w:r>
    </w:p>
    <w:p>
      <w:pPr>
        <w:pStyle w:val="ListParagraph"/>
        <w:numPr>
          <w:ilvl w:val="0"/>
          <w:numId w:val="1"/>
        </w:numPr>
        <w:spacing w:after="60" w:line="300"/>
      </w:pPr>
      <w:r>
        <w:rPr>
          <w:rFonts w:ascii="Times New Roman"/>
          <w:color w:val="000000"/>
          <w:sz w:val="22"/>
          <w:szCs w:val="22"/>
        </w:rPr>
        <w:t xml:space="preserve">Letting the Designated Person Ashore (DPA) role become nominal rather than an active assurance function.</w:t>
      </w:r>
    </w:p>
    <w:p>
      <w:pPr>
        <w:pStyle w:val="Heading2"/>
        <w:spacing w:after="140" w:before="280" w:line="312"/>
      </w:pPr>
      <w:bookmarkStart w:id="100056" w:name="_Toc100056"/>
      <w:r>
        <w:rPr>
          <w:rFonts w:ascii="Times New Roman"/>
          <w:b/>
          <w:bCs/>
          <w:color w:val="0B1C2C"/>
          <w:sz w:val="28"/>
          <w:szCs w:val="28"/>
        </w:rPr>
        <w:t xml:space="preserve">How Software Can Automate Compliance</w:t>
      </w:r>
      <w:bookmarkEnd w:id="100056"/>
    </w:p>
    <w:p>
      <w:pPr>
        <w:spacing w:after="80" w:line="312"/>
        <w:ind w:firstLine="360"/>
        <w:jc w:val="both"/>
      </w:pPr>
      <w:r>
        <w:rPr>
          <w:rFonts w:ascii="Times New Roman"/>
          <w:color w:val="000000"/>
          <w:sz w:val="22"/>
          <w:szCs w:val="22"/>
        </w:rPr>
        <w:t xml:space="preserve">A purpose-built compliance platform materially reduces manual effort and error exposure in the following ways:</w:t>
      </w:r>
    </w:p>
    <w:p>
      <w:pPr>
        <w:pStyle w:val="ListParagraph"/>
        <w:numPr>
          <w:ilvl w:val="0"/>
          <w:numId w:val="1"/>
        </w:numPr>
        <w:spacing w:after="60" w:line="300"/>
      </w:pPr>
      <w:r>
        <w:rPr>
          <w:rFonts w:ascii="Times New Roman"/>
          <w:color w:val="000000"/>
          <w:sz w:val="22"/>
          <w:szCs w:val="22"/>
        </w:rPr>
        <w:t xml:space="preserve">A digital SMS with controlled, version-tracked procedures and acknowledgements by role and vessel.</w:t>
      </w:r>
    </w:p>
    <w:p>
      <w:pPr>
        <w:pStyle w:val="ListParagraph"/>
        <w:numPr>
          <w:ilvl w:val="0"/>
          <w:numId w:val="1"/>
        </w:numPr>
        <w:spacing w:after="60" w:line="300"/>
      </w:pPr>
      <w:r>
        <w:rPr>
          <w:rFonts w:ascii="Times New Roman"/>
          <w:color w:val="000000"/>
          <w:sz w:val="22"/>
          <w:szCs w:val="22"/>
        </w:rPr>
        <w:t xml:space="preserve">An integrated non-conformity and corrective-action workflow with automated root-cause templates and due-date alerts.</w:t>
      </w:r>
    </w:p>
    <w:p>
      <w:pPr>
        <w:pStyle w:val="ListParagraph"/>
        <w:numPr>
          <w:ilvl w:val="0"/>
          <w:numId w:val="1"/>
        </w:numPr>
        <w:spacing w:after="60" w:line="300"/>
      </w:pPr>
      <w:r>
        <w:rPr>
          <w:rFonts w:ascii="Times New Roman"/>
          <w:color w:val="000000"/>
          <w:sz w:val="22"/>
          <w:szCs w:val="22"/>
        </w:rPr>
        <w:t xml:space="preserve">Near-miss and incident capture from mobile devices at sea, feeding dashboards for the DPA and management review.</w:t>
      </w:r>
    </w:p>
    <w:p>
      <w:pPr>
        <w:pStyle w:val="ListParagraph"/>
        <w:numPr>
          <w:ilvl w:val="0"/>
          <w:numId w:val="1"/>
        </w:numPr>
        <w:spacing w:after="60" w:line="300"/>
      </w:pPr>
      <w:r>
        <w:rPr>
          <w:rFonts w:ascii="Times New Roman"/>
          <w:color w:val="000000"/>
          <w:sz w:val="22"/>
          <w:szCs w:val="22"/>
        </w:rPr>
        <w:t xml:space="preserve">Automated audit and drill scheduling that aligns with Doc/SMC cycles and flags overdue items.</w:t>
      </w:r>
    </w:p>
    <w:p>
      <w:pPr>
        <w:pStyle w:val="ListParagraph"/>
        <w:numPr>
          <w:ilvl w:val="0"/>
          <w:numId w:val="1"/>
        </w:numPr>
        <w:spacing w:after="60" w:line="300"/>
      </w:pPr>
      <w:r>
        <w:rPr>
          <w:rFonts w:ascii="Times New Roman"/>
          <w:color w:val="000000"/>
          <w:sz w:val="22"/>
          <w:szCs w:val="22"/>
        </w:rPr>
        <w:t xml:space="preserve">Cross-linking so that findings from environmental regulations (MRV, FuelEU) surface in the SMS review.</w:t>
      </w:r>
    </w:p>
    <w:p>
      <w:pPr>
        <w:pStyle w:val="Heading1"/>
        <w:spacing w:after="200" w:before="400" w:line="312"/>
      </w:pPr>
      <w:bookmarkStart w:id="100057" w:name="_Toc100057"/>
      <w:r>
        <w:rPr>
          <w:rFonts w:ascii="Times New Roman"/>
          <w:b/>
          <w:bCs/>
          <w:color w:val="0B1C2C"/>
          <w:sz w:val="32"/>
          <w:szCs w:val="32"/>
        </w:rPr>
        <w:t xml:space="preserve">9. ISPS Code (International Ship and Port Facility Security)</w:t>
      </w:r>
      <w:bookmarkEnd w:id="100057"/>
    </w:p>
    <w:p>
      <w:pPr>
        <w:spacing w:after="80" w:line="312"/>
        <w:ind w:firstLine="360"/>
        <w:jc w:val="both"/>
      </w:pPr>
      <w:r>
        <w:rPr>
          <w:rFonts w:ascii="Times New Roman"/>
          <w:color w:val="000000"/>
          <w:sz w:val="22"/>
          <w:szCs w:val="22"/>
        </w:rPr>
        <w:t xml:space="preserve">The ISPS Code (IMO Resolution A.974, mandatory since 2004) is the maritime security counterpart to ISM. It requires ships on international voyages and the port facilities serving them to assess security risks and operate under approved security plans at three security levels.</w:t>
      </w:r>
    </w:p>
    <w:p>
      <w:pPr>
        <w:pStyle w:val="Heading2"/>
        <w:spacing w:after="140" w:before="280" w:line="312"/>
      </w:pPr>
      <w:bookmarkStart w:id="100058" w:name="_Toc100058"/>
      <w:r>
        <w:rPr>
          <w:rFonts w:ascii="Times New Roman"/>
          <w:b/>
          <w:bCs/>
          <w:color w:val="0B1C2C"/>
          <w:sz w:val="28"/>
          <w:szCs w:val="28"/>
        </w:rPr>
        <w:t xml:space="preserve">Purpose</w:t>
      </w:r>
      <w:bookmarkEnd w:id="100058"/>
    </w:p>
    <w:p>
      <w:pPr>
        <w:spacing w:after="80" w:line="312"/>
        <w:ind w:firstLine="360"/>
        <w:jc w:val="both"/>
      </w:pPr>
      <w:r>
        <w:rPr>
          <w:rFonts w:ascii="Times New Roman"/>
          <w:color w:val="000000"/>
          <w:sz w:val="22"/>
          <w:szCs w:val="22"/>
        </w:rPr>
        <w:t xml:space="preserve">ISPS exists to detect and deter security threats to ships and port facilities — including piracy, terrorism, stowaways and unlawful interference — through a structured, risk-based regime that links ship, company and port facility under a common framework.</w:t>
      </w:r>
    </w:p>
    <w:p>
      <w:pPr>
        <w:pStyle w:val="Heading2"/>
        <w:spacing w:after="140" w:before="280" w:line="312"/>
      </w:pPr>
      <w:bookmarkStart w:id="100059" w:name="_Toc100059"/>
      <w:r>
        <w:rPr>
          <w:rFonts w:ascii="Times New Roman"/>
          <w:b/>
          <w:bCs/>
          <w:color w:val="0B1C2C"/>
          <w:sz w:val="28"/>
          <w:szCs w:val="28"/>
        </w:rPr>
        <w:t xml:space="preserve">Required Documents</w:t>
      </w:r>
      <w:bookmarkEnd w:id="100059"/>
    </w:p>
    <w:p>
      <w:pPr>
        <w:spacing w:after="80" w:line="312"/>
        <w:ind w:firstLine="360"/>
        <w:jc w:val="both"/>
      </w:pPr>
      <w:r>
        <w:rPr>
          <w:rFonts w:ascii="Times New Roman"/>
          <w:color w:val="000000"/>
          <w:sz w:val="22"/>
          <w:szCs w:val="22"/>
        </w:rPr>
        <w:t xml:space="preserve">The following documents form the core compliance evidence set for this regulation:</w:t>
      </w:r>
    </w:p>
    <w:p>
      <w:pPr>
        <w:pStyle w:val="ListParagraph"/>
        <w:numPr>
          <w:ilvl w:val="0"/>
          <w:numId w:val="1"/>
        </w:numPr>
        <w:spacing w:after="60" w:line="300"/>
      </w:pPr>
      <w:r>
        <w:rPr>
          <w:rFonts w:ascii="Times New Roman"/>
          <w:b/>
          <w:bCs/>
          <w:color w:val="000000"/>
          <w:sz w:val="22"/>
          <w:szCs w:val="22"/>
        </w:rPr>
        <w:t xml:space="preserve">Ship Security Plan (SSP): </w:t>
      </w:r>
      <w:r>
        <w:rPr>
          <w:rFonts w:ascii="Times New Roman"/>
          <w:color w:val="000000"/>
          <w:sz w:val="22"/>
          <w:szCs w:val="22"/>
        </w:rPr>
        <w:t xml:space="preserve">the approved plan detailing measures at each of the three security levels; carried on board and subject to periodic verification.</w:t>
      </w:r>
    </w:p>
    <w:p>
      <w:pPr>
        <w:pStyle w:val="ListParagraph"/>
        <w:numPr>
          <w:ilvl w:val="0"/>
          <w:numId w:val="1"/>
        </w:numPr>
        <w:spacing w:after="60" w:line="300"/>
      </w:pPr>
      <w:r>
        <w:rPr>
          <w:rFonts w:ascii="Times New Roman"/>
          <w:b/>
          <w:bCs/>
          <w:color w:val="000000"/>
          <w:sz w:val="22"/>
          <w:szCs w:val="22"/>
        </w:rPr>
        <w:t xml:space="preserve">International Ship Security Certificate (ISSC): </w:t>
      </w:r>
      <w:r>
        <w:rPr>
          <w:rFonts w:ascii="Times New Roman"/>
          <w:color w:val="000000"/>
          <w:sz w:val="22"/>
          <w:szCs w:val="22"/>
        </w:rPr>
        <w:t xml:space="preserve">issued after verification that the SSP meets the Code; subject to intermediate and renewal verification.</w:t>
      </w:r>
    </w:p>
    <w:p>
      <w:pPr>
        <w:pStyle w:val="ListParagraph"/>
        <w:numPr>
          <w:ilvl w:val="0"/>
          <w:numId w:val="1"/>
        </w:numPr>
        <w:spacing w:after="60" w:line="300"/>
      </w:pPr>
      <w:r>
        <w:rPr>
          <w:rFonts w:ascii="Times New Roman"/>
          <w:b/>
          <w:bCs/>
          <w:color w:val="000000"/>
          <w:sz w:val="22"/>
          <w:szCs w:val="22"/>
        </w:rPr>
        <w:t xml:space="preserve">Ship Security Assessment (SSA): </w:t>
      </w:r>
      <w:r>
        <w:rPr>
          <w:rFonts w:ascii="Times New Roman"/>
          <w:color w:val="000000"/>
          <w:sz w:val="22"/>
          <w:szCs w:val="22"/>
        </w:rPr>
        <w:t xml:space="preserve">the underlying risk assessment supporting the SSP, including threat and vulnerability analysis.</w:t>
      </w:r>
    </w:p>
    <w:p>
      <w:pPr>
        <w:pStyle w:val="ListParagraph"/>
        <w:numPr>
          <w:ilvl w:val="0"/>
          <w:numId w:val="1"/>
        </w:numPr>
        <w:spacing w:after="60" w:line="300"/>
      </w:pPr>
      <w:r>
        <w:rPr>
          <w:rFonts w:ascii="Times New Roman"/>
          <w:b/>
          <w:bCs/>
          <w:color w:val="000000"/>
          <w:sz w:val="22"/>
          <w:szCs w:val="22"/>
        </w:rPr>
        <w:t xml:space="preserve">Continuous Synopsis Record (CSR): </w:t>
      </w:r>
      <w:r>
        <w:rPr>
          <w:rFonts w:ascii="Times New Roman"/>
          <w:color w:val="000000"/>
          <w:sz w:val="22"/>
          <w:szCs w:val="22"/>
        </w:rPr>
        <w:t xml:space="preserve">the onboard record of the ship's history of ownership, flag, company and class, kept up to date.</w:t>
      </w:r>
    </w:p>
    <w:p>
      <w:pPr>
        <w:pStyle w:val="Heading2"/>
        <w:spacing w:after="140" w:before="280" w:line="312"/>
      </w:pPr>
      <w:bookmarkStart w:id="100060" w:name="_Toc100060"/>
      <w:r>
        <w:rPr>
          <w:rFonts w:ascii="Times New Roman"/>
          <w:b/>
          <w:bCs/>
          <w:color w:val="0B1C2C"/>
          <w:sz w:val="28"/>
          <w:szCs w:val="28"/>
        </w:rPr>
        <w:t xml:space="preserve">Required Calculations</w:t>
      </w:r>
      <w:bookmarkEnd w:id="100060"/>
    </w:p>
    <w:p>
      <w:pPr>
        <w:spacing w:after="80" w:line="312"/>
        <w:ind w:firstLine="360"/>
        <w:jc w:val="both"/>
      </w:pPr>
      <w:r>
        <w:rPr>
          <w:rFonts w:ascii="Times New Roman"/>
          <w:color w:val="000000"/>
          <w:sz w:val="22"/>
          <w:szCs w:val="22"/>
        </w:rPr>
        <w:t xml:space="preserve">Compliance depends on the following quantitative determinations:</w:t>
      </w:r>
    </w:p>
    <w:p>
      <w:pPr>
        <w:pStyle w:val="ListParagraph"/>
        <w:numPr>
          <w:ilvl w:val="0"/>
          <w:numId w:val="1"/>
        </w:numPr>
        <w:spacing w:after="60" w:line="300"/>
      </w:pPr>
      <w:r>
        <w:rPr>
          <w:rFonts w:ascii="Times New Roman"/>
          <w:b/>
          <w:bCs/>
          <w:color w:val="000000"/>
          <w:sz w:val="22"/>
          <w:szCs w:val="22"/>
        </w:rPr>
        <w:t xml:space="preserve">No numeric index: </w:t>
      </w:r>
      <w:r>
        <w:rPr>
          <w:rFonts w:ascii="Times New Roman"/>
          <w:color w:val="000000"/>
          <w:sz w:val="22"/>
          <w:szCs w:val="22"/>
        </w:rPr>
        <w:t xml:space="preserve">like ISM, ISPS is a management regime; compliance is evidenced through drill records, security-incident reports and verification findings rather than a calculated metric.</w:t>
      </w:r>
    </w:p>
    <w:p>
      <w:pPr>
        <w:pStyle w:val="ListParagraph"/>
        <w:numPr>
          <w:ilvl w:val="0"/>
          <w:numId w:val="1"/>
        </w:numPr>
        <w:spacing w:after="60" w:line="300"/>
      </w:pPr>
      <w:r>
        <w:rPr>
          <w:rFonts w:ascii="Times New Roman"/>
          <w:b/>
          <w:bCs/>
          <w:color w:val="000000"/>
          <w:sz w:val="22"/>
          <w:szCs w:val="22"/>
        </w:rPr>
        <w:t xml:space="preserve">Security-level readiness: </w:t>
      </w:r>
      <w:r>
        <w:rPr>
          <w:rFonts w:ascii="Times New Roman"/>
          <w:color w:val="000000"/>
          <w:sz w:val="22"/>
          <w:szCs w:val="22"/>
        </w:rPr>
        <w:t xml:space="preserve">the ship's ability to escalate from Security Level 1 (normal) to Level 2 (heightened) and Level 3 (exceptional) per the SSP, measured by drill performance.</w:t>
      </w:r>
    </w:p>
    <w:p>
      <w:pPr>
        <w:pStyle w:val="ListParagraph"/>
        <w:numPr>
          <w:ilvl w:val="0"/>
          <w:numId w:val="1"/>
        </w:numPr>
        <w:spacing w:after="60" w:line="300"/>
      </w:pPr>
      <w:r>
        <w:rPr>
          <w:rFonts w:ascii="Times New Roman"/>
          <w:b/>
          <w:bCs/>
          <w:color w:val="000000"/>
          <w:sz w:val="22"/>
          <w:szCs w:val="22"/>
        </w:rPr>
        <w:t xml:space="preserve">Access-control and inventory counts: </w:t>
      </w:r>
      <w:r>
        <w:rPr>
          <w:rFonts w:ascii="Times New Roman"/>
          <w:color w:val="000000"/>
          <w:sz w:val="22"/>
          <w:szCs w:val="22"/>
        </w:rPr>
        <w:t xml:space="preserve">operational counts (persons on board, restricted-area access logs) used as evidence the plan is being applied.</w:t>
      </w:r>
    </w:p>
    <w:p>
      <w:pPr>
        <w:pStyle w:val="Heading2"/>
        <w:spacing w:after="140" w:before="280" w:line="312"/>
      </w:pPr>
      <w:bookmarkStart w:id="100061" w:name="_Toc100061"/>
      <w:r>
        <w:rPr>
          <w:rFonts w:ascii="Times New Roman"/>
          <w:b/>
          <w:bCs/>
          <w:color w:val="0B1C2C"/>
          <w:sz w:val="28"/>
          <w:szCs w:val="28"/>
        </w:rPr>
        <w:t xml:space="preserve">Required Data</w:t>
      </w:r>
      <w:bookmarkEnd w:id="100061"/>
    </w:p>
    <w:p>
      <w:pPr>
        <w:spacing w:after="80" w:line="312"/>
        <w:ind w:firstLine="360"/>
        <w:jc w:val="both"/>
      </w:pPr>
      <w:r>
        <w:rPr>
          <w:rFonts w:ascii="Times New Roman"/>
          <w:color w:val="000000"/>
          <w:sz w:val="22"/>
          <w:szCs w:val="22"/>
        </w:rPr>
        <w:t xml:space="preserve">The following data elements must be captured to support reporting and verification:</w:t>
      </w:r>
    </w:p>
    <w:p>
      <w:pPr>
        <w:pStyle w:val="ListParagraph"/>
        <w:numPr>
          <w:ilvl w:val="0"/>
          <w:numId w:val="1"/>
        </w:numPr>
        <w:spacing w:after="60" w:line="300"/>
      </w:pPr>
      <w:r>
        <w:rPr>
          <w:rFonts w:ascii="Times New Roman"/>
          <w:color w:val="000000"/>
          <w:sz w:val="22"/>
          <w:szCs w:val="22"/>
        </w:rPr>
        <w:t xml:space="preserve">Security incident and breach records   •   Drill and exercise records   •   Access-control and visitor logs   •   Threat intelligence / port security advisories   •   Ship Security Officer (SSO) records   •   CSR and flag/company/class history</w:t>
      </w:r>
    </w:p>
    <w:p>
      <w:pPr>
        <w:pStyle w:val="Heading2"/>
        <w:spacing w:after="140" w:before="280" w:line="312"/>
      </w:pPr>
      <w:bookmarkStart w:id="100062" w:name="_Toc100062"/>
      <w:r>
        <w:rPr>
          <w:rFonts w:ascii="Times New Roman"/>
          <w:b/>
          <w:bCs/>
          <w:color w:val="0B1C2C"/>
          <w:sz w:val="28"/>
          <w:szCs w:val="28"/>
        </w:rPr>
        <w:t xml:space="preserve">Reporting Frequency</w:t>
      </w:r>
      <w:bookmarkEnd w:id="100062"/>
    </w:p>
    <w:p>
      <w:pPr>
        <w:spacing w:after="80" w:line="312"/>
        <w:ind w:firstLine="360"/>
        <w:jc w:val="both"/>
      </w:pPr>
      <w:r>
        <w:rPr>
          <w:rFonts w:ascii="Times New Roman"/>
          <w:color w:val="000000"/>
          <w:sz w:val="22"/>
          <w:szCs w:val="22"/>
        </w:rPr>
        <w:t xml:space="preserve">The ISSC is verified at intermediate and renewal cycles; security drills must be conducted at least every three months, plus an annual full exercise; the SSP is reviewed and re-approved at least every five years and whenever the SSA changes.</w:t>
      </w:r>
    </w:p>
    <w:p>
      <w:pPr>
        <w:pStyle w:val="Heading2"/>
        <w:spacing w:after="140" w:before="280" w:line="312"/>
      </w:pPr>
      <w:bookmarkStart w:id="100063" w:name="_Toc100063"/>
      <w:r>
        <w:rPr>
          <w:rFonts w:ascii="Times New Roman"/>
          <w:b/>
          <w:bCs/>
          <w:color w:val="0B1C2C"/>
          <w:sz w:val="28"/>
          <w:szCs w:val="28"/>
        </w:rPr>
        <w:t xml:space="preserve">Common Compliance Mistakes</w:t>
      </w:r>
      <w:bookmarkEnd w:id="100063"/>
    </w:p>
    <w:p>
      <w:pPr>
        <w:pStyle w:val="ListParagraph"/>
        <w:numPr>
          <w:ilvl w:val="0"/>
          <w:numId w:val="1"/>
        </w:numPr>
        <w:spacing w:after="60" w:line="300"/>
      </w:pPr>
      <w:r>
        <w:rPr>
          <w:rFonts w:ascii="Times New Roman"/>
          <w:color w:val="000000"/>
          <w:sz w:val="22"/>
          <w:szCs w:val="22"/>
        </w:rPr>
        <w:t xml:space="preserve">Operating permanently at 'Level 1' on paper while not actually applying its access-control measures.</w:t>
      </w:r>
    </w:p>
    <w:p>
      <w:pPr>
        <w:pStyle w:val="ListParagraph"/>
        <w:numPr>
          <w:ilvl w:val="0"/>
          <w:numId w:val="1"/>
        </w:numPr>
        <w:spacing w:after="60" w:line="300"/>
      </w:pPr>
      <w:r>
        <w:rPr>
          <w:rFonts w:ascii="Times New Roman"/>
          <w:color w:val="000000"/>
          <w:sz w:val="22"/>
          <w:szCs w:val="22"/>
        </w:rPr>
        <w:t xml:space="preserve">Treating drills as a tick-box, so escalation to Level 2/3 is untested when genuinely needed.</w:t>
      </w:r>
    </w:p>
    <w:p>
      <w:pPr>
        <w:pStyle w:val="ListParagraph"/>
        <w:numPr>
          <w:ilvl w:val="0"/>
          <w:numId w:val="1"/>
        </w:numPr>
        <w:spacing w:after="60" w:line="300"/>
      </w:pPr>
      <w:r>
        <w:rPr>
          <w:rFonts w:ascii="Times New Roman"/>
          <w:color w:val="000000"/>
          <w:sz w:val="22"/>
          <w:szCs w:val="22"/>
        </w:rPr>
        <w:t xml:space="preserve">Letting the CSR fall out of date after changes of owner, company, flag or class.</w:t>
      </w:r>
    </w:p>
    <w:p>
      <w:pPr>
        <w:pStyle w:val="ListParagraph"/>
        <w:numPr>
          <w:ilvl w:val="0"/>
          <w:numId w:val="1"/>
        </w:numPr>
        <w:spacing w:after="60" w:line="300"/>
      </w:pPr>
      <w:r>
        <w:rPr>
          <w:rFonts w:ascii="Times New Roman"/>
          <w:color w:val="000000"/>
          <w:sz w:val="22"/>
          <w:szCs w:val="22"/>
        </w:rPr>
        <w:t xml:space="preserve">Disconnecting the SSP from cyber-security risks now expected to be covered within the security regime.</w:t>
      </w:r>
    </w:p>
    <w:p>
      <w:pPr>
        <w:pStyle w:val="ListParagraph"/>
        <w:numPr>
          <w:ilvl w:val="0"/>
          <w:numId w:val="1"/>
        </w:numPr>
        <w:spacing w:after="60" w:line="300"/>
      </w:pPr>
      <w:r>
        <w:rPr>
          <w:rFonts w:ascii="Times New Roman"/>
          <w:color w:val="000000"/>
          <w:sz w:val="22"/>
          <w:szCs w:val="22"/>
        </w:rPr>
        <w:t xml:space="preserve">Weak coordination between ship security officers and port facility security officers (PFSOs).</w:t>
      </w:r>
    </w:p>
    <w:p>
      <w:pPr>
        <w:pStyle w:val="Heading2"/>
        <w:spacing w:after="140" w:before="280" w:line="312"/>
      </w:pPr>
      <w:bookmarkStart w:id="100064" w:name="_Toc100064"/>
      <w:r>
        <w:rPr>
          <w:rFonts w:ascii="Times New Roman"/>
          <w:b/>
          <w:bCs/>
          <w:color w:val="0B1C2C"/>
          <w:sz w:val="28"/>
          <w:szCs w:val="28"/>
        </w:rPr>
        <w:t xml:space="preserve">How Software Can Automate Compliance</w:t>
      </w:r>
      <w:bookmarkEnd w:id="100064"/>
    </w:p>
    <w:p>
      <w:pPr>
        <w:spacing w:after="80" w:line="312"/>
        <w:ind w:firstLine="360"/>
        <w:jc w:val="both"/>
      </w:pPr>
      <w:r>
        <w:rPr>
          <w:rFonts w:ascii="Times New Roman"/>
          <w:color w:val="000000"/>
          <w:sz w:val="22"/>
          <w:szCs w:val="22"/>
        </w:rPr>
        <w:t xml:space="preserve">A purpose-built compliance platform materially reduces manual effort and error exposure in the following ways:</w:t>
      </w:r>
    </w:p>
    <w:p>
      <w:pPr>
        <w:pStyle w:val="ListParagraph"/>
        <w:numPr>
          <w:ilvl w:val="0"/>
          <w:numId w:val="1"/>
        </w:numPr>
        <w:spacing w:after="60" w:line="300"/>
      </w:pPr>
      <w:r>
        <w:rPr>
          <w:rFonts w:ascii="Times New Roman"/>
          <w:color w:val="000000"/>
          <w:sz w:val="22"/>
          <w:szCs w:val="22"/>
        </w:rPr>
        <w:t xml:space="preserve">Digital SSP with controlled distribution, level-escalation checklists and acknowledgement tracking.</w:t>
      </w:r>
    </w:p>
    <w:p>
      <w:pPr>
        <w:pStyle w:val="ListParagraph"/>
        <w:numPr>
          <w:ilvl w:val="0"/>
          <w:numId w:val="1"/>
        </w:numPr>
        <w:spacing w:after="60" w:line="300"/>
      </w:pPr>
      <w:r>
        <w:rPr>
          <w:rFonts w:ascii="Times New Roman"/>
          <w:color w:val="000000"/>
          <w:sz w:val="22"/>
          <w:szCs w:val="22"/>
        </w:rPr>
        <w:t xml:space="preserve">Electronic access control and visitor logging that produces the evidence verifiers expect without manual collation.</w:t>
      </w:r>
    </w:p>
    <w:p>
      <w:pPr>
        <w:pStyle w:val="ListParagraph"/>
        <w:numPr>
          <w:ilvl w:val="0"/>
          <w:numId w:val="1"/>
        </w:numPr>
        <w:spacing w:after="60" w:line="300"/>
      </w:pPr>
      <w:r>
        <w:rPr>
          <w:rFonts w:ascii="Times New Roman"/>
          <w:color w:val="000000"/>
          <w:sz w:val="22"/>
          <w:szCs w:val="22"/>
        </w:rPr>
        <w:t xml:space="preserve">Drill scheduling and after-action tracking tied to the ISSC verification cycle.</w:t>
      </w:r>
    </w:p>
    <w:p>
      <w:pPr>
        <w:pStyle w:val="ListParagraph"/>
        <w:numPr>
          <w:ilvl w:val="0"/>
          <w:numId w:val="1"/>
        </w:numPr>
        <w:spacing w:after="60" w:line="300"/>
      </w:pPr>
      <w:r>
        <w:rPr>
          <w:rFonts w:ascii="Times New Roman"/>
          <w:color w:val="000000"/>
          <w:sz w:val="22"/>
          <w:szCs w:val="22"/>
        </w:rPr>
        <w:t xml:space="preserve">CSR maintenance workflow that prompts updates on every ownership, company, flag or class change.</w:t>
      </w:r>
    </w:p>
    <w:p>
      <w:pPr>
        <w:pStyle w:val="ListParagraph"/>
        <w:numPr>
          <w:ilvl w:val="0"/>
          <w:numId w:val="1"/>
        </w:numPr>
        <w:spacing w:after="60" w:line="300"/>
      </w:pPr>
      <w:r>
        <w:rPr>
          <w:rFonts w:ascii="Times New Roman"/>
          <w:color w:val="000000"/>
          <w:sz w:val="22"/>
          <w:szCs w:val="22"/>
        </w:rPr>
        <w:t xml:space="preserve">Integration of cyber-risk registers into the SSA so the security plan reflects current threats.</w:t>
      </w:r>
    </w:p>
    <w:p>
      <w:pPr>
        <w:pStyle w:val="Heading1"/>
        <w:spacing w:after="200" w:before="400" w:line="312"/>
      </w:pPr>
      <w:bookmarkStart w:id="100065" w:name="_Toc100065"/>
      <w:r>
        <w:rPr>
          <w:rFonts w:ascii="Times New Roman"/>
          <w:b/>
          <w:bCs/>
          <w:color w:val="0B1C2C"/>
          <w:sz w:val="32"/>
          <w:szCs w:val="32"/>
        </w:rPr>
        <w:t xml:space="preserve">10. MARPOL (International Convention for the Prevention of Pollution from Ships)</w:t>
      </w:r>
      <w:bookmarkEnd w:id="100065"/>
    </w:p>
    <w:p>
      <w:pPr>
        <w:spacing w:after="80" w:line="312"/>
        <w:ind w:firstLine="360"/>
        <w:jc w:val="both"/>
      </w:pPr>
      <w:r>
        <w:rPr>
          <w:rFonts w:ascii="Times New Roman"/>
          <w:color w:val="000000"/>
          <w:sz w:val="22"/>
          <w:szCs w:val="22"/>
        </w:rPr>
        <w:t xml:space="preserve">MARPOL is the foundational environmental convention of the IMO, in force since 1983 and structured in six Annexes covering oil (I), noxious liquid substances in bulk (II), harmful packaged substances (III), sewage (IV), garbage (V) and air pollution (VI). Annex VI is the home of the sulphur cap, the NOx/SOx limits, DCS, CII and EEXI.</w:t>
      </w:r>
    </w:p>
    <w:p>
      <w:pPr>
        <w:pStyle w:val="Heading2"/>
        <w:spacing w:after="140" w:before="280" w:line="312"/>
      </w:pPr>
      <w:bookmarkStart w:id="100066" w:name="_Toc100066"/>
      <w:r>
        <w:rPr>
          <w:rFonts w:ascii="Times New Roman"/>
          <w:b/>
          <w:bCs/>
          <w:color w:val="0B1C2C"/>
          <w:sz w:val="28"/>
          <w:szCs w:val="28"/>
        </w:rPr>
        <w:t xml:space="preserve">Purpose</w:t>
      </w:r>
      <w:bookmarkEnd w:id="100066"/>
    </w:p>
    <w:p>
      <w:pPr>
        <w:spacing w:after="80" w:line="312"/>
        <w:ind w:firstLine="360"/>
        <w:jc w:val="both"/>
      </w:pPr>
      <w:r>
        <w:rPr>
          <w:rFonts w:ascii="Times New Roman"/>
          <w:color w:val="000000"/>
          <w:sz w:val="22"/>
          <w:szCs w:val="22"/>
        </w:rPr>
        <w:t xml:space="preserve">MARPOL exists to eliminate or minimise pollution of the marine environment from ship operations — whether by accidental discharge, routine operational discharge, or emissions to air — through uniform international standards enforced by flag and port States.</w:t>
      </w:r>
    </w:p>
    <w:p>
      <w:pPr>
        <w:pStyle w:val="Heading2"/>
        <w:spacing w:after="140" w:before="280" w:line="312"/>
      </w:pPr>
      <w:bookmarkStart w:id="100067" w:name="_Toc100067"/>
      <w:r>
        <w:rPr>
          <w:rFonts w:ascii="Times New Roman"/>
          <w:b/>
          <w:bCs/>
          <w:color w:val="0B1C2C"/>
          <w:sz w:val="28"/>
          <w:szCs w:val="28"/>
        </w:rPr>
        <w:t xml:space="preserve">Required Documents</w:t>
      </w:r>
      <w:bookmarkEnd w:id="100067"/>
    </w:p>
    <w:p>
      <w:pPr>
        <w:spacing w:after="80" w:line="312"/>
        <w:ind w:firstLine="360"/>
        <w:jc w:val="both"/>
      </w:pPr>
      <w:r>
        <w:rPr>
          <w:rFonts w:ascii="Times New Roman"/>
          <w:color w:val="000000"/>
          <w:sz w:val="22"/>
          <w:szCs w:val="22"/>
        </w:rPr>
        <w:t xml:space="preserve">The following documents form the core compliance evidence set for this regulation:</w:t>
      </w:r>
    </w:p>
    <w:p>
      <w:pPr>
        <w:pStyle w:val="ListParagraph"/>
        <w:numPr>
          <w:ilvl w:val="0"/>
          <w:numId w:val="1"/>
        </w:numPr>
        <w:spacing w:after="60" w:line="300"/>
      </w:pPr>
      <w:r>
        <w:rPr>
          <w:rFonts w:ascii="Times New Roman"/>
          <w:b/>
          <w:bCs/>
          <w:color w:val="000000"/>
          <w:sz w:val="22"/>
          <w:szCs w:val="22"/>
        </w:rPr>
        <w:t xml:space="preserve">Oil Record Book (Parts I &amp; II): </w:t>
      </w:r>
      <w:r>
        <w:rPr>
          <w:rFonts w:ascii="Times New Roman"/>
          <w:color w:val="000000"/>
          <w:sz w:val="22"/>
          <w:szCs w:val="22"/>
        </w:rPr>
        <w:t xml:space="preserve">mandatory log of bunkering, oil transfer and disposal operations under Annex I.</w:t>
      </w:r>
    </w:p>
    <w:p>
      <w:pPr>
        <w:pStyle w:val="ListParagraph"/>
        <w:numPr>
          <w:ilvl w:val="0"/>
          <w:numId w:val="1"/>
        </w:numPr>
        <w:spacing w:after="60" w:line="300"/>
      </w:pPr>
      <w:r>
        <w:rPr>
          <w:rFonts w:ascii="Times New Roman"/>
          <w:b/>
          <w:bCs/>
          <w:color w:val="000000"/>
          <w:sz w:val="22"/>
          <w:szCs w:val="22"/>
        </w:rPr>
        <w:t xml:space="preserve">Cargo Record Book / Procedures and Arrangements Manual: </w:t>
      </w:r>
      <w:r>
        <w:rPr>
          <w:rFonts w:ascii="Times New Roman"/>
          <w:color w:val="000000"/>
          <w:sz w:val="22"/>
          <w:szCs w:val="22"/>
        </w:rPr>
        <w:t xml:space="preserve">for chemical tankers and ships carrying noxious liquid substances under Annex II.</w:t>
      </w:r>
    </w:p>
    <w:p>
      <w:pPr>
        <w:pStyle w:val="ListParagraph"/>
        <w:numPr>
          <w:ilvl w:val="0"/>
          <w:numId w:val="1"/>
        </w:numPr>
        <w:spacing w:after="60" w:line="300"/>
      </w:pPr>
      <w:r>
        <w:rPr>
          <w:rFonts w:ascii="Times New Roman"/>
          <w:b/>
          <w:bCs/>
          <w:color w:val="000000"/>
          <w:sz w:val="22"/>
          <w:szCs w:val="22"/>
        </w:rPr>
        <w:t xml:space="preserve">Garbage Record Book (Parts I &amp; II) and Garbage Management Plan: </w:t>
      </w:r>
      <w:r>
        <w:rPr>
          <w:rFonts w:ascii="Times New Roman"/>
          <w:color w:val="000000"/>
          <w:sz w:val="22"/>
          <w:szCs w:val="22"/>
        </w:rPr>
        <w:t xml:space="preserve">required under Annex V for ships of 400 GT and above / ≥ 12 persons.</w:t>
      </w:r>
    </w:p>
    <w:p>
      <w:pPr>
        <w:pStyle w:val="ListParagraph"/>
        <w:numPr>
          <w:ilvl w:val="0"/>
          <w:numId w:val="1"/>
        </w:numPr>
        <w:spacing w:after="60" w:line="300"/>
      </w:pPr>
      <w:r>
        <w:rPr>
          <w:rFonts w:ascii="Times New Roman"/>
          <w:b/>
          <w:bCs/>
          <w:color w:val="000000"/>
          <w:sz w:val="22"/>
          <w:szCs w:val="22"/>
        </w:rPr>
        <w:t xml:space="preserve">International Air Pollution Prevention (IAPP) Certificate and Supplement: </w:t>
      </w:r>
      <w:r>
        <w:rPr>
          <w:rFonts w:ascii="Times New Roman"/>
          <w:color w:val="000000"/>
          <w:sz w:val="22"/>
          <w:szCs w:val="22"/>
        </w:rPr>
        <w:t xml:space="preserve">evidencing Annex VI compliance, including the SOx/NOx limits and the 0.50% global sulphur cap.</w:t>
      </w:r>
    </w:p>
    <w:p>
      <w:pPr>
        <w:pStyle w:val="ListParagraph"/>
        <w:numPr>
          <w:ilvl w:val="0"/>
          <w:numId w:val="1"/>
        </w:numPr>
        <w:spacing w:after="60" w:line="300"/>
      </w:pPr>
      <w:r>
        <w:rPr>
          <w:rFonts w:ascii="Times New Roman"/>
          <w:b/>
          <w:bCs/>
          <w:color w:val="000000"/>
          <w:sz w:val="22"/>
          <w:szCs w:val="22"/>
        </w:rPr>
        <w:t xml:space="preserve">Engine technical files and bunker delivery notes: </w:t>
      </w:r>
      <w:r>
        <w:rPr>
          <w:rFonts w:ascii="Times New Roman"/>
          <w:color w:val="000000"/>
          <w:sz w:val="22"/>
          <w:szCs w:val="22"/>
        </w:rPr>
        <w:t xml:space="preserve">supporting Annex VI air-pollution compliance, retained for three years.</w:t>
      </w:r>
    </w:p>
    <w:p>
      <w:pPr>
        <w:pStyle w:val="Heading2"/>
        <w:spacing w:after="140" w:before="280" w:line="312"/>
      </w:pPr>
      <w:bookmarkStart w:id="100068" w:name="_Toc100068"/>
      <w:r>
        <w:rPr>
          <w:rFonts w:ascii="Times New Roman"/>
          <w:b/>
          <w:bCs/>
          <w:color w:val="0B1C2C"/>
          <w:sz w:val="28"/>
          <w:szCs w:val="28"/>
        </w:rPr>
        <w:t xml:space="preserve">Required Calculations</w:t>
      </w:r>
      <w:bookmarkEnd w:id="100068"/>
    </w:p>
    <w:p>
      <w:pPr>
        <w:spacing w:after="80" w:line="312"/>
        <w:ind w:firstLine="360"/>
        <w:jc w:val="both"/>
      </w:pPr>
      <w:r>
        <w:rPr>
          <w:rFonts w:ascii="Times New Roman"/>
          <w:color w:val="000000"/>
          <w:sz w:val="22"/>
          <w:szCs w:val="22"/>
        </w:rPr>
        <w:t xml:space="preserve">Compliance depends on the following quantitative determinations:</w:t>
      </w:r>
    </w:p>
    <w:p>
      <w:pPr>
        <w:pStyle w:val="ListParagraph"/>
        <w:numPr>
          <w:ilvl w:val="0"/>
          <w:numId w:val="1"/>
        </w:numPr>
        <w:spacing w:after="60" w:line="300"/>
      </w:pPr>
      <w:r>
        <w:rPr>
          <w:rFonts w:ascii="Times New Roman"/>
          <w:b/>
          <w:bCs/>
          <w:color w:val="000000"/>
          <w:sz w:val="22"/>
          <w:szCs w:val="22"/>
        </w:rPr>
        <w:t xml:space="preserve">Fuel sulphur content: </w:t>
      </w:r>
      <w:r>
        <w:rPr>
          <w:rFonts w:ascii="Times New Roman"/>
          <w:color w:val="000000"/>
          <w:sz w:val="22"/>
          <w:szCs w:val="22"/>
        </w:rPr>
        <w:t xml:space="preserve">must not exceed 0.50% globally (0.10% in Emission Control Areas); verified from BDNs and spot sampling.</w:t>
      </w:r>
    </w:p>
    <w:p>
      <w:pPr>
        <w:pStyle w:val="ListParagraph"/>
        <w:numPr>
          <w:ilvl w:val="0"/>
          <w:numId w:val="1"/>
        </w:numPr>
        <w:spacing w:after="60" w:line="300"/>
      </w:pPr>
      <w:r>
        <w:rPr>
          <w:rFonts w:ascii="Times New Roman"/>
          <w:b/>
          <w:bCs/>
          <w:color w:val="000000"/>
          <w:sz w:val="22"/>
          <w:szCs w:val="22"/>
        </w:rPr>
        <w:t xml:space="preserve">NOx emission limits: </w:t>
      </w:r>
      <w:r>
        <w:rPr>
          <w:rFonts w:ascii="Times New Roman"/>
          <w:color w:val="000000"/>
          <w:sz w:val="22"/>
          <w:szCs w:val="22"/>
        </w:rPr>
        <w:t xml:space="preserve">engine-specific limits depending on rated speed and the applicable Tier, per the engine's Technical File.</w:t>
      </w:r>
    </w:p>
    <w:p>
      <w:pPr>
        <w:pStyle w:val="ListParagraph"/>
        <w:numPr>
          <w:ilvl w:val="0"/>
          <w:numId w:val="1"/>
        </w:numPr>
        <w:spacing w:after="60" w:line="300"/>
      </w:pPr>
      <w:r>
        <w:rPr>
          <w:rFonts w:ascii="Times New Roman"/>
          <w:b/>
          <w:bCs/>
          <w:color w:val="000000"/>
          <w:sz w:val="22"/>
          <w:szCs w:val="22"/>
        </w:rPr>
        <w:t xml:space="preserve">Oily-water discharge thresholds: </w:t>
      </w:r>
      <w:r>
        <w:rPr>
          <w:rFonts w:ascii="Times New Roman"/>
          <w:color w:val="000000"/>
          <w:sz w:val="22"/>
          <w:szCs w:val="22"/>
        </w:rPr>
        <w:t xml:space="preserve">machinery-space bilge water discharge criteria (e.g. 15 ppm oil content with equipment in operation) under Annex I.</w:t>
      </w:r>
    </w:p>
    <w:p>
      <w:pPr>
        <w:pStyle w:val="ListParagraph"/>
        <w:numPr>
          <w:ilvl w:val="0"/>
          <w:numId w:val="1"/>
        </w:numPr>
        <w:spacing w:after="60" w:line="300"/>
      </w:pPr>
      <w:r>
        <w:rPr>
          <w:rFonts w:ascii="Times New Roman"/>
          <w:b/>
          <w:bCs/>
          <w:color w:val="000000"/>
          <w:sz w:val="22"/>
          <w:szCs w:val="22"/>
        </w:rPr>
        <w:t xml:space="preserve">Garbage discharge categories: </w:t>
      </w:r>
      <w:r>
        <w:rPr>
          <w:rFonts w:ascii="Times New Roman"/>
          <w:color w:val="000000"/>
          <w:sz w:val="22"/>
          <w:szCs w:val="22"/>
        </w:rPr>
        <w:t xml:space="preserve">what may and may not be discharged by distance-from-nearest-land and substance category, under Annex V.</w:t>
      </w:r>
    </w:p>
    <w:p>
      <w:pPr>
        <w:pStyle w:val="Heading2"/>
        <w:spacing w:after="140" w:before="280" w:line="312"/>
      </w:pPr>
      <w:bookmarkStart w:id="100069" w:name="_Toc100069"/>
      <w:r>
        <w:rPr>
          <w:rFonts w:ascii="Times New Roman"/>
          <w:b/>
          <w:bCs/>
          <w:color w:val="0B1C2C"/>
          <w:sz w:val="28"/>
          <w:szCs w:val="28"/>
        </w:rPr>
        <w:t xml:space="preserve">Required Data</w:t>
      </w:r>
      <w:bookmarkEnd w:id="100069"/>
    </w:p>
    <w:p>
      <w:pPr>
        <w:spacing w:after="80" w:line="312"/>
        <w:ind w:firstLine="360"/>
        <w:jc w:val="both"/>
      </w:pPr>
      <w:r>
        <w:rPr>
          <w:rFonts w:ascii="Times New Roman"/>
          <w:color w:val="000000"/>
          <w:sz w:val="22"/>
          <w:szCs w:val="22"/>
        </w:rPr>
        <w:t xml:space="preserve">The following data elements must be captured to support reporting and verification:</w:t>
      </w:r>
    </w:p>
    <w:p>
      <w:pPr>
        <w:pStyle w:val="ListParagraph"/>
        <w:numPr>
          <w:ilvl w:val="0"/>
          <w:numId w:val="1"/>
        </w:numPr>
        <w:spacing w:after="60" w:line="300"/>
      </w:pPr>
      <w:r>
        <w:rPr>
          <w:rFonts w:ascii="Times New Roman"/>
          <w:color w:val="000000"/>
          <w:sz w:val="22"/>
          <w:szCs w:val="22"/>
        </w:rPr>
        <w:t xml:space="preserve">Bunker delivery notes (sulphur)   •   Oil Record Book entries   •   Garbage Record Book and receipts   •   Oily-water separator / 15-ppm monitor records   •   Engine NOx Technical File   •   IAPP / IOPP certificates and supplements</w:t>
      </w:r>
    </w:p>
    <w:p>
      <w:pPr>
        <w:pStyle w:val="Heading2"/>
        <w:spacing w:after="140" w:before="280" w:line="312"/>
      </w:pPr>
      <w:bookmarkStart w:id="100070" w:name="_Toc100070"/>
      <w:r>
        <w:rPr>
          <w:rFonts w:ascii="Times New Roman"/>
          <w:b/>
          <w:bCs/>
          <w:color w:val="0B1C2C"/>
          <w:sz w:val="28"/>
          <w:szCs w:val="28"/>
        </w:rPr>
        <w:t xml:space="preserve">Reporting Frequency</w:t>
      </w:r>
      <w:bookmarkEnd w:id="100070"/>
    </w:p>
    <w:p>
      <w:pPr>
        <w:spacing w:after="80" w:line="312"/>
        <w:ind w:firstLine="360"/>
        <w:jc w:val="both"/>
      </w:pPr>
      <w:r>
        <w:rPr>
          <w:rFonts w:ascii="Times New Roman"/>
          <w:color w:val="000000"/>
          <w:sz w:val="22"/>
          <w:szCs w:val="22"/>
        </w:rPr>
        <w:t xml:space="preserve">Continuous operational logging (record books maintained at each operation); certificate cycles vary by Annex (annual/intermediate/renewal surveys for IOPP, IAPP and others); BDNs retained for three years.</w:t>
      </w:r>
    </w:p>
    <w:p>
      <w:pPr>
        <w:pStyle w:val="Heading2"/>
        <w:spacing w:after="140" w:before="280" w:line="312"/>
      </w:pPr>
      <w:bookmarkStart w:id="100071" w:name="_Toc100071"/>
      <w:r>
        <w:rPr>
          <w:rFonts w:ascii="Times New Roman"/>
          <w:b/>
          <w:bCs/>
          <w:color w:val="0B1C2C"/>
          <w:sz w:val="28"/>
          <w:szCs w:val="28"/>
        </w:rPr>
        <w:t xml:space="preserve">Common Compliance Mistakes</w:t>
      </w:r>
      <w:bookmarkEnd w:id="100071"/>
    </w:p>
    <w:p>
      <w:pPr>
        <w:pStyle w:val="ListParagraph"/>
        <w:numPr>
          <w:ilvl w:val="0"/>
          <w:numId w:val="1"/>
        </w:numPr>
        <w:spacing w:after="60" w:line="300"/>
      </w:pPr>
      <w:r>
        <w:rPr>
          <w:rFonts w:ascii="Times New Roman"/>
          <w:color w:val="000000"/>
          <w:sz w:val="22"/>
          <w:szCs w:val="22"/>
        </w:rPr>
        <w:t xml:space="preserve">Incorrect entries (or missing entries) in the Oil Record Book, historically the most common port-State detention cause.</w:t>
      </w:r>
    </w:p>
    <w:p>
      <w:pPr>
        <w:pStyle w:val="ListParagraph"/>
        <w:numPr>
          <w:ilvl w:val="0"/>
          <w:numId w:val="1"/>
        </w:numPr>
        <w:spacing w:after="60" w:line="300"/>
      </w:pPr>
      <w:r>
        <w:rPr>
          <w:rFonts w:ascii="Times New Roman"/>
          <w:color w:val="000000"/>
          <w:sz w:val="22"/>
          <w:szCs w:val="22"/>
        </w:rPr>
        <w:t xml:space="preserve">Failing to reconcile BDN sulphur values with actual fuel, especially after bunker switchovers.</w:t>
      </w:r>
    </w:p>
    <w:p>
      <w:pPr>
        <w:pStyle w:val="ListParagraph"/>
        <w:numPr>
          <w:ilvl w:val="0"/>
          <w:numId w:val="1"/>
        </w:numPr>
        <w:spacing w:after="60" w:line="300"/>
      </w:pPr>
      <w:r>
        <w:rPr>
          <w:rFonts w:ascii="Times New Roman"/>
          <w:color w:val="000000"/>
          <w:sz w:val="22"/>
          <w:szCs w:val="22"/>
        </w:rPr>
        <w:t xml:space="preserve">Mis-applying Annex V garbage categories and discharging prohibited waste under the wrong distance rule.</w:t>
      </w:r>
    </w:p>
    <w:p>
      <w:pPr>
        <w:pStyle w:val="ListParagraph"/>
        <w:numPr>
          <w:ilvl w:val="0"/>
          <w:numId w:val="1"/>
        </w:numPr>
        <w:spacing w:after="60" w:line="300"/>
      </w:pPr>
      <w:r>
        <w:rPr>
          <w:rFonts w:ascii="Times New Roman"/>
          <w:color w:val="000000"/>
          <w:sz w:val="22"/>
          <w:szCs w:val="22"/>
        </w:rPr>
        <w:t xml:space="preserve">Letting the 15-ppm monitor be bypassed or inoperable, undoing the equipment-based discharge defence.</w:t>
      </w:r>
    </w:p>
    <w:p>
      <w:pPr>
        <w:pStyle w:val="ListParagraph"/>
        <w:numPr>
          <w:ilvl w:val="0"/>
          <w:numId w:val="1"/>
        </w:numPr>
        <w:spacing w:after="60" w:line="300"/>
      </w:pPr>
      <w:r>
        <w:rPr>
          <w:rFonts w:ascii="Times New Roman"/>
          <w:color w:val="000000"/>
          <w:sz w:val="22"/>
          <w:szCs w:val="22"/>
        </w:rPr>
        <w:t xml:space="preserve">Not updating IAPP/Annex VI documentation after changes that affect EEXI/CII or engine certification.</w:t>
      </w:r>
    </w:p>
    <w:p>
      <w:pPr>
        <w:pStyle w:val="Heading2"/>
        <w:spacing w:after="140" w:before="280" w:line="312"/>
      </w:pPr>
      <w:bookmarkStart w:id="100072" w:name="_Toc100072"/>
      <w:r>
        <w:rPr>
          <w:rFonts w:ascii="Times New Roman"/>
          <w:b/>
          <w:bCs/>
          <w:color w:val="0B1C2C"/>
          <w:sz w:val="28"/>
          <w:szCs w:val="28"/>
        </w:rPr>
        <w:t xml:space="preserve">How Software Can Automate Compliance</w:t>
      </w:r>
      <w:bookmarkEnd w:id="100072"/>
    </w:p>
    <w:p>
      <w:pPr>
        <w:spacing w:after="80" w:line="312"/>
        <w:ind w:firstLine="360"/>
        <w:jc w:val="both"/>
      </w:pPr>
      <w:r>
        <w:rPr>
          <w:rFonts w:ascii="Times New Roman"/>
          <w:color w:val="000000"/>
          <w:sz w:val="22"/>
          <w:szCs w:val="22"/>
        </w:rPr>
        <w:t xml:space="preserve">A purpose-built compliance platform materially reduces manual effort and error exposure in the following ways:</w:t>
      </w:r>
    </w:p>
    <w:p>
      <w:pPr>
        <w:pStyle w:val="ListParagraph"/>
        <w:numPr>
          <w:ilvl w:val="0"/>
          <w:numId w:val="1"/>
        </w:numPr>
        <w:spacing w:after="60" w:line="300"/>
      </w:pPr>
      <w:r>
        <w:rPr>
          <w:rFonts w:ascii="Times New Roman"/>
          <w:color w:val="000000"/>
          <w:sz w:val="22"/>
          <w:szCs w:val="22"/>
        </w:rPr>
        <w:t xml:space="preserve">Electronic record books for oil, cargo and garbage that enforce mandatory fields and prevent the classic 'missing entry' finding.</w:t>
      </w:r>
    </w:p>
    <w:p>
      <w:pPr>
        <w:pStyle w:val="ListParagraph"/>
        <w:numPr>
          <w:ilvl w:val="0"/>
          <w:numId w:val="1"/>
        </w:numPr>
        <w:spacing w:after="60" w:line="300"/>
      </w:pPr>
      <w:r>
        <w:rPr>
          <w:rFonts w:ascii="Times New Roman"/>
          <w:color w:val="000000"/>
          <w:sz w:val="22"/>
          <w:szCs w:val="22"/>
        </w:rPr>
        <w:t xml:space="preserve">BDN ingestion with automatic sulphur-content validation against the applicable cap (global and ECA), flagging non-compliant fuel.</w:t>
      </w:r>
    </w:p>
    <w:p>
      <w:pPr>
        <w:pStyle w:val="ListParagraph"/>
        <w:numPr>
          <w:ilvl w:val="0"/>
          <w:numId w:val="1"/>
        </w:numPr>
        <w:spacing w:after="60" w:line="300"/>
      </w:pPr>
      <w:r>
        <w:rPr>
          <w:rFonts w:ascii="Times New Roman"/>
          <w:color w:val="000000"/>
          <w:sz w:val="22"/>
          <w:szCs w:val="22"/>
        </w:rPr>
        <w:t xml:space="preserve">Oily-water separator run logging integrated with the 15-ppm monitor so bypasses are detected automatically.</w:t>
      </w:r>
    </w:p>
    <w:p>
      <w:pPr>
        <w:pStyle w:val="ListParagraph"/>
        <w:numPr>
          <w:ilvl w:val="0"/>
          <w:numId w:val="1"/>
        </w:numPr>
        <w:spacing w:after="60" w:line="300"/>
      </w:pPr>
      <w:r>
        <w:rPr>
          <w:rFonts w:ascii="Times New Roman"/>
          <w:color w:val="000000"/>
          <w:sz w:val="22"/>
          <w:szCs w:val="22"/>
        </w:rPr>
        <w:t xml:space="preserve">Survey and certificate calendar across all MARPOL Annexes with expiry and survey-due alerts.</w:t>
      </w:r>
    </w:p>
    <w:p>
      <w:pPr>
        <w:pStyle w:val="ListParagraph"/>
        <w:numPr>
          <w:ilvl w:val="0"/>
          <w:numId w:val="1"/>
        </w:numPr>
        <w:spacing w:after="60" w:line="300"/>
      </w:pPr>
      <w:r>
        <w:rPr>
          <w:rFonts w:ascii="Times New Roman"/>
          <w:color w:val="000000"/>
          <w:sz w:val="22"/>
          <w:szCs w:val="22"/>
        </w:rPr>
        <w:t xml:space="preserve">Central storage of Technical Files, IAPP/IOPP supplements and bunker records ready for port-State inspection.</w:t>
      </w:r>
    </w:p>
    <w:p>
      <w:pPr>
        <w:pStyle w:val="Heading1"/>
        <w:spacing w:after="200" w:before="400" w:line="312"/>
      </w:pPr>
      <w:bookmarkStart w:id="100073" w:name="_Toc100073"/>
      <w:r>
        <w:rPr>
          <w:rFonts w:ascii="Times New Roman"/>
          <w:b/>
          <w:bCs/>
          <w:color w:val="0B1C2C"/>
          <w:sz w:val="32"/>
          <w:szCs w:val="32"/>
        </w:rPr>
        <w:t xml:space="preserve">11. SOLAS (International Convention for the Safety of Life at Sea)</w:t>
      </w:r>
      <w:bookmarkEnd w:id="100073"/>
    </w:p>
    <w:p>
      <w:pPr>
        <w:spacing w:after="80" w:line="312"/>
        <w:ind w:firstLine="360"/>
        <w:jc w:val="both"/>
      </w:pPr>
      <w:r>
        <w:rPr>
          <w:rFonts w:ascii="Times New Roman"/>
          <w:color w:val="000000"/>
          <w:sz w:val="22"/>
          <w:szCs w:val="22"/>
        </w:rPr>
        <w:t xml:space="preserve">SOLAS is the most important of the international treaties concerning ship safety. First adopted in 1914 in the wake of the Titanic disaster, the version in force today is the 1974 Convention (as amended), covering construction, subdivision and stability, machinery, fire protection, life-saving appliances, radiocommunications, navigation, carriage of cargoes and dangerous goods, nuclear ships, and management/operations.</w:t>
      </w:r>
    </w:p>
    <w:p>
      <w:pPr>
        <w:pStyle w:val="Heading2"/>
        <w:spacing w:after="140" w:before="280" w:line="312"/>
      </w:pPr>
      <w:bookmarkStart w:id="100074" w:name="_Toc100074"/>
      <w:r>
        <w:rPr>
          <w:rFonts w:ascii="Times New Roman"/>
          <w:b/>
          <w:bCs/>
          <w:color w:val="0B1C2C"/>
          <w:sz w:val="28"/>
          <w:szCs w:val="28"/>
        </w:rPr>
        <w:t xml:space="preserve">Purpose</w:t>
      </w:r>
      <w:bookmarkEnd w:id="100074"/>
    </w:p>
    <w:p>
      <w:pPr>
        <w:spacing w:after="80" w:line="312"/>
        <w:ind w:firstLine="360"/>
        <w:jc w:val="both"/>
      </w:pPr>
      <w:r>
        <w:rPr>
          <w:rFonts w:ascii="Times New Roman"/>
          <w:color w:val="000000"/>
          <w:sz w:val="22"/>
          <w:szCs w:val="22"/>
        </w:rPr>
        <w:t xml:space="preserve">SOLAS exists to specify minimum standards for the construction, equipment and operation of ships, so that human life at sea is protected. Its requirements are enforced by flag States (certification) and port States (inspection) and are continuously updated to address new risks.</w:t>
      </w:r>
    </w:p>
    <w:p>
      <w:pPr>
        <w:pStyle w:val="Heading2"/>
        <w:spacing w:after="140" w:before="280" w:line="312"/>
      </w:pPr>
      <w:bookmarkStart w:id="100075" w:name="_Toc100075"/>
      <w:r>
        <w:rPr>
          <w:rFonts w:ascii="Times New Roman"/>
          <w:b/>
          <w:bCs/>
          <w:color w:val="0B1C2C"/>
          <w:sz w:val="28"/>
          <w:szCs w:val="28"/>
        </w:rPr>
        <w:t xml:space="preserve">Required Documents</w:t>
      </w:r>
      <w:bookmarkEnd w:id="100075"/>
    </w:p>
    <w:p>
      <w:pPr>
        <w:spacing w:after="80" w:line="312"/>
        <w:ind w:firstLine="360"/>
        <w:jc w:val="both"/>
      </w:pPr>
      <w:r>
        <w:rPr>
          <w:rFonts w:ascii="Times New Roman"/>
          <w:color w:val="000000"/>
          <w:sz w:val="22"/>
          <w:szCs w:val="22"/>
        </w:rPr>
        <w:t xml:space="preserve">The following documents form the core compliance evidence set for this regulation:</w:t>
      </w:r>
    </w:p>
    <w:p>
      <w:pPr>
        <w:pStyle w:val="ListParagraph"/>
        <w:numPr>
          <w:ilvl w:val="0"/>
          <w:numId w:val="1"/>
        </w:numPr>
        <w:spacing w:after="60" w:line="300"/>
      </w:pPr>
      <w:r>
        <w:rPr>
          <w:rFonts w:ascii="Times New Roman"/>
          <w:b/>
          <w:bCs/>
          <w:color w:val="000000"/>
          <w:sz w:val="22"/>
          <w:szCs w:val="22"/>
        </w:rPr>
        <w:t xml:space="preserve">Class and statutory certificates: </w:t>
      </w:r>
      <w:r>
        <w:rPr>
          <w:rFonts w:ascii="Times New Roman"/>
          <w:color w:val="000000"/>
          <w:sz w:val="22"/>
          <w:szCs w:val="22"/>
        </w:rPr>
        <w:t xml:space="preserve">Cargo Ship Safety Construction, Equipment and Radio Certificates (with Record of Equipment), Passenger Ship Safety Certificate, and others as applicable.</w:t>
      </w:r>
    </w:p>
    <w:p>
      <w:pPr>
        <w:pStyle w:val="ListParagraph"/>
        <w:numPr>
          <w:ilvl w:val="0"/>
          <w:numId w:val="1"/>
        </w:numPr>
        <w:spacing w:after="60" w:line="300"/>
      </w:pPr>
      <w:r>
        <w:rPr>
          <w:rFonts w:ascii="Times New Roman"/>
          <w:b/>
          <w:bCs/>
          <w:color w:val="000000"/>
          <w:sz w:val="22"/>
          <w:szCs w:val="22"/>
        </w:rPr>
        <w:t xml:space="preserve">Stability and loading information: </w:t>
      </w:r>
      <w:r>
        <w:rPr>
          <w:rFonts w:ascii="Times New Roman"/>
          <w:color w:val="000000"/>
          <w:sz w:val="22"/>
          <w:szCs w:val="22"/>
        </w:rPr>
        <w:t xml:space="preserve">approved stability booklet, loading instruments and damage-survival information.</w:t>
      </w:r>
    </w:p>
    <w:p>
      <w:pPr>
        <w:pStyle w:val="ListParagraph"/>
        <w:numPr>
          <w:ilvl w:val="0"/>
          <w:numId w:val="1"/>
        </w:numPr>
        <w:spacing w:after="60" w:line="300"/>
      </w:pPr>
      <w:r>
        <w:rPr>
          <w:rFonts w:ascii="Times New Roman"/>
          <w:b/>
          <w:bCs/>
          <w:color w:val="000000"/>
          <w:sz w:val="22"/>
          <w:szCs w:val="22"/>
        </w:rPr>
        <w:t xml:space="preserve">Lifesaving and fire-control plans: </w:t>
      </w:r>
      <w:r>
        <w:rPr>
          <w:rFonts w:ascii="Times New Roman"/>
          <w:color w:val="000000"/>
          <w:sz w:val="22"/>
          <w:szCs w:val="22"/>
        </w:rPr>
        <w:t xml:space="preserve">carried on board and kept current with the ship's arrangement.</w:t>
      </w:r>
    </w:p>
    <w:p>
      <w:pPr>
        <w:pStyle w:val="ListParagraph"/>
        <w:numPr>
          <w:ilvl w:val="0"/>
          <w:numId w:val="1"/>
        </w:numPr>
        <w:spacing w:after="60" w:line="300"/>
      </w:pPr>
      <w:r>
        <w:rPr>
          <w:rFonts w:ascii="Times New Roman"/>
          <w:b/>
          <w:bCs/>
          <w:color w:val="000000"/>
          <w:sz w:val="22"/>
          <w:szCs w:val="22"/>
        </w:rPr>
        <w:t xml:space="preserve">Navigational and GMDSS records: </w:t>
      </w:r>
      <w:r>
        <w:rPr>
          <w:rFonts w:ascii="Times New Roman"/>
          <w:color w:val="000000"/>
          <w:sz w:val="22"/>
          <w:szCs w:val="22"/>
        </w:rPr>
        <w:t xml:space="preserve">logbook entries, voyage data recorder (VDR), AIS, and communications records.</w:t>
      </w:r>
    </w:p>
    <w:p>
      <w:pPr>
        <w:pStyle w:val="ListParagraph"/>
        <w:numPr>
          <w:ilvl w:val="0"/>
          <w:numId w:val="1"/>
        </w:numPr>
        <w:spacing w:after="60" w:line="300"/>
      </w:pPr>
      <w:r>
        <w:rPr>
          <w:rFonts w:ascii="Times New Roman"/>
          <w:b/>
          <w:bCs/>
          <w:color w:val="000000"/>
          <w:sz w:val="22"/>
          <w:szCs w:val="22"/>
        </w:rPr>
        <w:t xml:space="preserve">Safety Management Certificate (link to ISM): </w:t>
      </w:r>
      <w:r>
        <w:rPr>
          <w:rFonts w:ascii="Times New Roman"/>
          <w:color w:val="000000"/>
          <w:sz w:val="22"/>
          <w:szCs w:val="22"/>
        </w:rPr>
        <w:t xml:space="preserve">the operational safety overlay on SOLAS's technical requirements.</w:t>
      </w:r>
    </w:p>
    <w:p>
      <w:pPr>
        <w:pStyle w:val="Heading2"/>
        <w:spacing w:after="140" w:before="280" w:line="312"/>
      </w:pPr>
      <w:bookmarkStart w:id="100076" w:name="_Toc100076"/>
      <w:r>
        <w:rPr>
          <w:rFonts w:ascii="Times New Roman"/>
          <w:b/>
          <w:bCs/>
          <w:color w:val="0B1C2C"/>
          <w:sz w:val="28"/>
          <w:szCs w:val="28"/>
        </w:rPr>
        <w:t xml:space="preserve">Required Calculations</w:t>
      </w:r>
      <w:bookmarkEnd w:id="100076"/>
    </w:p>
    <w:p>
      <w:pPr>
        <w:spacing w:after="80" w:line="312"/>
        <w:ind w:firstLine="360"/>
        <w:jc w:val="both"/>
      </w:pPr>
      <w:r>
        <w:rPr>
          <w:rFonts w:ascii="Times New Roman"/>
          <w:color w:val="000000"/>
          <w:sz w:val="22"/>
          <w:szCs w:val="22"/>
        </w:rPr>
        <w:t xml:space="preserve">Compliance depends on the following quantitative determinations:</w:t>
      </w:r>
    </w:p>
    <w:p>
      <w:pPr>
        <w:pStyle w:val="ListParagraph"/>
        <w:numPr>
          <w:ilvl w:val="0"/>
          <w:numId w:val="1"/>
        </w:numPr>
        <w:spacing w:after="60" w:line="300"/>
      </w:pPr>
      <w:r>
        <w:rPr>
          <w:rFonts w:ascii="Times New Roman"/>
          <w:b/>
          <w:bCs/>
          <w:color w:val="000000"/>
          <w:sz w:val="22"/>
          <w:szCs w:val="22"/>
        </w:rPr>
        <w:t xml:space="preserve">Stability and load-line margins: </w:t>
      </w:r>
      <w:r>
        <w:rPr>
          <w:rFonts w:ascii="Times New Roman"/>
          <w:color w:val="000000"/>
          <w:sz w:val="22"/>
          <w:szCs w:val="22"/>
        </w:rPr>
        <w:t xml:space="preserve">intact and damage-stability criteria, freeboard, and the effect of loading on each.</w:t>
      </w:r>
    </w:p>
    <w:p>
      <w:pPr>
        <w:pStyle w:val="ListParagraph"/>
        <w:numPr>
          <w:ilvl w:val="0"/>
          <w:numId w:val="1"/>
        </w:numPr>
        <w:spacing w:after="60" w:line="300"/>
      </w:pPr>
      <w:r>
        <w:rPr>
          <w:rFonts w:ascii="Times New Roman"/>
          <w:b/>
          <w:bCs/>
          <w:color w:val="000000"/>
          <w:sz w:val="22"/>
          <w:szCs w:val="22"/>
        </w:rPr>
        <w:t xml:space="preserve">Equipment and survival capability: </w:t>
      </w:r>
      <w:r>
        <w:rPr>
          <w:rFonts w:ascii="Times New Roman"/>
          <w:color w:val="000000"/>
          <w:sz w:val="22"/>
          <w:szCs w:val="22"/>
        </w:rPr>
        <w:t xml:space="preserve">lifeboat/rescue-boat capacity, davit loads, and fire-main/extinguishing sizing against SOLAS formulas.</w:t>
      </w:r>
    </w:p>
    <w:p>
      <w:pPr>
        <w:pStyle w:val="ListParagraph"/>
        <w:numPr>
          <w:ilvl w:val="0"/>
          <w:numId w:val="1"/>
        </w:numPr>
        <w:spacing w:after="60" w:line="300"/>
      </w:pPr>
      <w:r>
        <w:rPr>
          <w:rFonts w:ascii="Times New Roman"/>
          <w:b/>
          <w:bCs/>
          <w:color w:val="000000"/>
          <w:sz w:val="22"/>
          <w:szCs w:val="22"/>
        </w:rPr>
        <w:t xml:space="preserve">Survey intervals and condition: </w:t>
      </w:r>
      <w:r>
        <w:rPr>
          <w:rFonts w:ascii="Times New Roman"/>
          <w:color w:val="000000"/>
          <w:sz w:val="22"/>
          <w:szCs w:val="22"/>
        </w:rPr>
        <w:t xml:space="preserve">annual/intermediate/periodical/renewal survey cycles that quantify the ship's continued fitness.</w:t>
      </w:r>
    </w:p>
    <w:p>
      <w:pPr>
        <w:pStyle w:val="ListParagraph"/>
        <w:numPr>
          <w:ilvl w:val="0"/>
          <w:numId w:val="1"/>
        </w:numPr>
        <w:spacing w:after="60" w:line="300"/>
      </w:pPr>
      <w:r>
        <w:rPr>
          <w:rFonts w:ascii="Times New Roman"/>
          <w:b/>
          <w:bCs/>
          <w:color w:val="000000"/>
          <w:sz w:val="22"/>
          <w:szCs w:val="22"/>
        </w:rPr>
        <w:t xml:space="preserve">Carriage requirements: </w:t>
      </w:r>
      <w:r>
        <w:rPr>
          <w:rFonts w:ascii="Times New Roman"/>
          <w:color w:val="000000"/>
          <w:sz w:val="22"/>
          <w:szCs w:val="22"/>
        </w:rPr>
        <w:t xml:space="preserve">number, type and placement of life-saving and fire appliances per person on board and ship length/trade.</w:t>
      </w:r>
    </w:p>
    <w:p>
      <w:pPr>
        <w:pStyle w:val="Heading2"/>
        <w:spacing w:after="140" w:before="280" w:line="312"/>
      </w:pPr>
      <w:bookmarkStart w:id="100077" w:name="_Toc100077"/>
      <w:r>
        <w:rPr>
          <w:rFonts w:ascii="Times New Roman"/>
          <w:b/>
          <w:bCs/>
          <w:color w:val="0B1C2C"/>
          <w:sz w:val="28"/>
          <w:szCs w:val="28"/>
        </w:rPr>
        <w:t xml:space="preserve">Required Data</w:t>
      </w:r>
      <w:bookmarkEnd w:id="100077"/>
    </w:p>
    <w:p>
      <w:pPr>
        <w:spacing w:after="80" w:line="312"/>
        <w:ind w:firstLine="360"/>
        <w:jc w:val="both"/>
      </w:pPr>
      <w:r>
        <w:rPr>
          <w:rFonts w:ascii="Times New Roman"/>
          <w:color w:val="000000"/>
          <w:sz w:val="22"/>
          <w:szCs w:val="22"/>
        </w:rPr>
        <w:t xml:space="preserve">The following data elements must be captured to support reporting and verification:</w:t>
      </w:r>
    </w:p>
    <w:p>
      <w:pPr>
        <w:pStyle w:val="ListParagraph"/>
        <w:numPr>
          <w:ilvl w:val="0"/>
          <w:numId w:val="1"/>
        </w:numPr>
        <w:spacing w:after="60" w:line="300"/>
      </w:pPr>
      <w:r>
        <w:rPr>
          <w:rFonts w:ascii="Times New Roman"/>
          <w:color w:val="000000"/>
          <w:sz w:val="22"/>
          <w:szCs w:val="22"/>
        </w:rPr>
        <w:t xml:space="preserve">Approved plans (general arrangement, fire control, lifesaving)   •   Stability booklet and loading-computer output   •   Survey and certificate status   •   Deficiency and detention records (PSC)   •   Maintenance records for safety equipment   •   GMDSS and navigation equipment records</w:t>
      </w:r>
    </w:p>
    <w:p>
      <w:pPr>
        <w:pStyle w:val="Heading2"/>
        <w:spacing w:after="140" w:before="280" w:line="312"/>
      </w:pPr>
      <w:bookmarkStart w:id="100078" w:name="_Toc100078"/>
      <w:r>
        <w:rPr>
          <w:rFonts w:ascii="Times New Roman"/>
          <w:b/>
          <w:bCs/>
          <w:color w:val="0B1C2C"/>
          <w:sz w:val="28"/>
          <w:szCs w:val="28"/>
        </w:rPr>
        <w:t xml:space="preserve">Reporting Frequency</w:t>
      </w:r>
      <w:bookmarkEnd w:id="100078"/>
    </w:p>
    <w:p>
      <w:pPr>
        <w:spacing w:after="80" w:line="312"/>
        <w:ind w:firstLine="360"/>
        <w:jc w:val="both"/>
      </w:pPr>
      <w:r>
        <w:rPr>
          <w:rFonts w:ascii="Times New Roman"/>
          <w:color w:val="000000"/>
          <w:sz w:val="22"/>
          <w:szCs w:val="22"/>
        </w:rPr>
        <w:t xml:space="preserve">Continuous certification: harmonised system of surveys (HSSC) with annual, intermediate, periodical and renewal surveys across the relevant certificates (typically a five-year cycle with intermediate at 2–3 years); port-State inspection is risk-based and can occur any call.</w:t>
      </w:r>
    </w:p>
    <w:p>
      <w:pPr>
        <w:pStyle w:val="Heading2"/>
        <w:spacing w:after="140" w:before="280" w:line="312"/>
      </w:pPr>
      <w:bookmarkStart w:id="100079" w:name="_Toc100079"/>
      <w:r>
        <w:rPr>
          <w:rFonts w:ascii="Times New Roman"/>
          <w:b/>
          <w:bCs/>
          <w:color w:val="0B1C2C"/>
          <w:sz w:val="28"/>
          <w:szCs w:val="28"/>
        </w:rPr>
        <w:t xml:space="preserve">Common Compliance Mistakes</w:t>
      </w:r>
      <w:bookmarkEnd w:id="100079"/>
    </w:p>
    <w:p>
      <w:pPr>
        <w:pStyle w:val="ListParagraph"/>
        <w:numPr>
          <w:ilvl w:val="0"/>
          <w:numId w:val="1"/>
        </w:numPr>
        <w:spacing w:after="60" w:line="300"/>
      </w:pPr>
      <w:r>
        <w:rPr>
          <w:rFonts w:ascii="Times New Roman"/>
          <w:color w:val="000000"/>
          <w:sz w:val="22"/>
          <w:szCs w:val="22"/>
        </w:rPr>
        <w:t xml:space="preserve">Letting certificates expire or surveys fall outside their window, triggering port-State detention.</w:t>
      </w:r>
    </w:p>
    <w:p>
      <w:pPr>
        <w:pStyle w:val="ListParagraph"/>
        <w:numPr>
          <w:ilvl w:val="0"/>
          <w:numId w:val="1"/>
        </w:numPr>
        <w:spacing w:after="60" w:line="300"/>
      </w:pPr>
      <w:r>
        <w:rPr>
          <w:rFonts w:ascii="Times New Roman"/>
          <w:color w:val="000000"/>
          <w:sz w:val="22"/>
          <w:szCs w:val="22"/>
        </w:rPr>
        <w:t xml:space="preserve">Operating the loading computer without a current, approved version, or deviating from approved loading.</w:t>
      </w:r>
    </w:p>
    <w:p>
      <w:pPr>
        <w:pStyle w:val="ListParagraph"/>
        <w:numPr>
          <w:ilvl w:val="0"/>
          <w:numId w:val="1"/>
        </w:numPr>
        <w:spacing w:after="60" w:line="300"/>
      </w:pPr>
      <w:r>
        <w:rPr>
          <w:rFonts w:ascii="Times New Roman"/>
          <w:color w:val="000000"/>
          <w:sz w:val="22"/>
          <w:szCs w:val="22"/>
        </w:rPr>
        <w:t xml:space="preserve">Carrying out equipment or structural changes without re-approval, invalidating the certificate basis.</w:t>
      </w:r>
    </w:p>
    <w:p>
      <w:pPr>
        <w:pStyle w:val="ListParagraph"/>
        <w:numPr>
          <w:ilvl w:val="0"/>
          <w:numId w:val="1"/>
        </w:numPr>
        <w:spacing w:after="60" w:line="300"/>
      </w:pPr>
      <w:r>
        <w:rPr>
          <w:rFonts w:ascii="Times New Roman"/>
          <w:color w:val="000000"/>
          <w:sz w:val="22"/>
          <w:szCs w:val="22"/>
        </w:rPr>
        <w:t xml:space="preserve">Under-maintaining life-saving and fire appliances, evidenced at drill or inspection as inoperative equipment.</w:t>
      </w:r>
    </w:p>
    <w:p>
      <w:pPr>
        <w:pStyle w:val="ListParagraph"/>
        <w:numPr>
          <w:ilvl w:val="0"/>
          <w:numId w:val="1"/>
        </w:numPr>
        <w:spacing w:after="60" w:line="300"/>
      </w:pPr>
      <w:r>
        <w:rPr>
          <w:rFonts w:ascii="Times New Roman"/>
          <w:color w:val="000000"/>
          <w:sz w:val="22"/>
          <w:szCs w:val="22"/>
        </w:rPr>
        <w:t xml:space="preserve">Overlooking the ISM/SOLAS interface, where an SMS failure can cascade into a SOLAS deficiency.</w:t>
      </w:r>
    </w:p>
    <w:p>
      <w:pPr>
        <w:pStyle w:val="Heading2"/>
        <w:spacing w:after="140" w:before="280" w:line="312"/>
      </w:pPr>
      <w:bookmarkStart w:id="100080" w:name="_Toc100080"/>
      <w:r>
        <w:rPr>
          <w:rFonts w:ascii="Times New Roman"/>
          <w:b/>
          <w:bCs/>
          <w:color w:val="0B1C2C"/>
          <w:sz w:val="28"/>
          <w:szCs w:val="28"/>
        </w:rPr>
        <w:t xml:space="preserve">How Software Can Automate Compliance</w:t>
      </w:r>
      <w:bookmarkEnd w:id="100080"/>
    </w:p>
    <w:p>
      <w:pPr>
        <w:spacing w:after="80" w:line="312"/>
        <w:ind w:firstLine="360"/>
        <w:jc w:val="both"/>
      </w:pPr>
      <w:r>
        <w:rPr>
          <w:rFonts w:ascii="Times New Roman"/>
          <w:color w:val="000000"/>
          <w:sz w:val="22"/>
          <w:szCs w:val="22"/>
        </w:rPr>
        <w:t xml:space="preserve">A purpose-built compliance platform materially reduces manual effort and error exposure in the following ways:</w:t>
      </w:r>
    </w:p>
    <w:p>
      <w:pPr>
        <w:pStyle w:val="ListParagraph"/>
        <w:numPr>
          <w:ilvl w:val="0"/>
          <w:numId w:val="1"/>
        </w:numPr>
        <w:spacing w:after="60" w:line="300"/>
      </w:pPr>
      <w:r>
        <w:rPr>
          <w:rFonts w:ascii="Times New Roman"/>
          <w:color w:val="000000"/>
          <w:sz w:val="22"/>
          <w:szCs w:val="22"/>
        </w:rPr>
        <w:t xml:space="preserve">A unified certificate and survey calendar across construction, equipment, radio and SOLAS-linked instruments, with escalating expiry alerts.</w:t>
      </w:r>
    </w:p>
    <w:p>
      <w:pPr>
        <w:pStyle w:val="ListParagraph"/>
        <w:numPr>
          <w:ilvl w:val="0"/>
          <w:numId w:val="1"/>
        </w:numPr>
        <w:spacing w:after="60" w:line="300"/>
      </w:pPr>
      <w:r>
        <w:rPr>
          <w:rFonts w:ascii="Times New Roman"/>
          <w:color w:val="000000"/>
          <w:sz w:val="22"/>
          <w:szCs w:val="22"/>
        </w:rPr>
        <w:t xml:space="preserve">Approved-plan vaulting with version control so only the current fire-control/lifesaving/stability documents are referenced.</w:t>
      </w:r>
    </w:p>
    <w:p>
      <w:pPr>
        <w:pStyle w:val="ListParagraph"/>
        <w:numPr>
          <w:ilvl w:val="0"/>
          <w:numId w:val="1"/>
        </w:numPr>
        <w:spacing w:after="60" w:line="300"/>
      </w:pPr>
      <w:r>
        <w:rPr>
          <w:rFonts w:ascii="Times New Roman"/>
          <w:color w:val="000000"/>
          <w:sz w:val="22"/>
          <w:szCs w:val="22"/>
        </w:rPr>
        <w:t xml:space="preserve">Loading-computer data capture that flags operations outside approved envelopes.</w:t>
      </w:r>
    </w:p>
    <w:p>
      <w:pPr>
        <w:pStyle w:val="ListParagraph"/>
        <w:numPr>
          <w:ilvl w:val="0"/>
          <w:numId w:val="1"/>
        </w:numPr>
        <w:spacing w:after="60" w:line="300"/>
      </w:pPr>
      <w:r>
        <w:rPr>
          <w:rFonts w:ascii="Times New Roman"/>
          <w:color w:val="000000"/>
          <w:sz w:val="22"/>
          <w:szCs w:val="22"/>
        </w:rPr>
        <w:t xml:space="preserve">PSC-deficiency tracking with corrective-action workflow and trend analysis to target high-risk equipment.</w:t>
      </w:r>
    </w:p>
    <w:p>
      <w:pPr>
        <w:pStyle w:val="ListParagraph"/>
        <w:numPr>
          <w:ilvl w:val="0"/>
          <w:numId w:val="1"/>
        </w:numPr>
        <w:spacing w:after="60" w:line="300"/>
      </w:pPr>
      <w:r>
        <w:rPr>
          <w:rFonts w:ascii="Times New Roman"/>
          <w:color w:val="000000"/>
          <w:sz w:val="22"/>
          <w:szCs w:val="22"/>
        </w:rPr>
        <w:t xml:space="preserve">Maintenance integration for life-saving and fire appliances so inoperative equipment is caught before inspection.</w:t>
      </w:r>
    </w:p>
    <w:p>
      <w:pPr>
        <w:pStyle w:val="Heading1"/>
        <w:spacing w:after="200" w:before="400" w:line="312"/>
      </w:pPr>
      <w:bookmarkStart w:id="100081" w:name="_Toc100081"/>
      <w:r>
        <w:rPr>
          <w:rFonts w:ascii="Times New Roman"/>
          <w:b/>
          <w:bCs/>
          <w:color w:val="0B1C2C"/>
          <w:sz w:val="32"/>
          <w:szCs w:val="32"/>
        </w:rPr>
        <w:t xml:space="preserve">12. Cross-Regulation Analysis and Software Automation</w:t>
      </w:r>
      <w:bookmarkEnd w:id="100081"/>
    </w:p>
    <w:p>
      <w:pPr>
        <w:spacing w:after="80" w:line="312"/>
        <w:ind w:firstLine="360"/>
        <w:jc w:val="both"/>
      </w:pPr>
      <w:r>
        <w:rPr>
          <w:rFonts w:ascii="Times New Roman"/>
          <w:color w:val="000000"/>
          <w:sz w:val="22"/>
          <w:szCs w:val="22"/>
        </w:rPr>
        <w:t xml:space="preserve">Treated in isolation, each of the preceding instruments looks manageable. Treated together — as a fleet operator must — they reveal a single, shared data layer and a set of overlapping obligations whose efficient handling is the main determinant of compliance cost. This chapter consolidates those overlaps and sets out the architecture of a compliance platform that addresses all ten instruments at once.</w:t>
      </w:r>
    </w:p>
    <w:p>
      <w:pPr>
        <w:pStyle w:val="Heading2"/>
        <w:spacing w:after="140" w:before="280" w:line="312"/>
      </w:pPr>
      <w:bookmarkStart w:id="100082" w:name="_Toc100082"/>
      <w:r>
        <w:rPr>
          <w:rFonts w:ascii="Times New Roman"/>
          <w:b/>
          <w:bCs/>
          <w:color w:val="0B1C2C"/>
          <w:sz w:val="28"/>
          <w:szCs w:val="28"/>
        </w:rPr>
        <w:t xml:space="preserve">12.1 The Shared Data Layer</w:t>
      </w:r>
      <w:bookmarkEnd w:id="100082"/>
    </w:p>
    <w:p>
      <w:pPr>
        <w:spacing w:after="80" w:line="312"/>
        <w:ind w:firstLine="360"/>
        <w:jc w:val="both"/>
      </w:pPr>
      <w:r>
        <w:rPr>
          <w:rFonts w:ascii="Times New Roman"/>
          <w:color w:val="000000"/>
          <w:sz w:val="22"/>
          <w:szCs w:val="22"/>
        </w:rPr>
        <w:t xml:space="preserve">Five data streams underpin almost every instrument: bunker delivery and consumption, voyage and distance, cargo and capacity, equipment and certificate status, and management-system records (audits, drills, non-conformities). Capturing these once, in a verified form, and re-using them across instruments eliminates the duplicated effort and inconsistency that produce most findings.</w:t>
      </w:r>
    </w:p>
    <w:p>
      <w:pPr>
        <w:keepNext/>
        <w:spacing w:after="80" w:before="160" w:line="300"/>
        <w:jc w:val="left"/>
      </w:pPr>
      <w:r>
        <w:rPr>
          <w:rFonts w:ascii="Times New Roman"/>
          <w:b/>
          <w:bCs/>
          <w:color w:val="506070"/>
          <w:sz w:val="20"/>
          <w:szCs w:val="20"/>
        </w:rPr>
        <w:t xml:space="preserve">Table 2: Mapping of shared data to the instruments that consume it</w:t>
      </w:r>
    </w:p>
    <w:tbl>
      <w:tblPr>
        <w:tblW w:type="pct" w:w="100%"/>
        <w:tblBorders>
          <w:top w:val="single" w:color="0B1C2C" w:sz="4"/>
          <w:left w:val="none"/>
          <w:bottom w:val="single" w:color="0B1C2C" w:sz="4"/>
          <w:right w:val="none"/>
          <w:insideH w:val="single" w:color="C4D2CE" w:sz="1"/>
          <w:insideV w:val="none"/>
        </w:tblBorders>
        <w:tblLayout w:type="fixed"/>
      </w:tblPr>
      <w:tblGrid>
        <w:gridCol w:w="100"/>
        <w:gridCol w:w="100"/>
      </w:tblGrid>
      <w:tr>
        <w:trPr>
          <w:cantSplit/>
          <w:tblHeader/>
        </w:trPr>
        <w:tc>
          <w:tcPr>
            <w:tcW w:type="pct" w:w="34%"/>
            <w:shd w:fill="2A6B5E" w:val="clear"/>
            <w:tcMar>
              <w:top w:type="dxa" w:w="80"/>
              <w:left w:type="dxa" w:w="120"/>
              <w:bottom w:type="dxa" w:w="80"/>
              <w:right w:type="dxa" w:w="120"/>
            </w:tcMar>
          </w:tcPr>
          <w:p>
            <w:pPr>
              <w:spacing w:line="280"/>
            </w:pPr>
            <w:r>
              <w:rPr>
                <w:rFonts w:ascii="Times New Roman"/>
                <w:b/>
                <w:bCs/>
                <w:color w:val="FFFFFF"/>
                <w:sz w:val="20"/>
                <w:szCs w:val="20"/>
              </w:rPr>
              <w:t xml:space="preserve">Data stream</w:t>
            </w:r>
          </w:p>
        </w:tc>
        <w:tc>
          <w:tcPr>
            <w:tcW w:type="pct" w:w="66%"/>
            <w:shd w:fill="2A6B5E" w:val="clear"/>
            <w:tcMar>
              <w:top w:type="dxa" w:w="80"/>
              <w:left w:type="dxa" w:w="120"/>
              <w:bottom w:type="dxa" w:w="80"/>
              <w:right w:type="dxa" w:w="120"/>
            </w:tcMar>
          </w:tcPr>
          <w:p>
            <w:pPr>
              <w:spacing w:line="280"/>
            </w:pPr>
            <w:r>
              <w:rPr>
                <w:rFonts w:ascii="Times New Roman"/>
                <w:b/>
                <w:bCs/>
                <w:color w:val="FFFFFF"/>
                <w:sz w:val="20"/>
                <w:szCs w:val="20"/>
              </w:rPr>
              <w:t xml:space="preserve">Primary consumer instruments</w:t>
            </w:r>
          </w:p>
        </w:tc>
      </w:tr>
      <w:tr>
        <w:trPr>
          <w:cantSplit/>
        </w:trPr>
        <w:tc>
          <w:tcPr>
            <w:tcW w:type="pct" w:w="34%"/>
            <w:shd w:fill="EAF0EE" w:val="clear"/>
            <w:tcMar>
              <w:top w:type="dxa" w:w="70"/>
              <w:left w:type="dxa" w:w="120"/>
              <w:bottom w:type="dxa" w:w="70"/>
              <w:right w:type="dxa" w:w="120"/>
            </w:tcMar>
          </w:tcPr>
          <w:p>
            <w:pPr>
              <w:spacing w:after="0" w:line="276"/>
            </w:pPr>
            <w:r>
              <w:rPr>
                <w:rFonts w:ascii="Times New Roman"/>
                <w:color w:val="000000"/>
                <w:sz w:val="19"/>
                <w:szCs w:val="19"/>
              </w:rPr>
              <w:t xml:space="preserve">Fuel consumption (by type)</w:t>
            </w:r>
          </w:p>
        </w:tc>
        <w:tc>
          <w:tcPr>
            <w:tcW w:type="pct" w:w="66%"/>
            <w:shd w:fill="EAF0EE" w:val="clear"/>
            <w:tcMar>
              <w:top w:type="dxa" w:w="70"/>
              <w:left w:type="dxa" w:w="120"/>
              <w:bottom w:type="dxa" w:w="70"/>
              <w:right w:type="dxa" w:w="120"/>
            </w:tcMar>
          </w:tcPr>
          <w:p>
            <w:pPr>
              <w:spacing w:after="0" w:line="276"/>
            </w:pPr>
            <w:r>
              <w:rPr>
                <w:rFonts w:ascii="Times New Roman"/>
                <w:color w:val="000000"/>
                <w:sz w:val="19"/>
                <w:szCs w:val="19"/>
              </w:rPr>
              <w:t xml:space="preserve">IMO DCS, EU MRV, EU ETS, FuelEU, CII, MARPOL VI</w:t>
            </w:r>
          </w:p>
        </w:tc>
      </w:tr>
      <w:tr>
        <w:trPr>
          <w:cantSplit/>
        </w:trPr>
        <w:tc>
          <w:tcPr>
            <w:tcW w:type="pct" w:w="34%"/>
            <w:shd w:fill="FFFFFF" w:val="clear"/>
            <w:tcMar>
              <w:top w:type="dxa" w:w="70"/>
              <w:left w:type="dxa" w:w="120"/>
              <w:bottom w:type="dxa" w:w="70"/>
              <w:right w:type="dxa" w:w="120"/>
            </w:tcMar>
          </w:tcPr>
          <w:p>
            <w:pPr>
              <w:spacing w:after="0" w:line="276"/>
            </w:pPr>
            <w:r>
              <w:rPr>
                <w:rFonts w:ascii="Times New Roman"/>
                <w:color w:val="000000"/>
                <w:sz w:val="19"/>
                <w:szCs w:val="19"/>
              </w:rPr>
              <w:t xml:space="preserve">Voyage / distance / hours underway</w:t>
            </w:r>
          </w:p>
        </w:tc>
        <w:tc>
          <w:tcPr>
            <w:tcW w:type="pct" w:w="66%"/>
            <w:shd w:fill="FFFFFF" w:val="clear"/>
            <w:tcMar>
              <w:top w:type="dxa" w:w="70"/>
              <w:left w:type="dxa" w:w="120"/>
              <w:bottom w:type="dxa" w:w="70"/>
              <w:right w:type="dxa" w:w="120"/>
            </w:tcMar>
          </w:tcPr>
          <w:p>
            <w:pPr>
              <w:spacing w:after="0" w:line="276"/>
            </w:pPr>
            <w:r>
              <w:rPr>
                <w:rFonts w:ascii="Times New Roman"/>
                <w:color w:val="000000"/>
                <w:sz w:val="19"/>
                <w:szCs w:val="19"/>
              </w:rPr>
              <w:t xml:space="preserve">IMO DCS, EU MRV, EU ETS, FuelEU, CII</w:t>
            </w:r>
          </w:p>
        </w:tc>
      </w:tr>
      <w:tr>
        <w:trPr>
          <w:cantSplit/>
        </w:trPr>
        <w:tc>
          <w:tcPr>
            <w:tcW w:type="pct" w:w="34%"/>
            <w:shd w:fill="EAF0EE" w:val="clear"/>
            <w:tcMar>
              <w:top w:type="dxa" w:w="70"/>
              <w:left w:type="dxa" w:w="120"/>
              <w:bottom w:type="dxa" w:w="70"/>
              <w:right w:type="dxa" w:w="120"/>
            </w:tcMar>
          </w:tcPr>
          <w:p>
            <w:pPr>
              <w:spacing w:after="0" w:line="276"/>
            </w:pPr>
            <w:r>
              <w:rPr>
                <w:rFonts w:ascii="Times New Roman"/>
                <w:color w:val="000000"/>
                <w:sz w:val="19"/>
                <w:szCs w:val="19"/>
              </w:rPr>
              <w:t xml:space="preserve">Cargo / capacity / transport work</w:t>
            </w:r>
          </w:p>
        </w:tc>
        <w:tc>
          <w:tcPr>
            <w:tcW w:type="pct" w:w="66%"/>
            <w:shd w:fill="EAF0EE" w:val="clear"/>
            <w:tcMar>
              <w:top w:type="dxa" w:w="70"/>
              <w:left w:type="dxa" w:w="120"/>
              <w:bottom w:type="dxa" w:w="70"/>
              <w:right w:type="dxa" w:w="120"/>
            </w:tcMar>
          </w:tcPr>
          <w:p>
            <w:pPr>
              <w:spacing w:after="0" w:line="276"/>
            </w:pPr>
            <w:r>
              <w:rPr>
                <w:rFonts w:ascii="Times New Roman"/>
                <w:color w:val="000000"/>
                <w:sz w:val="19"/>
                <w:szCs w:val="19"/>
              </w:rPr>
              <w:t xml:space="preserve">EU MRV, CII, EEXI</w:t>
            </w:r>
          </w:p>
        </w:tc>
      </w:tr>
      <w:tr>
        <w:trPr>
          <w:cantSplit/>
        </w:trPr>
        <w:tc>
          <w:tcPr>
            <w:tcW w:type="pct" w:w="34%"/>
            <w:shd w:fill="FFFFFF" w:val="clear"/>
            <w:tcMar>
              <w:top w:type="dxa" w:w="70"/>
              <w:left w:type="dxa" w:w="120"/>
              <w:bottom w:type="dxa" w:w="70"/>
              <w:right w:type="dxa" w:w="120"/>
            </w:tcMar>
          </w:tcPr>
          <w:p>
            <w:pPr>
              <w:spacing w:after="0" w:line="276"/>
            </w:pPr>
            <w:r>
              <w:rPr>
                <w:rFonts w:ascii="Times New Roman"/>
                <w:color w:val="000000"/>
                <w:sz w:val="19"/>
                <w:szCs w:val="19"/>
              </w:rPr>
              <w:t xml:space="preserve">Emission factors (TtW &amp; WtW)</w:t>
            </w:r>
          </w:p>
        </w:tc>
        <w:tc>
          <w:tcPr>
            <w:tcW w:type="pct" w:w="66%"/>
            <w:shd w:fill="FFFFFF" w:val="clear"/>
            <w:tcMar>
              <w:top w:type="dxa" w:w="70"/>
              <w:left w:type="dxa" w:w="120"/>
              <w:bottom w:type="dxa" w:w="70"/>
              <w:right w:type="dxa" w:w="120"/>
            </w:tcMar>
          </w:tcPr>
          <w:p>
            <w:pPr>
              <w:spacing w:after="0" w:line="276"/>
            </w:pPr>
            <w:r>
              <w:rPr>
                <w:rFonts w:ascii="Times New Roman"/>
                <w:color w:val="000000"/>
                <w:sz w:val="19"/>
                <w:szCs w:val="19"/>
              </w:rPr>
              <w:t xml:space="preserve">EU MRV, EU ETS, FuelEU, CII</w:t>
            </w:r>
          </w:p>
        </w:tc>
      </w:tr>
      <w:tr>
        <w:trPr>
          <w:cantSplit/>
        </w:trPr>
        <w:tc>
          <w:tcPr>
            <w:tcW w:type="pct" w:w="34%"/>
            <w:shd w:fill="EAF0EE" w:val="clear"/>
            <w:tcMar>
              <w:top w:type="dxa" w:w="70"/>
              <w:left w:type="dxa" w:w="120"/>
              <w:bottom w:type="dxa" w:w="70"/>
              <w:right w:type="dxa" w:w="120"/>
            </w:tcMar>
          </w:tcPr>
          <w:p>
            <w:pPr>
              <w:spacing w:after="0" w:line="276"/>
            </w:pPr>
            <w:r>
              <w:rPr>
                <w:rFonts w:ascii="Times New Roman"/>
                <w:color w:val="000000"/>
                <w:sz w:val="19"/>
                <w:szCs w:val="19"/>
              </w:rPr>
              <w:t xml:space="preserve">Equipment &amp; certificate status</w:t>
            </w:r>
          </w:p>
        </w:tc>
        <w:tc>
          <w:tcPr>
            <w:tcW w:type="pct" w:w="66%"/>
            <w:shd w:fill="EAF0EE" w:val="clear"/>
            <w:tcMar>
              <w:top w:type="dxa" w:w="70"/>
              <w:left w:type="dxa" w:w="120"/>
              <w:bottom w:type="dxa" w:w="70"/>
              <w:right w:type="dxa" w:w="120"/>
            </w:tcMar>
          </w:tcPr>
          <w:p>
            <w:pPr>
              <w:spacing w:after="0" w:line="276"/>
            </w:pPr>
            <w:r>
              <w:rPr>
                <w:rFonts w:ascii="Times New Roman"/>
                <w:color w:val="000000"/>
                <w:sz w:val="19"/>
                <w:szCs w:val="19"/>
              </w:rPr>
              <w:t xml:space="preserve">SOLAS, MARPOL, EEXI (IEE), ISM (Doc/SMC), ISPS (ISSC)</w:t>
            </w:r>
          </w:p>
        </w:tc>
      </w:tr>
      <w:tr>
        <w:trPr>
          <w:cantSplit/>
        </w:trPr>
        <w:tc>
          <w:tcPr>
            <w:tcW w:type="pct" w:w="34%"/>
            <w:shd w:fill="FFFFFF" w:val="clear"/>
            <w:tcMar>
              <w:top w:type="dxa" w:w="70"/>
              <w:left w:type="dxa" w:w="120"/>
              <w:bottom w:type="dxa" w:w="70"/>
              <w:right w:type="dxa" w:w="120"/>
            </w:tcMar>
          </w:tcPr>
          <w:p>
            <w:pPr>
              <w:spacing w:after="0" w:line="276"/>
            </w:pPr>
            <w:r>
              <w:rPr>
                <w:rFonts w:ascii="Times New Roman"/>
                <w:color w:val="000000"/>
                <w:sz w:val="19"/>
                <w:szCs w:val="19"/>
              </w:rPr>
              <w:t xml:space="preserve">Audits, drills, non-conformities</w:t>
            </w:r>
          </w:p>
        </w:tc>
        <w:tc>
          <w:tcPr>
            <w:tcW w:type="pct" w:w="66%"/>
            <w:shd w:fill="FFFFFF" w:val="clear"/>
            <w:tcMar>
              <w:top w:type="dxa" w:w="70"/>
              <w:left w:type="dxa" w:w="120"/>
              <w:bottom w:type="dxa" w:w="70"/>
              <w:right w:type="dxa" w:w="120"/>
            </w:tcMar>
          </w:tcPr>
          <w:p>
            <w:pPr>
              <w:spacing w:after="0" w:line="276"/>
            </w:pPr>
            <w:r>
              <w:rPr>
                <w:rFonts w:ascii="Times New Roman"/>
                <w:color w:val="000000"/>
                <w:sz w:val="19"/>
                <w:szCs w:val="19"/>
              </w:rPr>
              <w:t xml:space="preserve">ISM, ISPS (and evidence base for all)</w:t>
            </w:r>
          </w:p>
        </w:tc>
      </w:tr>
    </w:tbl>
    <w:p>
      <w:pPr>
        <w:pStyle w:val="Heading2"/>
        <w:spacing w:after="140" w:before="280" w:line="312"/>
      </w:pPr>
      <w:bookmarkStart w:id="100083" w:name="_Toc100083"/>
      <w:r>
        <w:rPr>
          <w:rFonts w:ascii="Times New Roman"/>
          <w:b/>
          <w:bCs/>
          <w:color w:val="0B1C2C"/>
          <w:sz w:val="28"/>
          <w:szCs w:val="28"/>
        </w:rPr>
        <w:t xml:space="preserve">12.2 Overlapping Obligations to Reconcile</w:t>
      </w:r>
      <w:bookmarkEnd w:id="100083"/>
    </w:p>
    <w:p>
      <w:pPr>
        <w:pStyle w:val="ListParagraph"/>
        <w:numPr>
          <w:ilvl w:val="0"/>
          <w:numId w:val="1"/>
        </w:numPr>
        <w:spacing w:after="60" w:line="300"/>
      </w:pPr>
      <w:r>
        <w:rPr>
          <w:rFonts w:ascii="Times New Roman"/>
          <w:color w:val="000000"/>
          <w:sz w:val="22"/>
          <w:szCs w:val="22"/>
        </w:rPr>
        <w:t xml:space="preserve">Tank-to-wake versus well-to-wake: EU MRV/ETS/CII are predominantly TtW; FuelEU is WtW. A platform must hold both factor sets and apply the right one per instrument.</w:t>
      </w:r>
    </w:p>
    <w:p>
      <w:pPr>
        <w:pStyle w:val="ListParagraph"/>
        <w:numPr>
          <w:ilvl w:val="0"/>
          <w:numId w:val="1"/>
        </w:numPr>
        <w:spacing w:after="60" w:line="300"/>
      </w:pPr>
      <w:r>
        <w:rPr>
          <w:rFonts w:ascii="Times New Roman"/>
          <w:color w:val="000000"/>
          <w:sz w:val="22"/>
          <w:szCs w:val="22"/>
        </w:rPr>
        <w:t xml:space="preserve">Geographic allocation: the 100%/50% intra-versus-extra-EU rule is common to EU MRV, EU ETS and FuelEU and should be computed once.</w:t>
      </w:r>
    </w:p>
    <w:p>
      <w:pPr>
        <w:pStyle w:val="ListParagraph"/>
        <w:numPr>
          <w:ilvl w:val="0"/>
          <w:numId w:val="1"/>
        </w:numPr>
        <w:spacing w:after="60" w:line="300"/>
      </w:pPr>
      <w:r>
        <w:rPr>
          <w:rFonts w:ascii="Times New Roman"/>
          <w:color w:val="000000"/>
          <w:sz w:val="22"/>
          <w:szCs w:val="22"/>
        </w:rPr>
        <w:t xml:space="preserve">Reporting calendar: EU MRV (30 April), FuelEU (30 June) and EU ETS surrender (September) form a tight six-month sequence that benefits from a single planning calendar.</w:t>
      </w:r>
    </w:p>
    <w:p>
      <w:pPr>
        <w:pStyle w:val="ListParagraph"/>
        <w:numPr>
          <w:ilvl w:val="0"/>
          <w:numId w:val="1"/>
        </w:numPr>
        <w:spacing w:after="60" w:line="300"/>
      </w:pPr>
      <w:r>
        <w:rPr>
          <w:rFonts w:ascii="Times New Roman"/>
          <w:color w:val="000000"/>
          <w:sz w:val="22"/>
          <w:szCs w:val="22"/>
        </w:rPr>
        <w:t xml:space="preserve">Management-system links: ISM and ISPS supply the evidentiary discipline that verifiers and port-State officers expect; environmental instruments should feed findings back into the SMS.</w:t>
      </w:r>
    </w:p>
    <w:p>
      <w:pPr>
        <w:pStyle w:val="Heading2"/>
        <w:spacing w:after="140" w:before="280" w:line="312"/>
      </w:pPr>
      <w:bookmarkStart w:id="100084" w:name="_Toc100084"/>
      <w:r>
        <w:rPr>
          <w:rFonts w:ascii="Times New Roman"/>
          <w:b/>
          <w:bCs/>
          <w:color w:val="0B1C2C"/>
          <w:sz w:val="28"/>
          <w:szCs w:val="28"/>
        </w:rPr>
        <w:t xml:space="preserve">12.3 What a Compliance Platform Should Do</w:t>
      </w:r>
      <w:bookmarkEnd w:id="100084"/>
    </w:p>
    <w:p>
      <w:pPr>
        <w:pStyle w:val="ListParagraph"/>
        <w:numPr>
          <w:ilvl w:val="0"/>
          <w:numId w:val="1"/>
        </w:numPr>
        <w:spacing w:after="60" w:line="300"/>
      </w:pPr>
      <w:r>
        <w:rPr>
          <w:rFonts w:ascii="Times New Roman"/>
          <w:b/>
          <w:bCs/>
          <w:color w:val="000000"/>
          <w:sz w:val="22"/>
          <w:szCs w:val="22"/>
        </w:rPr>
        <w:t xml:space="preserve">Capture once, report many: </w:t>
      </w:r>
      <w:r>
        <w:rPr>
          <w:rFonts w:ascii="Times New Roman"/>
          <w:color w:val="000000"/>
          <w:sz w:val="22"/>
          <w:szCs w:val="22"/>
        </w:rPr>
        <w:t xml:space="preserve">ingestion of MFM, sounding, BDN, AIS/ECDIS, and record-book data into a single verified ledger that fans out to every instrument's required dataset.</w:t>
      </w:r>
    </w:p>
    <w:p>
      <w:pPr>
        <w:pStyle w:val="ListParagraph"/>
        <w:numPr>
          <w:ilvl w:val="0"/>
          <w:numId w:val="1"/>
        </w:numPr>
        <w:spacing w:after="60" w:line="300"/>
      </w:pPr>
      <w:r>
        <w:rPr>
          <w:rFonts w:ascii="Times New Roman"/>
          <w:b/>
          <w:bCs/>
          <w:color w:val="000000"/>
          <w:sz w:val="22"/>
          <w:szCs w:val="22"/>
        </w:rPr>
        <w:t xml:space="preserve">Calculation engines: </w:t>
      </w:r>
      <w:r>
        <w:rPr>
          <w:rFonts w:ascii="Times New Roman"/>
          <w:color w:val="000000"/>
          <w:sz w:val="22"/>
          <w:szCs w:val="22"/>
        </w:rPr>
        <w:t xml:space="preserve">centrally maintained emission factors, CII band edges, EEXI/EEDI reference lines, FuelEU limit trajectory and EU ETS phase-in percentages, so regulatory changes propagate without per-ship rework.</w:t>
      </w:r>
    </w:p>
    <w:p>
      <w:pPr>
        <w:pStyle w:val="ListParagraph"/>
        <w:numPr>
          <w:ilvl w:val="0"/>
          <w:numId w:val="1"/>
        </w:numPr>
        <w:spacing w:after="60" w:line="300"/>
      </w:pPr>
      <w:r>
        <w:rPr>
          <w:rFonts w:ascii="Times New Roman"/>
          <w:b/>
          <w:bCs/>
          <w:color w:val="000000"/>
          <w:sz w:val="22"/>
          <w:szCs w:val="22"/>
        </w:rPr>
        <w:t xml:space="preserve">Continuous projection: </w:t>
      </w:r>
      <w:r>
        <w:rPr>
          <w:rFonts w:ascii="Times New Roman"/>
          <w:color w:val="000000"/>
          <w:sz w:val="22"/>
          <w:szCs w:val="22"/>
        </w:rPr>
        <w:t xml:space="preserve">in-year CII rating, EU ETS surrender exposure and FuelEU compliance balance shown live, not computed only at year-end.</w:t>
      </w:r>
    </w:p>
    <w:p>
      <w:pPr>
        <w:pStyle w:val="ListParagraph"/>
        <w:numPr>
          <w:ilvl w:val="0"/>
          <w:numId w:val="1"/>
        </w:numPr>
        <w:spacing w:after="60" w:line="300"/>
      </w:pPr>
      <w:r>
        <w:rPr>
          <w:rFonts w:ascii="Times New Roman"/>
          <w:b/>
          <w:bCs/>
          <w:color w:val="000000"/>
          <w:sz w:val="22"/>
          <w:szCs w:val="22"/>
        </w:rPr>
        <w:t xml:space="preserve">Document vaulting: </w:t>
      </w:r>
      <w:r>
        <w:rPr>
          <w:rFonts w:ascii="Times New Roman"/>
          <w:color w:val="000000"/>
          <w:sz w:val="22"/>
          <w:szCs w:val="22"/>
        </w:rPr>
        <w:t xml:space="preserve">versioned Monitoring Plans, SEEMP (I–III), SMS/SSP, EEXI files and certificates with expiry and approval alerts.</w:t>
      </w:r>
    </w:p>
    <w:p>
      <w:pPr>
        <w:pStyle w:val="ListParagraph"/>
        <w:numPr>
          <w:ilvl w:val="0"/>
          <w:numId w:val="1"/>
        </w:numPr>
        <w:spacing w:after="60" w:line="300"/>
      </w:pPr>
      <w:r>
        <w:rPr>
          <w:rFonts w:ascii="Times New Roman"/>
          <w:b/>
          <w:bCs/>
          <w:color w:val="000000"/>
          <w:sz w:val="22"/>
          <w:szCs w:val="22"/>
        </w:rPr>
        <w:t xml:space="preserve">Verifier- and PSC-ready evidence packs: </w:t>
      </w:r>
      <w:r>
        <w:rPr>
          <w:rFonts w:ascii="Times New Roman"/>
          <w:color w:val="000000"/>
          <w:sz w:val="22"/>
          <w:szCs w:val="22"/>
        </w:rPr>
        <w:t xml:space="preserve">on-demand assembly of the data and documents a verifier or port-State officer will ask for, with full traceability.</w:t>
      </w:r>
    </w:p>
    <w:p>
      <w:pPr>
        <w:pStyle w:val="ListParagraph"/>
        <w:numPr>
          <w:ilvl w:val="0"/>
          <w:numId w:val="1"/>
        </w:numPr>
        <w:spacing w:after="60" w:line="300"/>
      </w:pPr>
      <w:r>
        <w:rPr>
          <w:rFonts w:ascii="Times New Roman"/>
          <w:b/>
          <w:bCs/>
          <w:color w:val="000000"/>
          <w:sz w:val="22"/>
          <w:szCs w:val="22"/>
        </w:rPr>
        <w:t xml:space="preserve">Auditability: </w:t>
      </w:r>
      <w:r>
        <w:rPr>
          <w:rFonts w:ascii="Times New Roman"/>
          <w:color w:val="000000"/>
          <w:sz w:val="22"/>
          <w:szCs w:val="22"/>
        </w:rPr>
        <w:t xml:space="preserve">immutable change logs that demonstrate how each reported figure was derived — increasingly important as enforcement tightens.</w:t>
      </w:r>
    </w:p>
    <w:p>
      <w:pPr>
        <w:pStyle w:val="Heading1"/>
        <w:spacing w:after="200" w:before="400" w:line="312"/>
      </w:pPr>
      <w:bookmarkStart w:id="100085" w:name="_Toc100085"/>
      <w:r>
        <w:rPr>
          <w:rFonts w:ascii="Times New Roman"/>
          <w:b/>
          <w:bCs/>
          <w:color w:val="0B1C2C"/>
          <w:sz w:val="32"/>
          <w:szCs w:val="32"/>
        </w:rPr>
        <w:t xml:space="preserve">13. Conclusions and Recommendations</w:t>
      </w:r>
      <w:bookmarkEnd w:id="100085"/>
    </w:p>
    <w:p>
      <w:pPr>
        <w:spacing w:after="80" w:line="312"/>
        <w:ind w:firstLine="360"/>
        <w:jc w:val="both"/>
      </w:pPr>
      <w:r>
        <w:rPr>
          <w:rFonts w:ascii="Times New Roman"/>
          <w:color w:val="000000"/>
          <w:sz w:val="22"/>
          <w:szCs w:val="22"/>
        </w:rPr>
        <w:t xml:space="preserve">The ten instruments reviewed here are not a loose collection of rules but an increasingly coherent regime with a common data core. SOLAS, MARPOL, the ISM Code and the ISPS Code establish the safety and environmental floor that every ship must clear; IMO DCS, CII and EEXI add a global operational and technical efficiency layer; and EU MRV, EU ETS and FuelEU Maritime impose Europe's market-based and technology-forcing obligations on top. A company that treats these as separate workstreams pays for the same fuel and voyage data many times, and is exposed where the workstreams diverge.</w:t>
      </w:r>
    </w:p>
    <w:p>
      <w:pPr>
        <w:spacing w:after="80" w:line="312"/>
        <w:ind w:firstLine="360"/>
        <w:jc w:val="both"/>
      </w:pPr>
      <w:r>
        <w:rPr>
          <w:rFonts w:ascii="Times New Roman"/>
          <w:color w:val="000000"/>
          <w:sz w:val="22"/>
          <w:szCs w:val="22"/>
        </w:rPr>
        <w:t xml:space="preserve">The defensible recommendation is to consolidate around a single, verified data backbone — capturing consumption, voyage, cargo and equipment data once — and to let calculation engines and document vaults fan that data out to each instrument's requirements. The same platform should provide continuous, in-year projection of the metrics that carry real financial risk (CII rating, EU ETS surrender, FuelEU compliance balance), so that corrective action happens while there is still time for it to matter.</w:t>
      </w:r>
    </w:p>
    <w:p>
      <w:pPr>
        <w:spacing w:after="80" w:line="312"/>
        <w:ind w:firstLine="360"/>
        <w:jc w:val="both"/>
      </w:pPr>
      <w:r>
        <w:rPr>
          <w:rFonts w:ascii="Times New Roman"/>
          <w:color w:val="000000"/>
          <w:sz w:val="22"/>
          <w:szCs w:val="22"/>
        </w:rPr>
        <w:t xml:space="preserve">Finally, the compliance function should be integrated, not siloed. Environmental reporting, safety management and security operate on the same ships and crews; routing findings from one into the others — for example, surfacing a FuelEU shortfall in the next ISM management review — is the step that turns compliance from a cost into a management capability.</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6B5E" w:sz="4" w:space="4"/>
      </w:pBdr>
      <w:spacing w:after="40"/>
      <w:jc w:val="center"/>
    </w:pPr>
    <w:r>
      <w:rPr>
        <w:rFonts w:ascii="Times New Roman"/>
        <w:color w:val="808080"/>
        <w:sz w:val="18"/>
        <w:szCs w:val="18"/>
      </w:rPr>
      <w:t xml:space="preserve">Maritime Regulatory Compliance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6B5E" w:sz="4" w:space="4"/>
      </w:pBdr>
      <w:spacing w:after="40"/>
      <w:jc w:val="center"/>
    </w:pPr>
    <w:r>
      <w:rPr>
        <w:rFonts w:ascii="Times New Roman"/>
        <w:color w:val="808080"/>
        <w:sz w:val="18"/>
        <w:szCs w:val="18"/>
      </w:rPr>
      <w:t xml:space="preserve">Maritime Regulatory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Times New Roman"/>
      <w:b/>
      <w:bCs/>
      <w:color w:val="0B1C2C"/>
      <w:sz w:val="32"/>
      <w:szCs w:val="32"/>
    </w:rPr>
  </w:style>
  <w:style w:type="paragraph" w:styleId="Heading2">
    <w:name w:val="Heading 2"/>
    <w:basedOn w:val="Normal"/>
    <w:next w:val="Normal"/>
    <w:qFormat/>
    <w:pPr>
      <w:spacing w:after="140" w:before="280" w:line="312"/>
      <w:outlineLvl w:val="1"/>
    </w:pPr>
    <w:rPr>
      <w:rFonts w:ascii="Times New Roman"/>
      <w:b/>
      <w:bCs/>
      <w:color w:val="0B1C2C"/>
      <w:sz w:val="28"/>
      <w:szCs w:val="28"/>
    </w:rPr>
  </w:style>
  <w:style w:type="paragraph" w:styleId="Heading3">
    <w:name w:val="Heading 3"/>
    <w:basedOn w:val="Normal"/>
    <w:next w:val="Normal"/>
    <w:qFormat/>
    <w:pPr>
      <w:spacing w:after="100" w:before="220" w:line="312"/>
      <w:outlineLvl w:val="2"/>
    </w:pPr>
    <w:rPr>
      <w:rFonts w:ascii="Times New Roman"/>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Maritime Regulatory Compliance Report</dc:title>
  <dc:creator>Poseidon Ledger</dc:creator>
  <dc:description>IMO DCS, EU MRV, EU ETS, FuelEU Maritime, CII, EEXI, ISM, ISPS, MARPOL, SOLAS</dc:description>
  <cp:lastModifiedBy>Un-named</cp:lastModifiedBy>
  <cp:revision>1</cp:revision>
  <dcterms:created xsi:type="dcterms:W3CDTF">2026-07-06T12:24:48.854Z</dcterms:created>
  <dcterms:modified xsi:type="dcterms:W3CDTF">2026-07-06T12:24:48.855Z</dcterms:modified>
</cp:coreProperties>
</file>

<file path=docProps/custom.xml><?xml version="1.0" encoding="utf-8"?>
<Properties xmlns="http://schemas.openxmlformats.org/officeDocument/2006/custom-properties" xmlns:vt="http://schemas.openxmlformats.org/officeDocument/2006/docPropsVTypes"/>
</file>