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2600"/>
            </w:pPr>
          </w:p>
          <w:p>
            <w:pPr>
              <w:pBdr>
                <w:bottom w:val="single" w:color="529286" w:sz="6" w:space="8"/>
              </w:pBdr>
              <w:spacing w:after="500"/>
              <w:ind w:left="1200" w:right="800"/>
            </w:pPr>
            <w:r>
              <w:rPr>
                <w:rFonts w:ascii="Calibri"/>
                <w:color w:val="529286"/>
                <w:spacing w:val="40"/>
                <w:sz w:val="18"/>
                <w:szCs w:val="18"/>
              </w:rPr>
              <w:t xml:space="preserve">M A R I T I M E   R E S E A R C H   R E P O R T</w:t>
            </w:r>
          </w:p>
          <w:p>
            <w:pPr>
              <w:spacing w:after="100" w:line="874" w:lineRule="atLeast"/>
              <w:ind w:left="1200"/>
            </w:pPr>
            <w:r>
              <w:rPr>
                <w:rFonts w:ascii="Arial"/>
                <w:b/>
                <w:bCs/>
                <w:color w:val="FFFFFF"/>
                <w:sz w:val="76"/>
                <w:szCs w:val="76"/>
              </w:rPr>
              <w:t xml:space="preserve">DNV Digital Vessel</w:t>
            </w:r>
          </w:p>
          <w:p>
            <w:pPr>
              <w:spacing w:after="300" w:line="874" w:lineRule="atLeast"/>
              <w:ind w:left="1200"/>
            </w:pPr>
            <w:r>
              <w:rPr>
                <w:rFonts w:ascii="Arial"/>
                <w:b/>
                <w:bCs/>
                <w:color w:val="FFFFFF"/>
                <w:sz w:val="76"/>
                <w:szCs w:val="76"/>
              </w:rPr>
              <w:t xml:space="preserve">Management</w:t>
            </w:r>
          </w:p>
          <w:p>
            <w:pPr>
              <w:spacing w:after="800"/>
              <w:ind w:left="1200"/>
            </w:pPr>
            <w:r>
              <w:rPr>
                <w:rFonts w:ascii="Arial"/>
                <w:color w:val="B0B8C0"/>
                <w:sz w:val="26"/>
                <w:szCs w:val="26"/>
              </w:rPr>
              <w:t xml:space="preserve">Integration Research for Poseidon Ledger</w:t>
            </w:r>
          </w:p>
          <w:p>
            <w:pPr>
              <w:pBdr>
                <w:left w:val="single" w:color="529286" w:sz="8" w:space="12"/>
              </w:pBdr>
              <w:spacing w:after="90"/>
              <w:ind w:left="1400"/>
            </w:pPr>
            <w:r>
              <w:rPr>
                <w:rFonts w:ascii="Arial"/>
                <w:color w:val="90989F"/>
                <w:sz w:val="22"/>
                <w:szCs w:val="22"/>
              </w:rPr>
              <w:t xml:space="preserve">Prepared for:  Poseidon Ledger — Product Architecture</w:t>
            </w:r>
          </w:p>
          <w:p>
            <w:pPr>
              <w:pBdr>
                <w:left w:val="single" w:color="529286" w:sz="8" w:space="12"/>
              </w:pBdr>
              <w:spacing w:after="90"/>
              <w:ind w:left="1400"/>
            </w:pPr>
            <w:r>
              <w:rPr>
                <w:rFonts w:ascii="Arial"/>
                <w:color w:val="90989F"/>
                <w:sz w:val="22"/>
                <w:szCs w:val="22"/>
              </w:rPr>
              <w:t xml:space="preserve">Subject:  DNV Veracity, Digital Twins, Certification, Hull, Compliance &amp; APIs</w:t>
            </w:r>
          </w:p>
          <w:p>
            <w:pPr>
              <w:pBdr>
                <w:left w:val="single" w:color="529286" w:sz="8" w:space="12"/>
              </w:pBdr>
              <w:spacing w:after="90"/>
              <w:ind w:left="1400"/>
            </w:pPr>
            <w:r>
              <w:rPr>
                <w:rFonts w:ascii="Arial"/>
                <w:color w:val="90989F"/>
                <w:sz w:val="22"/>
                <w:szCs w:val="22"/>
              </w:rPr>
              <w:t xml:space="preserve">Classification:  Confidential — Internal use only</w:t>
            </w:r>
          </w:p>
          <w:p>
            <w:pPr>
              <w:pBdr>
                <w:left w:val="single" w:color="529286" w:sz="8" w:space="12"/>
              </w:pBdr>
              <w:spacing w:after="90"/>
              <w:ind w:left="1400"/>
            </w:pPr>
            <w:r>
              <w:rPr>
                <w:rFonts w:ascii="Arial"/>
                <w:color w:val="90989F"/>
                <w:sz w:val="22"/>
                <w:szCs w:val="22"/>
              </w:rPr>
              <w:t xml:space="preserve">Version:  1.0  ·  July 2026</w:t>
            </w:r>
          </w:p>
          <w:p>
            <w:pPr>
              <w:spacing w:before="3200"/>
            </w:pPr>
          </w:p>
          <w:p>
            <w:pPr>
              <w:pBdr>
                <w:top w:val="single" w:color="529286" w:sz="2" w:space="8"/>
              </w:pBdr>
              <w:spacing w:before="200"/>
              <w:ind w:left="1200" w:right="800"/>
            </w:pPr>
            <w:r>
              <w:rPr>
                <w:rFonts w:ascii="Arial"/>
                <w:color w:val="687078"/>
                <w:sz w:val="18"/>
                <w:szCs w:val="18"/>
              </w:rPr>
              <w:t xml:space="preserve">Poseidon Ledger</w:t>
            </w:r>
            <w:r>
              <w:t xml:space="preserve">                                                                  </w:t>
            </w:r>
            <w:r>
              <w:rPr>
                <w:rFonts w:ascii="Arial"/>
                <w:color w:val="687078"/>
                <w:sz w:val="18"/>
                <w:szCs w:val="18"/>
              </w:rPr>
              <w:t xml:space="preserve">Mediterranean Yacht ESG Compliance Intelligence</w:t>
            </w:r>
          </w:p>
        </w:tc>
      </w:tr>
    </w:tbl>
    <w:p>
      <w:pPr>
        <w:sectPr>
          <w:pgSz w:w="11906" w:h="16838" w:orient="portrait"/>
          <w:pgMar w:top="0" w:right="0" w:bottom="0" w:left="0" w:header="708" w:footer="708" w:gutter="0"/>
          <w:pgNumType/>
          <w:docGrid w:linePitch="360"/>
        </w:sectPr>
      </w:pPr>
    </w:p>
    <w:p>
      <w:pPr>
        <w:pStyle w:val="Heading1"/>
        <w:spacing w:after="200" w:before="360" w:line="312"/>
      </w:pPr>
      <w:r>
        <w:rPr>
          <w:rFonts w:ascii="Calibri" w:eastAsia="SimHei"/>
          <w:b/>
          <w:bCs/>
          <w:color w:val="000000"/>
          <w:sz w:val="32"/>
          <w:szCs w:val="32"/>
        </w:rPr>
        <w:t xml:space="preserve">1. Executive Summary</w:t>
      </w:r>
    </w:p>
    <w:p>
      <w:pPr>
        <w:spacing w:after="120" w:before="60" w:line="312"/>
        <w:ind w:firstLine="360"/>
        <w:jc w:val="both"/>
      </w:pPr>
      <w:r>
        <w:rPr>
          <w:rFonts w:ascii="Calibri" w:eastAsia="Microsoft YaHei"/>
          <w:b w:val="false"/>
          <w:bCs w:val="false"/>
          <w:i w:val="false"/>
          <w:iCs w:val="false"/>
          <w:color w:val="000000"/>
          <w:sz w:val="22"/>
          <w:szCs w:val="22"/>
        </w:rPr>
        <w:t xml:space="preserve">DNV (Det Norske Veritas) operates the most mature digital ecosystem in commercial shipping. Its Veracity platform connects more than 50,000 vessels and exposes a growing catalogue of REST APIs, data pipelines, and applications covering class status, vessel certificates, verified emissions, hull integrity, and operational vessel data. This report maps that ecosystem against Poseidon Ledger's planned architecture and identifies where DNV can serve as a data source, a verification partner, or a downstream consumer of Poseidon's reconciled compliance data.</w:t>
      </w:r>
    </w:p>
    <w:p>
      <w:pPr>
        <w:spacing w:after="120" w:before="60" w:line="312"/>
        <w:ind w:firstLine="360"/>
        <w:jc w:val="both"/>
      </w:pPr>
      <w:r>
        <w:rPr>
          <w:rFonts w:ascii="Calibri" w:eastAsia="Microsoft YaHei"/>
          <w:b w:val="false"/>
          <w:bCs w:val="false"/>
          <w:i w:val="false"/>
          <w:iCs w:val="false"/>
          <w:color w:val="000000"/>
          <w:sz w:val="22"/>
          <w:szCs w:val="22"/>
        </w:rPr>
        <w:t xml:space="preserve">The headline finding is strategic, not technical. DNV does not publicly publish a single, self-serve API price list, and the highest-value endpoints (class status, certificates, verified emissions) are gated behind an OAuth 2.0 identity layer and a commercial relationship with DNV or a Veracity partner. Poseidon cannot treat DNV as a drop-in replacement for MarineTraffic-style public APIs. It can, however, treat DNV as an authoritative verification layer that materially strengthens the product's core thesis: producing verifier-ready data packages with provable provenance.</w:t>
      </w:r>
    </w:p>
    <w:p>
      <w:pPr>
        <w:spacing w:after="120" w:before="60" w:line="312"/>
        <w:ind w:firstLine="360"/>
        <w:jc w:val="both"/>
      </w:pPr>
      <w:r>
        <w:rPr>
          <w:rFonts w:ascii="Calibri" w:eastAsia="Microsoft YaHei"/>
          <w:b w:val="false"/>
          <w:bCs w:val="false"/>
          <w:i w:val="false"/>
          <w:iCs w:val="false"/>
          <w:color w:val="000000"/>
          <w:sz w:val="22"/>
          <w:szCs w:val="22"/>
        </w:rPr>
        <w:t xml:space="preserve">Three integration paths are realistic. First, a read-only Class Status API integration would let Poseidon display each vessel's live class and certificate posture alongside its ETS and FuelEU posture — a differentiator for the fleet compliance manager persona. Second, an Emissions Connect data exchange would let Poseidon push operational data into DNV's verification pipeline and pull back verified emissions statements, directly shortening the verifier revision cycle that the architecture document identifies as a primary pain point. Third, the Operational Vessel Data (OVD) standard offers a normalised schema for voyage and consumption data that Poseidon could adopt internally as a defensive design choice, making future egress to DNV or other partners low-cost.</w:t>
      </w:r>
    </w:p>
    <w:p>
      <w:pPr>
        <w:spacing w:after="120" w:before="60" w:line="312"/>
        <w:ind w:firstLine="360"/>
        <w:jc w:val="both"/>
      </w:pPr>
      <w:r>
        <w:rPr>
          <w:rFonts w:ascii="Calibri" w:eastAsia="Microsoft YaHei"/>
          <w:b w:val="false"/>
          <w:bCs w:val="false"/>
          <w:i w:val="false"/>
          <w:iCs w:val="false"/>
          <w:color w:val="000000"/>
          <w:sz w:val="22"/>
          <w:szCs w:val="22"/>
        </w:rPr>
        <w:t xml:space="preserve">Commercial feasibility is moderate. The core Fleet Status application is free to owners and managers of DNV-classed vessels, which lowers the barrier for read-only integration. Paid services (Emissions Connect, Data Workbench API egress) are negotiated per fleet and per data volume; for a Mediterranean yacht fleet of 8–40 vessels, cost is likely to be a manageable subscription rather than the enterprise-scale spend seen at large cargo operators. The dominant cost is engineering effort to implement OAuth 2.0 with Azure AD B2C and to maintain conformance to DNV's data standards — not licensing.</w:t>
      </w:r>
    </w:p>
    <w:p>
      <w:pPr>
        <w:pStyle w:val="Heading1"/>
        <w:spacing w:after="200" w:before="360" w:line="312"/>
      </w:pPr>
      <w:r>
        <w:rPr>
          <w:rFonts w:ascii="Calibri" w:eastAsia="SimHei"/>
          <w:b/>
          <w:bCs/>
          <w:color w:val="000000"/>
          <w:sz w:val="32"/>
          <w:szCs w:val="32"/>
        </w:rPr>
        <w:t xml:space="preserve">2. Poseidon Ledger Context</w:t>
      </w:r>
    </w:p>
    <w:p>
      <w:pPr>
        <w:spacing w:after="120" w:before="60" w:line="312"/>
        <w:ind w:firstLine="360"/>
        <w:jc w:val="both"/>
      </w:pPr>
      <w:r>
        <w:rPr>
          <w:rFonts w:ascii="Calibri" w:eastAsia="Microsoft YaHei"/>
          <w:b w:val="false"/>
          <w:bCs w:val="false"/>
          <w:i w:val="false"/>
          <w:iCs w:val="false"/>
          <w:color w:val="000000"/>
          <w:sz w:val="22"/>
          <w:szCs w:val="22"/>
        </w:rPr>
        <w:t xml:space="preserve">Poseidon Ledger is an operational compliance intelligence platform for Mediterranean yacht and fleet management companies. It sits between a vessel's daily operations and the point at which regulatory obligations must be demonstrated to a verifier, a port authority, or an EU Allowance procurement channel. The platform is explicitly not a verifier, a classification society, a carbon broker, or a legal adviser; it is the data reconciliation and documentation preparation layer.</w:t>
      </w:r>
    </w:p>
    <w:p>
      <w:pPr>
        <w:pStyle w:val="Heading2"/>
        <w:spacing w:after="140" w:before="280" w:line="312"/>
      </w:pPr>
      <w:r>
        <w:rPr>
          <w:rFonts w:ascii="Calibri" w:eastAsia="SimHei"/>
          <w:b/>
          <w:bCs/>
          <w:color w:val="000000"/>
          <w:sz w:val="28"/>
          <w:szCs w:val="28"/>
        </w:rPr>
        <w:t xml:space="preserve">2.1 Current State (Phase 1A / 1B Complete)</w:t>
      </w:r>
    </w:p>
    <w:p>
      <w:pPr>
        <w:spacing w:after="120" w:before="60" w:line="312"/>
        <w:ind w:firstLine="360"/>
        <w:jc w:val="both"/>
      </w:pPr>
      <w:r>
        <w:rPr>
          <w:rFonts w:ascii="Calibri" w:eastAsia="Microsoft YaHei"/>
          <w:b w:val="false"/>
          <w:bCs w:val="false"/>
          <w:i w:val="false"/>
          <w:iCs w:val="false"/>
          <w:color w:val="000000"/>
          <w:sz w:val="22"/>
          <w:szCs w:val="22"/>
        </w:rPr>
        <w:t xml:space="preserve">As of the Phase 1B commit, the codebase contains two libraries and no application layer. Phase 1A is a MarineTraffic AIS ingestion client with a typed transport interface, rate limiting, retry with backoff, IMO checksum validation, and a mock/real seam toggled by a single environment variable. Phase 1B is a Supabase persistence layer with typed repositories for vessels, voyages, and AIS positions, an idempotent upsert-by-IMO strategy, and an in-memory fake client for zero-infrastructure testing. Fifty-five unit tests pass. There is no src/app layer, no REST API, no Zod validation, and no orchestration connecting ingestion to persistence.</w:t>
      </w:r>
    </w:p>
    <w:p>
      <w:pPr>
        <w:pStyle w:val="Heading2"/>
        <w:spacing w:after="140" w:before="280" w:line="312"/>
      </w:pPr>
      <w:r>
        <w:rPr>
          <w:rFonts w:ascii="Calibri" w:eastAsia="SimHei"/>
          <w:b/>
          <w:bCs/>
          <w:color w:val="000000"/>
          <w:sz w:val="28"/>
          <w:szCs w:val="28"/>
        </w:rPr>
        <w:t xml:space="preserve">2.2 Planned Scope (from Architecture Document)</w:t>
      </w:r>
    </w:p>
    <w:p>
      <w:pPr>
        <w:spacing w:after="120" w:before="60" w:line="312"/>
        <w:ind w:firstLine="360"/>
        <w:jc w:val="both"/>
      </w:pPr>
      <w:r>
        <w:rPr>
          <w:rFonts w:ascii="Calibri" w:eastAsia="Microsoft YaHei"/>
          <w:b w:val="false"/>
          <w:bCs w:val="false"/>
          <w:i w:val="false"/>
          <w:iCs w:val="false"/>
          <w:color w:val="000000"/>
          <w:sz w:val="22"/>
          <w:szCs w:val="22"/>
        </w:rPr>
        <w:t xml:space="preserve">The architecture document specifies fourteen modules: authentication, organisation and fleet management, vessel management, AIS integration, OCR pipeline, BDN processing, Monitoring Plan management, FuelEU Maritime, EU ETS, THETIS-MRV export, Green Zone compliance, reporting, audit trail, and notifications. The compliance engine is deterministic and rule-based; AI is confined to document extraction and anomaly detection. The product targets Persona A (fleet compliance manager, 2–3 person team, 15–30 vessels) and treats the verifier revision cycle as the primary cost driver to eliminate.</w:t>
      </w:r>
    </w:p>
    <w:p>
      <w:pPr>
        <w:spacing w:after="120" w:before="60" w:line="312"/>
        <w:ind w:firstLine="360"/>
        <w:jc w:val="both"/>
      </w:pPr>
      <w:r>
        <w:rPr>
          <w:rFonts w:ascii="Calibri" w:eastAsia="Microsoft YaHei"/>
          <w:b w:val="false"/>
          <w:bCs w:val="false"/>
          <w:i w:val="false"/>
          <w:iCs w:val="false"/>
          <w:color w:val="000000"/>
          <w:sz w:val="22"/>
          <w:szCs w:val="22"/>
        </w:rPr>
        <w:t xml:space="preserve">Two attributes of the planned design matter for DNV integration. First, every vessel record already carries a class_society field with allowed values including 'DNV'. Second, every organisation carries a verifier_id referencing a preferred class society verifier. The data model is therefore already shaped to treat DNV as a first-class entity, even though no DNV integration is presently implemented or specified.</w:t>
      </w:r>
    </w:p>
    <w:p>
      <w:pPr>
        <w:pStyle w:val="Heading1"/>
        <w:spacing w:after="200" w:before="360" w:line="312"/>
      </w:pPr>
      <w:r>
        <w:rPr>
          <w:rFonts w:ascii="Calibri" w:eastAsia="SimHei"/>
          <w:b/>
          <w:bCs/>
          <w:color w:val="000000"/>
          <w:sz w:val="32"/>
          <w:szCs w:val="32"/>
        </w:rPr>
        <w:t xml:space="preserve">3. DNV Digital Ecosystem Overview</w:t>
      </w:r>
    </w:p>
    <w:p>
      <w:pPr>
        <w:spacing w:after="120" w:before="60" w:line="312"/>
        <w:ind w:firstLine="360"/>
        <w:jc w:val="both"/>
      </w:pPr>
      <w:r>
        <w:rPr>
          <w:rFonts w:ascii="Calibri" w:eastAsia="Microsoft YaHei"/>
          <w:b w:val="false"/>
          <w:bCs w:val="false"/>
          <w:i w:val="false"/>
          <w:iCs w:val="false"/>
          <w:color w:val="000000"/>
          <w:sz w:val="22"/>
          <w:szCs w:val="22"/>
        </w:rPr>
        <w:t xml:space="preserve">DNV's digital offering is structured in three layers. The foundation is DNV's classification and advisory business — the surveyors, rules, and certificate-issuing authority that the maritime industry has trusted for over 150 years. On top of that sits Veracity, an independent industry cloud platform and digital marketplace that exposes DNV's data and services through APIs and applications. The third layer is a portfolio of point software products (ShipManager Hull, Hull Insights, Emissions Connect) that solve specific operational problems and increasingly exchange data through Veracity.</w:t>
      </w:r>
    </w:p>
    <w:p>
      <w:pPr>
        <w:pStyle w:val="Heading2"/>
        <w:spacing w:after="140" w:before="280" w:line="312"/>
      </w:pPr>
      <w:r>
        <w:rPr>
          <w:rFonts w:ascii="Calibri" w:eastAsia="SimHei"/>
          <w:b/>
          <w:bCs/>
          <w:color w:val="000000"/>
          <w:sz w:val="28"/>
          <w:szCs w:val="28"/>
        </w:rPr>
        <w:t xml:space="preserve">3.1 Veracity Platform</w:t>
      </w:r>
    </w:p>
    <w:p>
      <w:pPr>
        <w:spacing w:after="120" w:before="60" w:line="312"/>
        <w:ind w:firstLine="360"/>
        <w:jc w:val="both"/>
      </w:pPr>
      <w:r>
        <w:rPr>
          <w:rFonts w:ascii="Calibri" w:eastAsia="Microsoft YaHei"/>
          <w:b w:val="false"/>
          <w:bCs w:val="false"/>
          <w:i w:val="false"/>
          <w:iCs w:val="false"/>
          <w:color w:val="000000"/>
          <w:sz w:val="22"/>
          <w:szCs w:val="22"/>
        </w:rPr>
        <w:t xml:space="preserve">Veracity is described by DNV as an open, secure, independent industry cloud and data marketplace. It connects asset owners and operators with domain experts and technology providers across maritime, oil and gas, and energy. Over 50,000 vessels are connected through various integrations, and the integrated partner program has been reported at 35,000+ vessels. The platform runs on Microsoft Azure and is listed on the Azure Marketplace. Its commercial model is tiered: core applications such as Fleet Status and Rules and Standards are free of charge to owners and managers of DNV-classed vessels; advanced data services and third-party marketplace applications carry subscription or usage-based fees negotiated per engagement.</w:t>
      </w:r>
    </w:p>
    <w:p>
      <w:pPr>
        <w:pStyle w:val="Heading2"/>
        <w:spacing w:after="140" w:before="280" w:line="312"/>
      </w:pPr>
      <w:r>
        <w:rPr>
          <w:rFonts w:ascii="Calibri" w:eastAsia="SimHei"/>
          <w:b/>
          <w:bCs/>
          <w:color w:val="000000"/>
          <w:sz w:val="28"/>
          <w:szCs w:val="28"/>
        </w:rPr>
        <w:t xml:space="preserve">3.2 Layer Map</w:t>
      </w:r>
    </w:p>
    <w:p>
      <w:pPr>
        <w:keepNext/>
        <w:spacing w:after="80" w:before="160" w:line="312"/>
      </w:pPr>
      <w:r>
        <w:rPr>
          <w:rFonts w:ascii="Calibri" w:eastAsia="Microsoft YaHei"/>
          <w:b/>
          <w:bCs/>
          <w:i/>
          <w:iCs/>
          <w:color w:val="000000"/>
          <w:sz w:val="20"/>
          <w:szCs w:val="20"/>
        </w:rPr>
        <w:t xml:space="preserve">Table 3.1 — DNV digital layers and their relevance to Poseidon</w:t>
      </w:r>
    </w:p>
    <w:tbl>
      <w:tblPr>
        <w:tblW w:type="pct" w:w="100%"/>
        <w:tblBorders>
          <w:top w:val="single" w:color="2A7A65" w:sz="4"/>
          <w:left w:val="none"/>
          <w:bottom w:val="single" w:color="2A7A65" w:sz="4"/>
          <w:right w:val="none"/>
          <w:insideH w:val="single" w:color="BECFCC" w:sz="1"/>
          <w:insideV w:val="none"/>
        </w:tblBorders>
        <w:tblLayout w:type="fixed"/>
      </w:tblPr>
      <w:tblGrid>
        <w:gridCol w:w="100"/>
        <w:gridCol w:w="100"/>
        <w:gridCol w:w="100"/>
      </w:tblGrid>
      <w:tr>
        <w:trPr>
          <w:cantSplit/>
          <w:tblHeader/>
        </w:trPr>
        <w:tc>
          <w:tcPr>
            <w:tcW w:type="pct" w:w="22%"/>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Layer</w:t>
            </w:r>
          </w:p>
        </w:tc>
        <w:tc>
          <w:tcPr>
            <w:tcW w:type="pct" w:w="38%"/>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What it is</w:t>
            </w:r>
          </w:p>
        </w:tc>
        <w:tc>
          <w:tcPr>
            <w:tcW w:type="pct" w:w="40%"/>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Relevance to Poseidon</w:t>
            </w:r>
          </w:p>
        </w:tc>
      </w:tr>
      <w:tr>
        <w:trPr>
          <w:cantSplit/>
        </w:trPr>
        <w:tc>
          <w:tcPr>
            <w:tcW w:type="pct" w:w="22%"/>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Classification authority</w:t>
            </w:r>
          </w:p>
        </w:tc>
        <w:tc>
          <w:tcPr>
            <w:tcW w:type="pct" w:w="3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DNV surveyors, rules, class certificates, statutory verification</w:t>
            </w:r>
          </w:p>
        </w:tc>
        <w:tc>
          <w:tcPr>
            <w:tcW w:type="pct" w:w="4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Ultimate source of certificate and class-status truth; potential downstream consumer of Poseidon data packages via a verifier</w:t>
            </w:r>
          </w:p>
        </w:tc>
      </w:tr>
      <w:tr>
        <w:trPr>
          <w:cantSplit/>
        </w:trPr>
        <w:tc>
          <w:tcPr>
            <w:tcW w:type="pct" w:w="22%"/>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Veracity platform</w:t>
            </w:r>
          </w:p>
        </w:tc>
        <w:tc>
          <w:tcPr>
            <w:tcW w:type="pct" w:w="38%"/>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Cloud data platform + marketplace + APIs + identity (Azure AD B2C)</w:t>
            </w:r>
          </w:p>
        </w:tc>
        <w:tc>
          <w:tcPr>
            <w:tcW w:type="pct" w:w="4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Primary integration surface; OAuth 2.0 gateway to all DNV data services</w:t>
            </w:r>
          </w:p>
        </w:tc>
      </w:tr>
      <w:tr>
        <w:trPr>
          <w:cantSplit/>
        </w:trPr>
        <w:tc>
          <w:tcPr>
            <w:tcW w:type="pct" w:w="22%"/>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Emissions Connect</w:t>
            </w:r>
          </w:p>
        </w:tc>
        <w:tc>
          <w:tcPr>
            <w:tcW w:type="pct" w:w="3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Verified emissions data service on Veracity; covers EU MRV, CII, FuelEU</w:t>
            </w:r>
          </w:p>
        </w:tc>
        <w:tc>
          <w:tcPr>
            <w:tcW w:type="pct" w:w="4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Direct overlap with Poseidon's THETIS-MRV / FuelEU thesis; strongest commercial fit</w:t>
            </w:r>
          </w:p>
        </w:tc>
      </w:tr>
      <w:tr>
        <w:trPr>
          <w:cantSplit/>
        </w:trPr>
        <w:tc>
          <w:tcPr>
            <w:tcW w:type="pct" w:w="22%"/>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Operational Vessel Data (OVD)</w:t>
            </w:r>
          </w:p>
        </w:tc>
        <w:tc>
          <w:tcPr>
            <w:tcW w:type="pct" w:w="38%"/>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DNV interface standard + API for normalised vessel operational data</w:t>
            </w:r>
          </w:p>
        </w:tc>
        <w:tc>
          <w:tcPr>
            <w:tcW w:type="pct" w:w="4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Candidate internal data schema; lowers future egress cost to any partner</w:t>
            </w:r>
          </w:p>
        </w:tc>
      </w:tr>
      <w:tr>
        <w:trPr>
          <w:cantSplit/>
        </w:trPr>
        <w:tc>
          <w:tcPr>
            <w:tcW w:type="pct" w:w="22%"/>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ShipManager Hull / Hull Insights</w:t>
            </w:r>
          </w:p>
        </w:tc>
        <w:tc>
          <w:tcPr>
            <w:tcW w:type="pct" w:w="3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Hull integrity software + predictive condition analytics</w:t>
            </w:r>
          </w:p>
        </w:tc>
        <w:tc>
          <w:tcPr>
            <w:tcW w:type="pct" w:w="4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Adjacent to Poseidon scope; relevant only if hull/maintenance module is added later</w:t>
            </w:r>
          </w:p>
        </w:tc>
      </w:tr>
      <w:tr>
        <w:trPr>
          <w:cantSplit/>
        </w:trPr>
        <w:tc>
          <w:tcPr>
            <w:tcW w:type="pct" w:w="22%"/>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Fleet Status app</w:t>
            </w:r>
          </w:p>
        </w:tc>
        <w:tc>
          <w:tcPr>
            <w:tcW w:type="pct" w:w="38%"/>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Free DNV app: class status, certificates, survey booking, vessel list</w:t>
            </w:r>
          </w:p>
        </w:tc>
        <w:tc>
          <w:tcPr>
            <w:tcW w:type="pct" w:w="4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Lowest-friction read integration; candidate for Phase 2 differentiator</w:t>
            </w:r>
          </w:p>
        </w:tc>
      </w:tr>
      <w:tr>
        <w:trPr>
          <w:cantSplit/>
        </w:trPr>
        <w:tc>
          <w:tcPr>
            <w:tcW w:type="pct" w:w="22%"/>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Data Workbench</w:t>
            </w:r>
          </w:p>
        </w:tc>
        <w:tc>
          <w:tcPr>
            <w:tcW w:type="pct" w:w="3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Data pipeline hub: ingest + egress APIs, file storage, data assets</w:t>
            </w:r>
          </w:p>
        </w:tc>
        <w:tc>
          <w:tcPr>
            <w:tcW w:type="pct" w:w="4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Engineering surface for pushing Poseidon data into DNV verification flows</w:t>
            </w:r>
          </w:p>
        </w:tc>
      </w:tr>
    </w:tbl>
    <w:p>
      <w:pPr>
        <w:pStyle w:val="Heading1"/>
        <w:spacing w:after="200" w:before="360" w:line="312"/>
      </w:pPr>
      <w:r>
        <w:rPr>
          <w:rFonts w:ascii="Calibri" w:eastAsia="SimHei"/>
          <w:b/>
          <w:bCs/>
          <w:color w:val="000000"/>
          <w:sz w:val="32"/>
          <w:szCs w:val="32"/>
        </w:rPr>
        <w:t xml:space="preserve">4. Veracity Platform Deep Dive</w:t>
      </w:r>
    </w:p>
    <w:p>
      <w:pPr>
        <w:pStyle w:val="Heading2"/>
        <w:spacing w:after="140" w:before="280" w:line="312"/>
      </w:pPr>
      <w:r>
        <w:rPr>
          <w:rFonts w:ascii="Calibri" w:eastAsia="SimHei"/>
          <w:b/>
          <w:bCs/>
          <w:color w:val="000000"/>
          <w:sz w:val="28"/>
          <w:szCs w:val="28"/>
        </w:rPr>
        <w:t xml:space="preserve">4.1 Architecture and Identity</w:t>
      </w:r>
    </w:p>
    <w:p>
      <w:pPr>
        <w:spacing w:after="120" w:before="60" w:line="312"/>
        <w:ind w:firstLine="360"/>
        <w:jc w:val="both"/>
      </w:pPr>
      <w:r>
        <w:rPr>
          <w:rFonts w:ascii="Calibri" w:eastAsia="Microsoft YaHei"/>
          <w:b w:val="false"/>
          <w:bCs w:val="false"/>
          <w:i w:val="false"/>
          <w:iCs w:val="false"/>
          <w:color w:val="000000"/>
          <w:sz w:val="22"/>
          <w:szCs w:val="22"/>
        </w:rPr>
        <w:t xml:space="preserve">Veracity is built on Microsoft Azure and uses Azure AD B2C as its identity provider. All APIs are secured with OAuth 2.0, documented with Swagger / OpenAPI, and surfaced through a central API Explorer at docs.veracity.com/apis. An official .NET SDK (Veracity.Services.Api on NuGet) wraps the MyServices and Profile APIs for .NET integrations. For a Node.js / TypeScript stack like Poseidon's, the integration pattern is direct HTTPS with an OAuth 2.0 client-credentials or authorisation-code flow — there is no first-party TypeScript SDK, so the transport and token-refresh logic that Poseidon already built for MarineTraffic would be reused and extended.</w:t>
      </w:r>
    </w:p>
    <w:p>
      <w:pPr>
        <w:pStyle w:val="Heading2"/>
        <w:spacing w:after="140" w:before="280" w:line="312"/>
      </w:pPr>
      <w:r>
        <w:rPr>
          <w:rFonts w:ascii="Calibri" w:eastAsia="SimHei"/>
          <w:b/>
          <w:bCs/>
          <w:color w:val="000000"/>
          <w:sz w:val="28"/>
          <w:szCs w:val="28"/>
        </w:rPr>
        <w:t xml:space="preserve">4.2 API Explorer and Marketplace</w:t>
      </w:r>
    </w:p>
    <w:p>
      <w:pPr>
        <w:spacing w:after="120" w:before="60" w:line="312"/>
        <w:ind w:firstLine="360"/>
        <w:jc w:val="both"/>
      </w:pPr>
      <w:r>
        <w:rPr>
          <w:rFonts w:ascii="Calibri" w:eastAsia="Microsoft YaHei"/>
          <w:b w:val="false"/>
          <w:bCs w:val="false"/>
          <w:i w:val="false"/>
          <w:iCs w:val="false"/>
          <w:color w:val="000000"/>
          <w:sz w:val="22"/>
          <w:szCs w:val="22"/>
        </w:rPr>
        <w:t xml:space="preserve">The Veracity API Explorer (docs.veracity.com/apis) is the canonical catalogue for both DNV-platform APIs and third-party API products. The Marketplace (store.veracity.com) is the commercial front-end where customers subscribe to applications, datasets, and APIs. Two storefront filters matter for Poseidon: store.veracity.com/?productTypes=api lists all API products, and store.veracity.com/?categories=certification-and-approval lists certification-and-approval services. DNV does not publish a standardised public price list; pricing is per-product and per-engagement, and several core applications are explicitly free to DNV-classed customers.</w:t>
      </w:r>
    </w:p>
    <w:p>
      <w:pPr>
        <w:pStyle w:val="Heading2"/>
        <w:spacing w:after="140" w:before="280" w:line="312"/>
      </w:pPr>
      <w:r>
        <w:rPr>
          <w:rFonts w:ascii="Calibri" w:eastAsia="SimHei"/>
          <w:b/>
          <w:bCs/>
          <w:color w:val="000000"/>
          <w:sz w:val="28"/>
          <w:szCs w:val="28"/>
        </w:rPr>
        <w:t xml:space="preserve">4.3 Data Workbench</w:t>
      </w:r>
    </w:p>
    <w:p>
      <w:pPr>
        <w:spacing w:after="120" w:before="60" w:line="312"/>
        <w:ind w:firstLine="360"/>
        <w:jc w:val="both"/>
      </w:pPr>
      <w:r>
        <w:rPr>
          <w:rFonts w:ascii="Calibri" w:eastAsia="Microsoft YaHei"/>
          <w:b w:val="false"/>
          <w:bCs w:val="false"/>
          <w:i w:val="false"/>
          <w:iCs w:val="false"/>
          <w:color w:val="000000"/>
          <w:sz w:val="22"/>
          <w:szCs w:val="22"/>
        </w:rPr>
        <w:t xml:space="preserve">The Veracity Data Workbench is the data-pipeline hub. It provides an overview of available data assets, enables data pipelines for both ingestion and egress, and supports trusted data sharing across the maritime and energy ecosystems. A File Storage component adds enhanced storage for pipeline workflows. The Workbench is the engineering surface Poseidon would use to push operational data into DNV and to pull verified outputs back. Real-world integrations already exist: Kongsberg Maritime exchanges vessel data with DNV via the OVD interface standard and API; OSM Maritime integrates with Veracity's ingest API for continuous quality-assured emissions data; OrbitMI transfers noon and event reports from Orbit Reporter into Veracity automatically.</w:t>
      </w:r>
    </w:p>
    <w:p>
      <w:pPr>
        <w:pStyle w:val="Heading1"/>
        <w:spacing w:after="200" w:before="360" w:line="312"/>
      </w:pPr>
      <w:r>
        <w:rPr>
          <w:rFonts w:ascii="Calibri" w:eastAsia="SimHei"/>
          <w:b/>
          <w:bCs/>
          <w:color w:val="000000"/>
          <w:sz w:val="32"/>
          <w:szCs w:val="32"/>
        </w:rPr>
        <w:t xml:space="preserve">5. Specific APIs and Services</w:t>
      </w:r>
    </w:p>
    <w:p>
      <w:pPr>
        <w:pStyle w:val="Heading2"/>
        <w:spacing w:after="140" w:before="280" w:line="312"/>
      </w:pPr>
      <w:r>
        <w:rPr>
          <w:rFonts w:ascii="Calibri" w:eastAsia="SimHei"/>
          <w:b/>
          <w:bCs/>
          <w:color w:val="000000"/>
          <w:sz w:val="28"/>
          <w:szCs w:val="28"/>
        </w:rPr>
        <w:t xml:space="preserve">5.1 DNV Class Status API</w:t>
      </w:r>
    </w:p>
    <w:p>
      <w:pPr>
        <w:spacing w:after="120" w:before="60" w:line="312"/>
        <w:ind w:firstLine="360"/>
        <w:jc w:val="both"/>
      </w:pPr>
      <w:r>
        <w:rPr>
          <w:rFonts w:ascii="Calibri" w:eastAsia="Microsoft YaHei"/>
          <w:b w:val="false"/>
          <w:bCs w:val="false"/>
          <w:i w:val="false"/>
          <w:iCs w:val="false"/>
          <w:color w:val="000000"/>
          <w:sz w:val="22"/>
          <w:szCs w:val="22"/>
        </w:rPr>
        <w:t xml:space="preserve">DNV exposes a Class Status API documented at maritime.dnv.com/api/cs-iacs-customer. It is Swagger-documented and secured with OAuth 2.0 via Azure AD B2C. The API exposes class status information for DNV-classed vessels to customers (the IACS customer endpoint implies an industry-standard class data exchange). This is the most directly relevant read API for Poseidon: it would let the vessel profile page show live class status, open conditions of class, and survey due-dates next to the ETS scope flag and FuelEU compliance balance.</w:t>
      </w:r>
    </w:p>
    <w:p>
      <w:pPr>
        <w:pStyle w:val="Heading2"/>
        <w:spacing w:after="140" w:before="280" w:line="312"/>
      </w:pPr>
      <w:r>
        <w:rPr>
          <w:rFonts w:ascii="Calibri" w:eastAsia="SimHei"/>
          <w:b/>
          <w:bCs/>
          <w:color w:val="000000"/>
          <w:sz w:val="28"/>
          <w:szCs w:val="28"/>
        </w:rPr>
        <w:t xml:space="preserve">5.2 Fleet Status Application</w:t>
      </w:r>
    </w:p>
    <w:p>
      <w:pPr>
        <w:spacing w:after="120" w:before="60" w:line="312"/>
        <w:ind w:firstLine="360"/>
        <w:jc w:val="both"/>
      </w:pPr>
      <w:r>
        <w:rPr>
          <w:rFonts w:ascii="Calibri" w:eastAsia="Microsoft YaHei"/>
          <w:b w:val="false"/>
          <w:bCs w:val="false"/>
          <w:i w:val="false"/>
          <w:iCs w:val="false"/>
          <w:color w:val="000000"/>
          <w:sz w:val="22"/>
          <w:szCs w:val="22"/>
        </w:rPr>
        <w:t xml:space="preserve">Fleet Status is a free Veracity application for owners and managers of DNV-classed vessels. Its feature set includes digital access to class certificates, real-time survey status (upcoming, overdue, completed), survey remarks and recommendations, survey requests and Smart Survey Booking (including remote survey options for certain survey types), vessel list management, an image library of inspection photos, and an overall class-status dashboard. Although it is an application rather than a pure API, the underlying data is exposed through the Class Status API and the Veracity platform, which means a Poseidon integration could surface the same information inside Poseidon's own vessel profile rather than forcing the user to context-switch to a separate portal.</w:t>
      </w:r>
    </w:p>
    <w:p>
      <w:pPr>
        <w:pStyle w:val="Heading2"/>
        <w:spacing w:after="140" w:before="280" w:line="312"/>
      </w:pPr>
      <w:r>
        <w:rPr>
          <w:rFonts w:ascii="Calibri" w:eastAsia="SimHei"/>
          <w:b/>
          <w:bCs/>
          <w:color w:val="000000"/>
          <w:sz w:val="28"/>
          <w:szCs w:val="28"/>
        </w:rPr>
        <w:t xml:space="preserve">5.3 Emissions Connect</w:t>
      </w:r>
    </w:p>
    <w:p>
      <w:pPr>
        <w:spacing w:after="120" w:before="60" w:line="312"/>
        <w:ind w:firstLine="360"/>
        <w:jc w:val="both"/>
      </w:pPr>
      <w:r>
        <w:rPr>
          <w:rFonts w:ascii="Calibri" w:eastAsia="Microsoft YaHei"/>
          <w:b w:val="false"/>
          <w:bCs w:val="false"/>
          <w:i w:val="false"/>
          <w:iCs w:val="false"/>
          <w:color w:val="000000"/>
          <w:sz w:val="22"/>
          <w:szCs w:val="22"/>
        </w:rPr>
        <w:t xml:space="preserve">Emissions Connect is DNV's verified emissions data service on Veracity. It provides seamless access to continuously verified emissions data and the ability to receive verified emissions statements on demand. It supports EU MRV, CII reporting, and FuelEU Maritime compliance. Critically, DNV confirms that 'using Veracity Data Workbench, you can set up APIs to automatically integrate Emissions Connect data into your internal systems and with external partners.' This is the strongest commercial overlap with Poseidon's thesis. Emissions Connect requires reporting of at least one Log Abstract event every 30 hours (the Voyage Leg Verification, VLV, service) and applies DNV's validation, enrichment, data-quality control, and verification steps to produce verified outputs.</w:t>
      </w:r>
    </w:p>
    <w:p>
      <w:pPr>
        <w:spacing w:after="120" w:before="60" w:line="312"/>
        <w:ind w:firstLine="360"/>
        <w:jc w:val="both"/>
      </w:pPr>
      <w:r>
        <w:rPr>
          <w:rFonts w:ascii="Calibri" w:eastAsia="Microsoft YaHei"/>
          <w:b w:val="false"/>
          <w:bCs w:val="false"/>
          <w:i w:val="false"/>
          <w:iCs w:val="false"/>
          <w:color w:val="000000"/>
          <w:sz w:val="22"/>
          <w:szCs w:val="22"/>
        </w:rPr>
        <w:t xml:space="preserve">Several partnerships demonstrate the integration pattern. Veson and Veracity stream verified emissions data into operational and commercial workflows. Spinergie and Veracity provide seamless access to verified emissions data for companies like SMT Shipping. ZeroNorth and Veracity launched an end-to-end emissions reporting and verification service. BSM (Bernhard Schulte Shipmanagement) uses Emissions Connect to master GHG compliance across its fleet. The pattern in every case is the same: operational data flows into Veracity via the Data Workbench ingest API, DNV validates and verifies it, and verified statements flow back to the originator and to authorised partners. Poseidon's architecture is already shaped to be the originator.</w:t>
      </w:r>
    </w:p>
    <w:p>
      <w:pPr>
        <w:pStyle w:val="Heading2"/>
        <w:spacing w:after="140" w:before="280" w:line="312"/>
      </w:pPr>
      <w:r>
        <w:rPr>
          <w:rFonts w:ascii="Calibri" w:eastAsia="SimHei"/>
          <w:b/>
          <w:bCs/>
          <w:color w:val="000000"/>
          <w:sz w:val="28"/>
          <w:szCs w:val="28"/>
        </w:rPr>
        <w:t xml:space="preserve">5.4 Operational Vessel Data (OVD) Standard</w:t>
      </w:r>
    </w:p>
    <w:p>
      <w:pPr>
        <w:spacing w:after="120" w:before="60" w:line="312"/>
        <w:ind w:firstLine="360"/>
        <w:jc w:val="both"/>
      </w:pPr>
      <w:r>
        <w:rPr>
          <w:rFonts w:ascii="Calibri" w:eastAsia="Microsoft YaHei"/>
          <w:b w:val="false"/>
          <w:bCs w:val="false"/>
          <w:i w:val="false"/>
          <w:iCs w:val="false"/>
          <w:color w:val="000000"/>
          <w:sz w:val="22"/>
          <w:szCs w:val="22"/>
        </w:rPr>
        <w:t xml:space="preserve">OVD is DNV's interface standard for normalised operational vessel data. It defines a common schema for the data that flows between vessel systems, owners, and DNV. The OVD Egest Data documentation at docs.veracity.com describes data that has been processed through DNV's validation, enrichment, data-quality control, and verification steps. Kongsberg Maritime's K-IMS platform exchanges data with DNV via OVD. The standard matters to Poseidon defensively: if Poseidon's internal voyage and fuel-delivery records are shaped to be OVD-compatible, future egress to DNV or to any OVD-compliant partner becomes a transform rather than a rewrite.</w:t>
      </w:r>
    </w:p>
    <w:p>
      <w:pPr>
        <w:pStyle w:val="Heading2"/>
        <w:spacing w:after="140" w:before="280" w:line="312"/>
      </w:pPr>
      <w:r>
        <w:rPr>
          <w:rFonts w:ascii="Calibri" w:eastAsia="SimHei"/>
          <w:b/>
          <w:bCs/>
          <w:color w:val="000000"/>
          <w:sz w:val="28"/>
          <w:szCs w:val="28"/>
        </w:rPr>
        <w:t xml:space="preserve">5.5 ShipManager Hull and Hull Insights</w:t>
      </w:r>
    </w:p>
    <w:p>
      <w:pPr>
        <w:spacing w:after="120" w:before="60" w:line="312"/>
        <w:ind w:firstLine="360"/>
        <w:jc w:val="both"/>
      </w:pPr>
      <w:r>
        <w:rPr>
          <w:rFonts w:ascii="Calibri" w:eastAsia="Microsoft YaHei"/>
          <w:b w:val="false"/>
          <w:bCs w:val="false"/>
          <w:i w:val="false"/>
          <w:iCs w:val="false"/>
          <w:color w:val="000000"/>
          <w:sz w:val="22"/>
          <w:szCs w:val="22"/>
        </w:rPr>
        <w:t xml:space="preserve">ShipManager Hull is DNV's hull integrity and maintenance software. It covers coating condition, cracks, indents and deformation, buckling, and corrosion, and supports a planned-maintenance system based on best-practice procedures for hull inspections. Hull Insights is a complementary analytics dashboard providing predicted hull-condition information for vessels and fleets. These products are adjacent to Poseidon's current scope (which is emissions and port-compliance, not structural maintenance) but become relevant if Poseidon later extends into asset management or if a charter client requests a unified ESG-plus-asset view. DNV has also awarded Approval in Principle to digital twin ship systems (notably HD Hyundai's HiDTS) and has used ShipManager Hull to realise 3D digital twins for offshore vessels such as the Saipem 7000.</w:t>
      </w:r>
    </w:p>
    <w:p>
      <w:pPr>
        <w:pStyle w:val="Heading1"/>
        <w:spacing w:after="200" w:before="360" w:line="312"/>
      </w:pPr>
      <w:r>
        <w:rPr>
          <w:rFonts w:ascii="Calibri" w:eastAsia="SimHei"/>
          <w:b/>
          <w:bCs/>
          <w:color w:val="000000"/>
          <w:sz w:val="32"/>
          <w:szCs w:val="32"/>
        </w:rPr>
        <w:t xml:space="preserve">6. Integration Opportunities for Poseidon</w:t>
      </w:r>
    </w:p>
    <w:p>
      <w:pPr>
        <w:spacing w:after="120" w:before="60" w:line="312"/>
        <w:ind w:firstLine="360"/>
        <w:jc w:val="both"/>
      </w:pPr>
      <w:r>
        <w:rPr>
          <w:rFonts w:ascii="Calibri" w:eastAsia="Microsoft YaHei"/>
          <w:b w:val="false"/>
          <w:bCs w:val="false"/>
          <w:i w:val="false"/>
          <w:iCs w:val="false"/>
          <w:color w:val="000000"/>
          <w:sz w:val="22"/>
          <w:szCs w:val="22"/>
        </w:rPr>
        <w:t xml:space="preserve">The following opportunities are mapped against Poseidon's planned module set. Each is rated for strategic fit, engineering effort, and dependency on a DNV commercial relationship.</w:t>
      </w:r>
    </w:p>
    <w:p>
      <w:pPr>
        <w:keepNext/>
        <w:spacing w:after="80" w:before="160" w:line="312"/>
      </w:pPr>
      <w:r>
        <w:rPr>
          <w:rFonts w:ascii="Calibri" w:eastAsia="Microsoft YaHei"/>
          <w:b/>
          <w:bCs/>
          <w:i/>
          <w:iCs/>
          <w:color w:val="000000"/>
          <w:sz w:val="20"/>
          <w:szCs w:val="20"/>
        </w:rPr>
        <w:t xml:space="preserve">Table 6.1 — Integration opportunity matrix</w:t>
      </w:r>
    </w:p>
    <w:tbl>
      <w:tblPr>
        <w:tblW w:type="pct" w:w="100%"/>
        <w:tblBorders>
          <w:top w:val="single" w:color="2A7A65" w:sz="4"/>
          <w:left w:val="none"/>
          <w:bottom w:val="single" w:color="2A7A65" w:sz="4"/>
          <w:right w:val="none"/>
          <w:insideH w:val="single" w:color="BECFCC" w:sz="1"/>
          <w:insideV w:val="none"/>
        </w:tblBorders>
        <w:tblLayout w:type="fixed"/>
      </w:tblPr>
      <w:tblGrid>
        <w:gridCol w:w="100"/>
        <w:gridCol w:w="100"/>
        <w:gridCol w:w="100"/>
        <w:gridCol w:w="100"/>
        <w:gridCol w:w="100"/>
      </w:tblGrid>
      <w:tr>
        <w:trPr>
          <w:cantSplit/>
          <w:tblHeader/>
        </w:trPr>
        <w:tc>
          <w:tcPr>
            <w:tcW w:type="pct" w:w="28%"/>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Opportunity</w:t>
            </w:r>
          </w:p>
        </w:tc>
        <w:tc>
          <w:tcPr>
            <w:tcW w:type="pct" w:w="22%"/>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Poseidon module touched</w:t>
            </w:r>
          </w:p>
        </w:tc>
        <w:tc>
          <w:tcPr>
            <w:tcW w:type="pct" w:w="10%"/>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Fit</w:t>
            </w:r>
          </w:p>
        </w:tc>
        <w:tc>
          <w:tcPr>
            <w:tcW w:type="pct" w:w="10%"/>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Effort</w:t>
            </w:r>
          </w:p>
        </w:tc>
        <w:tc>
          <w:tcPr>
            <w:tcW w:type="pct" w:w="30%"/>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DNV relationship needed</w:t>
            </w:r>
          </w:p>
        </w:tc>
      </w:tr>
      <w:tr>
        <w:trPr>
          <w:cantSplit/>
        </w:trPr>
        <w:tc>
          <w:tcPr>
            <w:tcW w:type="pct" w:w="2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Read class status + certificates into vessel profile</w:t>
            </w:r>
          </w:p>
        </w:tc>
        <w:tc>
          <w:tcPr>
            <w:tcW w:type="pct" w:w="22%"/>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Vessel Management</w:t>
            </w:r>
          </w:p>
        </w:tc>
        <w:tc>
          <w:tcPr>
            <w:tcW w:type="pct" w:w="1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High</w:t>
            </w:r>
          </w:p>
        </w:tc>
        <w:tc>
          <w:tcPr>
            <w:tcW w:type="pct" w:w="1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Medium</w:t>
            </w:r>
          </w:p>
        </w:tc>
        <w:tc>
          <w:tcPr>
            <w:tcW w:type="pct" w:w="3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Yes (DNV-classed fleet)</w:t>
            </w:r>
          </w:p>
        </w:tc>
      </w:tr>
      <w:tr>
        <w:trPr>
          <w:cantSplit/>
        </w:trPr>
        <w:tc>
          <w:tcPr>
            <w:tcW w:type="pct" w:w="28%"/>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Surface survey due-dates and remarks</w:t>
            </w:r>
          </w:p>
        </w:tc>
        <w:tc>
          <w:tcPr>
            <w:tcW w:type="pct" w:w="22%"/>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Vessel Management, Notifications</w:t>
            </w:r>
          </w:p>
        </w:tc>
        <w:tc>
          <w:tcPr>
            <w:tcW w:type="pct" w:w="1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High</w:t>
            </w:r>
          </w:p>
        </w:tc>
        <w:tc>
          <w:tcPr>
            <w:tcW w:type="pct" w:w="1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Medium</w:t>
            </w:r>
          </w:p>
        </w:tc>
        <w:tc>
          <w:tcPr>
            <w:tcW w:type="pct" w:w="3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Yes</w:t>
            </w:r>
          </w:p>
        </w:tc>
      </w:tr>
      <w:tr>
        <w:trPr>
          <w:cantSplit/>
        </w:trPr>
        <w:tc>
          <w:tcPr>
            <w:tcW w:type="pct" w:w="2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Push operational data to Emissions Connect via Workbench ingest API</w:t>
            </w:r>
          </w:p>
        </w:tc>
        <w:tc>
          <w:tcPr>
            <w:tcW w:type="pct" w:w="22%"/>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BDN Processing, AIS, Reporting</w:t>
            </w:r>
          </w:p>
        </w:tc>
        <w:tc>
          <w:tcPr>
            <w:tcW w:type="pct" w:w="1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Very High</w:t>
            </w:r>
          </w:p>
        </w:tc>
        <w:tc>
          <w:tcPr>
            <w:tcW w:type="pct" w:w="1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High</w:t>
            </w:r>
          </w:p>
        </w:tc>
        <w:tc>
          <w:tcPr>
            <w:tcW w:type="pct" w:w="3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Yes (paid subscription)</w:t>
            </w:r>
          </w:p>
        </w:tc>
      </w:tr>
      <w:tr>
        <w:trPr>
          <w:cantSplit/>
        </w:trPr>
        <w:tc>
          <w:tcPr>
            <w:tcW w:type="pct" w:w="28%"/>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Pull verified emissions statements back into Poseidon</w:t>
            </w:r>
          </w:p>
        </w:tc>
        <w:tc>
          <w:tcPr>
            <w:tcW w:type="pct" w:w="22%"/>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EU ETS, FuelEU, THETIS-MRV Export</w:t>
            </w:r>
          </w:p>
        </w:tc>
        <w:tc>
          <w:tcPr>
            <w:tcW w:type="pct" w:w="1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Very High</w:t>
            </w:r>
          </w:p>
        </w:tc>
        <w:tc>
          <w:tcPr>
            <w:tcW w:type="pct" w:w="1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Medium</w:t>
            </w:r>
          </w:p>
        </w:tc>
        <w:tc>
          <w:tcPr>
            <w:tcW w:type="pct" w:w="3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Yes (paid subscription)</w:t>
            </w:r>
          </w:p>
        </w:tc>
      </w:tr>
      <w:tr>
        <w:trPr>
          <w:cantSplit/>
        </w:trPr>
        <w:tc>
          <w:tcPr>
            <w:tcW w:type="pct" w:w="2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Adopt OVD-compatible internal schema</w:t>
            </w:r>
          </w:p>
        </w:tc>
        <w:tc>
          <w:tcPr>
            <w:tcW w:type="pct" w:w="22%"/>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All operational data modules</w:t>
            </w:r>
          </w:p>
        </w:tc>
        <w:tc>
          <w:tcPr>
            <w:tcW w:type="pct" w:w="1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Medium</w:t>
            </w:r>
          </w:p>
        </w:tc>
        <w:tc>
          <w:tcPr>
            <w:tcW w:type="pct" w:w="1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Low (design-time)</w:t>
            </w:r>
          </w:p>
        </w:tc>
        <w:tc>
          <w:tcPr>
            <w:tcW w:type="pct" w:w="3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No</w:t>
            </w:r>
          </w:p>
        </w:tc>
      </w:tr>
      <w:tr>
        <w:trPr>
          <w:cantSplit/>
        </w:trPr>
        <w:tc>
          <w:tcPr>
            <w:tcW w:type="pct" w:w="28%"/>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Green Zone port readiness includes class/cert posture</w:t>
            </w:r>
          </w:p>
        </w:tc>
        <w:tc>
          <w:tcPr>
            <w:tcW w:type="pct" w:w="22%"/>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Green Zone Compliance</w:t>
            </w:r>
          </w:p>
        </w:tc>
        <w:tc>
          <w:tcPr>
            <w:tcW w:type="pct" w:w="1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Medium</w:t>
            </w:r>
          </w:p>
        </w:tc>
        <w:tc>
          <w:tcPr>
            <w:tcW w:type="pct" w:w="1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Low</w:t>
            </w:r>
          </w:p>
        </w:tc>
        <w:tc>
          <w:tcPr>
            <w:tcW w:type="pct" w:w="3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Yes (read API)</w:t>
            </w:r>
          </w:p>
        </w:tc>
      </w:tr>
      <w:tr>
        <w:trPr>
          <w:cantSplit/>
        </w:trPr>
        <w:tc>
          <w:tcPr>
            <w:tcW w:type="pct" w:w="2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Future: hull/maintenance module via ShipManager data</w:t>
            </w:r>
          </w:p>
        </w:tc>
        <w:tc>
          <w:tcPr>
            <w:tcW w:type="pct" w:w="22%"/>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Not currently planned</w:t>
            </w:r>
          </w:p>
        </w:tc>
        <w:tc>
          <w:tcPr>
            <w:tcW w:type="pct" w:w="1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Low</w:t>
            </w:r>
          </w:p>
        </w:tc>
        <w:tc>
          <w:tcPr>
            <w:tcW w:type="pct" w:w="1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High</w:t>
            </w:r>
          </w:p>
        </w:tc>
        <w:tc>
          <w:tcPr>
            <w:tcW w:type="pct" w:w="3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Yes</w:t>
            </w:r>
          </w:p>
        </w:tc>
      </w:tr>
    </w:tbl>
    <w:p>
      <w:pPr>
        <w:pStyle w:val="Heading2"/>
        <w:spacing w:after="140" w:before="280" w:line="312"/>
      </w:pPr>
      <w:r>
        <w:rPr>
          <w:rFonts w:ascii="Calibri" w:eastAsia="SimHei"/>
          <w:b/>
          <w:bCs/>
          <w:color w:val="000000"/>
          <w:sz w:val="28"/>
          <w:szCs w:val="28"/>
        </w:rPr>
        <w:t xml:space="preserve">6.1 Phase 2 — Read-Only Class and Certificate Posture</w:t>
      </w:r>
    </w:p>
    <w:p>
      <w:pPr>
        <w:spacing w:after="120" w:before="60" w:line="312"/>
        <w:ind w:firstLine="360"/>
        <w:jc w:val="both"/>
      </w:pPr>
      <w:r>
        <w:rPr>
          <w:rFonts w:ascii="Calibri" w:eastAsia="Microsoft YaHei"/>
          <w:b w:val="false"/>
          <w:bCs w:val="false"/>
          <w:i w:val="false"/>
          <w:iCs w:val="false"/>
          <w:color w:val="000000"/>
          <w:sz w:val="22"/>
          <w:szCs w:val="22"/>
        </w:rPr>
        <w:t xml:space="preserve">The lowest-friction, highest-differentiation integration is read-only. Poseidon would use the Class Status API (OAuth 2.0, Azure AD B2C) to pull, for each DNV-classed vessel in a customer's fleet, the live class status, open conditions of class, certificate expiry dates, and survey due-dates. This data would render inside the vessel profile page alongside the existing ETS scope flag, FuelEU compliance balance, and Green Zone status. The user value is concrete: a single screen answers 'is this vessel compliant across emissions, port, and class?' without context-switching to the Fleet Status portal. Engineering effort is moderate — the transport, retry, and token-refresh patterns already exist in the MarineTraffic client and would be generalised into a shared OAuth 2.0 transport.</w:t>
      </w:r>
    </w:p>
    <w:p>
      <w:pPr>
        <w:pStyle w:val="Heading2"/>
        <w:spacing w:after="140" w:before="280" w:line="312"/>
      </w:pPr>
      <w:r>
        <w:rPr>
          <w:rFonts w:ascii="Calibri" w:eastAsia="SimHei"/>
          <w:b/>
          <w:bCs/>
          <w:color w:val="000000"/>
          <w:sz w:val="28"/>
          <w:szCs w:val="28"/>
        </w:rPr>
        <w:t xml:space="preserve">6.2 Phase 3 — Emissions Connect Data Exchange</w:t>
      </w:r>
    </w:p>
    <w:p>
      <w:pPr>
        <w:spacing w:after="120" w:before="60" w:line="312"/>
        <w:ind w:firstLine="360"/>
        <w:jc w:val="both"/>
      </w:pPr>
      <w:r>
        <w:rPr>
          <w:rFonts w:ascii="Calibri" w:eastAsia="Microsoft YaHei"/>
          <w:b w:val="false"/>
          <w:bCs w:val="false"/>
          <w:i w:val="false"/>
          <w:iCs w:val="false"/>
          <w:color w:val="000000"/>
          <w:sz w:val="22"/>
          <w:szCs w:val="22"/>
        </w:rPr>
        <w:t xml:space="preserve">The highest-value integration is a bidirectional Emissions Connect exchange. Poseidon would push reconciled operational data (voyage legs, fuel deliveries, Log Abstract events at the required 30-hour cadence) into DNV's verification pipeline via the Data Workbench ingest API. DNV would validate, enrich, and verify the data. Verified emissions statements would flow back into Poseidon and attach directly to the vessel's annual compliance record. The user value is the elimination of the verifier revision cycle — the single largest cost driver identified in the architecture document. Because DNV is itself an accredited verifier, data that has passed through Emissions Connect arrives at the verifier's desk pre-validated, dramatically reducing clarification requests.</w:t>
      </w:r>
    </w:p>
    <w:p>
      <w:pPr>
        <w:spacing w:after="120" w:before="60" w:line="312"/>
        <w:ind w:firstLine="360"/>
        <w:jc w:val="both"/>
      </w:pPr>
      <w:r>
        <w:rPr>
          <w:rFonts w:ascii="Calibri" w:eastAsia="Microsoft YaHei"/>
          <w:b w:val="false"/>
          <w:bCs w:val="false"/>
          <w:i w:val="false"/>
          <w:iCs w:val="false"/>
          <w:color w:val="000000"/>
          <w:sz w:val="22"/>
          <w:szCs w:val="22"/>
        </w:rPr>
        <w:t xml:space="preserve">This integration depends on a commercial subscription to Emissions Connect and on conformance to the OVD reporting format. It is the integration most aligned with Poseidon's product thesis and the one most defensible against competitor platforms that lack a verification-side partnership.</w:t>
      </w:r>
    </w:p>
    <w:p>
      <w:pPr>
        <w:pStyle w:val="Heading2"/>
        <w:spacing w:after="140" w:before="280" w:line="312"/>
      </w:pPr>
      <w:r>
        <w:rPr>
          <w:rFonts w:ascii="Calibri" w:eastAsia="SimHei"/>
          <w:b/>
          <w:bCs/>
          <w:color w:val="000000"/>
          <w:sz w:val="28"/>
          <w:szCs w:val="28"/>
        </w:rPr>
        <w:t xml:space="preserve">6.3 Defensive Design — OVD-Compatible Schema</w:t>
      </w:r>
    </w:p>
    <w:p>
      <w:pPr>
        <w:spacing w:after="120" w:before="60" w:line="312"/>
        <w:ind w:firstLine="360"/>
        <w:jc w:val="both"/>
      </w:pPr>
      <w:r>
        <w:rPr>
          <w:rFonts w:ascii="Calibri" w:eastAsia="Microsoft YaHei"/>
          <w:b w:val="false"/>
          <w:bCs w:val="false"/>
          <w:i w:val="false"/>
          <w:iCs w:val="false"/>
          <w:color w:val="000000"/>
          <w:sz w:val="22"/>
          <w:szCs w:val="22"/>
        </w:rPr>
        <w:t xml:space="preserve">Independent of any commercial relationship, Poseidon can adopt an OVD-compatible internal schema for voyage and fuel-delivery records. This is a design-time decision with negligible runtime cost. The benefit is optionality: if a customer later requests DNV verification, or if Poseidon later integrates with an OVD-compliant partner (Kongsberg, OrbitMI, Veson), the egress transform is trivial rather than a refactor. This is the single cheapest hedge in the entire DNV ecosystem.</w:t>
      </w:r>
    </w:p>
    <w:p>
      <w:pPr>
        <w:pStyle w:val="Heading1"/>
        <w:spacing w:after="200" w:before="360" w:line="312"/>
      </w:pPr>
      <w:r>
        <w:rPr>
          <w:rFonts w:ascii="Calibri" w:eastAsia="SimHei"/>
          <w:b/>
          <w:bCs/>
          <w:color w:val="000000"/>
          <w:sz w:val="32"/>
          <w:szCs w:val="32"/>
        </w:rPr>
        <w:t xml:space="preserve">7. APIs Available — Summary Catalogue</w:t>
      </w:r>
    </w:p>
    <w:p>
      <w:pPr>
        <w:spacing w:after="120" w:before="60" w:line="312"/>
        <w:ind w:firstLine="360"/>
        <w:jc w:val="both"/>
      </w:pPr>
      <w:r>
        <w:rPr>
          <w:rFonts w:ascii="Calibri" w:eastAsia="Microsoft YaHei"/>
          <w:b w:val="false"/>
          <w:bCs w:val="false"/>
          <w:i w:val="false"/>
          <w:iCs w:val="false"/>
          <w:color w:val="000000"/>
          <w:sz w:val="22"/>
          <w:szCs w:val="22"/>
        </w:rPr>
        <w:t xml:space="preserve">The following table consolidates the DNV / Veracity API and service surfaces identified during research. Authentication for all gated endpoints is OAuth 2.0 via Azure AD B2C. Documentation is Swagger / OpenAPI. There is no first-party TypeScript SDK; integration is direct HTTPS, reusing Poseidon's existing transport abstractions.</w:t>
      </w:r>
    </w:p>
    <w:p>
      <w:pPr>
        <w:keepNext/>
        <w:spacing w:after="80" w:before="160" w:line="312"/>
      </w:pPr>
      <w:r>
        <w:rPr>
          <w:rFonts w:ascii="Calibri" w:eastAsia="Microsoft YaHei"/>
          <w:b/>
          <w:bCs/>
          <w:i/>
          <w:iCs/>
          <w:color w:val="000000"/>
          <w:sz w:val="20"/>
          <w:szCs w:val="20"/>
        </w:rPr>
        <w:t xml:space="preserve">Table 7.1 — DNV / Veracity API and service catalogue</w:t>
      </w:r>
    </w:p>
    <w:tbl>
      <w:tblPr>
        <w:tblW w:type="pct" w:w="100%"/>
        <w:tblBorders>
          <w:top w:val="single" w:color="2A7A65" w:sz="4"/>
          <w:left w:val="none"/>
          <w:bottom w:val="single" w:color="2A7A65" w:sz="4"/>
          <w:right w:val="none"/>
          <w:insideH w:val="single" w:color="BECFCC" w:sz="1"/>
          <w:insideV w:val="none"/>
        </w:tblBorders>
        <w:tblLayout w:type="fixed"/>
      </w:tblPr>
      <w:tblGrid>
        <w:gridCol w:w="100"/>
        <w:gridCol w:w="100"/>
        <w:gridCol w:w="100"/>
        <w:gridCol w:w="100"/>
        <w:gridCol w:w="100"/>
      </w:tblGrid>
      <w:tr>
        <w:trPr>
          <w:cantSplit/>
          <w:tblHeader/>
        </w:trPr>
        <w:tc>
          <w:tcPr>
            <w:tcW w:type="pct" w:w="20%"/>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Surface</w:t>
            </w:r>
          </w:p>
        </w:tc>
        <w:tc>
          <w:tcPr>
            <w:tcW w:type="pct" w:w="26%"/>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Endpoint / Location</w:t>
            </w:r>
          </w:p>
        </w:tc>
        <w:tc>
          <w:tcPr>
            <w:tcW w:type="pct" w:w="16%"/>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Auth</w:t>
            </w:r>
          </w:p>
        </w:tc>
        <w:tc>
          <w:tcPr>
            <w:tcW w:type="pct" w:w="18%"/>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Documentation</w:t>
            </w:r>
          </w:p>
        </w:tc>
        <w:tc>
          <w:tcPr>
            <w:tcW w:type="pct" w:w="20%"/>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Poseidon use</w:t>
            </w:r>
          </w:p>
        </w:tc>
      </w:tr>
      <w:tr>
        <w:trPr>
          <w:cantSplit/>
        </w:trPr>
        <w:tc>
          <w:tcPr>
            <w:tcW w:type="pct" w:w="2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API Explorer (catalogue)</w:t>
            </w:r>
          </w:p>
        </w:tc>
        <w:tc>
          <w:tcPr>
            <w:tcW w:type="pct" w:w="2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docs.veracity.com/apis</w:t>
            </w:r>
          </w:p>
        </w:tc>
        <w:tc>
          <w:tcPr>
            <w:tcW w:type="pct" w:w="1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w:t>
            </w:r>
          </w:p>
        </w:tc>
        <w:tc>
          <w:tcPr>
            <w:tcW w:type="pct" w:w="1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Web</w:t>
            </w:r>
          </w:p>
        </w:tc>
        <w:tc>
          <w:tcPr>
            <w:tcW w:type="pct" w:w="2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Discovery</w:t>
            </w:r>
          </w:p>
        </w:tc>
      </w:tr>
      <w:tr>
        <w:trPr>
          <w:cantSplit/>
        </w:trPr>
        <w:tc>
          <w:tcPr>
            <w:tcW w:type="pct" w:w="2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Marketplace</w:t>
            </w:r>
          </w:p>
        </w:tc>
        <w:tc>
          <w:tcPr>
            <w:tcW w:type="pct" w:w="2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store.veracity.com</w:t>
            </w:r>
          </w:p>
        </w:tc>
        <w:tc>
          <w:tcPr>
            <w:tcW w:type="pct" w:w="1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Veracity account</w:t>
            </w:r>
          </w:p>
        </w:tc>
        <w:tc>
          <w:tcPr>
            <w:tcW w:type="pct" w:w="18%"/>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Web</w:t>
            </w:r>
          </w:p>
        </w:tc>
        <w:tc>
          <w:tcPr>
            <w:tcW w:type="pct" w:w="2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Subscription management</w:t>
            </w:r>
          </w:p>
        </w:tc>
      </w:tr>
      <w:tr>
        <w:trPr>
          <w:cantSplit/>
        </w:trPr>
        <w:tc>
          <w:tcPr>
            <w:tcW w:type="pct" w:w="2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Class Status API</w:t>
            </w:r>
          </w:p>
        </w:tc>
        <w:tc>
          <w:tcPr>
            <w:tcW w:type="pct" w:w="2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maritime.dnv.com/api/cs-iacs-customer</w:t>
            </w:r>
          </w:p>
        </w:tc>
        <w:tc>
          <w:tcPr>
            <w:tcW w:type="pct" w:w="1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OAuth 2.0 (Azure AD B2C)</w:t>
            </w:r>
          </w:p>
        </w:tc>
        <w:tc>
          <w:tcPr>
            <w:tcW w:type="pct" w:w="1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Swagger</w:t>
            </w:r>
          </w:p>
        </w:tc>
        <w:tc>
          <w:tcPr>
            <w:tcW w:type="pct" w:w="2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Read class/cert/survey into vessel profile</w:t>
            </w:r>
          </w:p>
        </w:tc>
      </w:tr>
      <w:tr>
        <w:trPr>
          <w:cantSplit/>
        </w:trPr>
        <w:tc>
          <w:tcPr>
            <w:tcW w:type="pct" w:w="2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Emissions Connect</w:t>
            </w:r>
          </w:p>
        </w:tc>
        <w:tc>
          <w:tcPr>
            <w:tcW w:type="pct" w:w="2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store.veracity.com/emissions-connect</w:t>
            </w:r>
          </w:p>
        </w:tc>
        <w:tc>
          <w:tcPr>
            <w:tcW w:type="pct" w:w="1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OAuth 2.0 + subscription</w:t>
            </w:r>
          </w:p>
        </w:tc>
        <w:tc>
          <w:tcPr>
            <w:tcW w:type="pct" w:w="18%"/>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Service docs + PDF</w:t>
            </w:r>
          </w:p>
        </w:tc>
        <w:tc>
          <w:tcPr>
            <w:tcW w:type="pct" w:w="2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Push operational data, pull verified emissions</w:t>
            </w:r>
          </w:p>
        </w:tc>
      </w:tr>
      <w:tr>
        <w:trPr>
          <w:cantSplit/>
        </w:trPr>
        <w:tc>
          <w:tcPr>
            <w:tcW w:type="pct" w:w="2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Data Workbench (ingest/egress)</w:t>
            </w:r>
          </w:p>
        </w:tc>
        <w:tc>
          <w:tcPr>
            <w:tcW w:type="pct" w:w="2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store.veracity.com/data-workbench</w:t>
            </w:r>
          </w:p>
        </w:tc>
        <w:tc>
          <w:tcPr>
            <w:tcW w:type="pct" w:w="1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OAuth 2.0 + subscription</w:t>
            </w:r>
          </w:p>
        </w:tc>
        <w:tc>
          <w:tcPr>
            <w:tcW w:type="pct" w:w="1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docs.veracity.com</w:t>
            </w:r>
          </w:p>
        </w:tc>
        <w:tc>
          <w:tcPr>
            <w:tcW w:type="pct" w:w="2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Pipeline for OVD push/pull</w:t>
            </w:r>
          </w:p>
        </w:tc>
      </w:tr>
      <w:tr>
        <w:trPr>
          <w:cantSplit/>
        </w:trPr>
        <w:tc>
          <w:tcPr>
            <w:tcW w:type="pct" w:w="2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OVD Egest Data</w:t>
            </w:r>
          </w:p>
        </w:tc>
        <w:tc>
          <w:tcPr>
            <w:tcW w:type="pct" w:w="2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docs.veracity.com/.../ovd-egest-data</w:t>
            </w:r>
          </w:p>
        </w:tc>
        <w:tc>
          <w:tcPr>
            <w:tcW w:type="pct" w:w="1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OAuth 2.0</w:t>
            </w:r>
          </w:p>
        </w:tc>
        <w:tc>
          <w:tcPr>
            <w:tcW w:type="pct" w:w="18%"/>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Data-standards docs</w:t>
            </w:r>
          </w:p>
        </w:tc>
        <w:tc>
          <w:tcPr>
            <w:tcW w:type="pct" w:w="2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Schema reference; egress target</w:t>
            </w:r>
          </w:p>
        </w:tc>
      </w:tr>
      <w:tr>
        <w:trPr>
          <w:cantSplit/>
        </w:trPr>
        <w:tc>
          <w:tcPr>
            <w:tcW w:type="pct" w:w="2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Fleet Status (app)</w:t>
            </w:r>
          </w:p>
        </w:tc>
        <w:tc>
          <w:tcPr>
            <w:tcW w:type="pct" w:w="2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store.veracity.com/fleet-status</w:t>
            </w:r>
          </w:p>
        </w:tc>
        <w:tc>
          <w:tcPr>
            <w:tcW w:type="pct" w:w="1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Veracity account (free for DNV-classed)</w:t>
            </w:r>
          </w:p>
        </w:tc>
        <w:tc>
          <w:tcPr>
            <w:tcW w:type="pct" w:w="1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In-app help</w:t>
            </w:r>
          </w:p>
        </w:tc>
        <w:tc>
          <w:tcPr>
            <w:tcW w:type="pct" w:w="2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Reference for class/survey UX</w:t>
            </w:r>
          </w:p>
        </w:tc>
      </w:tr>
      <w:tr>
        <w:trPr>
          <w:cantSplit/>
        </w:trPr>
        <w:tc>
          <w:tcPr>
            <w:tcW w:type="pct" w:w="2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Veracity .NET SDK</w:t>
            </w:r>
          </w:p>
        </w:tc>
        <w:tc>
          <w:tcPr>
            <w:tcW w:type="pct" w:w="2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nuget.org/packages/Veracity.Services.Api</w:t>
            </w:r>
          </w:p>
        </w:tc>
        <w:tc>
          <w:tcPr>
            <w:tcW w:type="pct" w:w="1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OAuth 2.0</w:t>
            </w:r>
          </w:p>
        </w:tc>
        <w:tc>
          <w:tcPr>
            <w:tcW w:type="pct" w:w="18%"/>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NuGet</w:t>
            </w:r>
          </w:p>
        </w:tc>
        <w:tc>
          <w:tcPr>
            <w:tcW w:type="pct" w:w="20%"/>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Not applicable (Poseidon is TS/Node)</w:t>
            </w:r>
          </w:p>
        </w:tc>
      </w:tr>
      <w:tr>
        <w:trPr>
          <w:cantSplit/>
        </w:trPr>
        <w:tc>
          <w:tcPr>
            <w:tcW w:type="pct" w:w="2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MyServices / Profile APIs</w:t>
            </w:r>
          </w:p>
        </w:tc>
        <w:tc>
          <w:tcPr>
            <w:tcW w:type="pct" w:w="2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Via Veracity platform</w:t>
            </w:r>
          </w:p>
        </w:tc>
        <w:tc>
          <w:tcPr>
            <w:tcW w:type="pct" w:w="1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OAuth 2.0</w:t>
            </w:r>
          </w:p>
        </w:tc>
        <w:tc>
          <w:tcPr>
            <w:tcW w:type="pct" w:w="18%"/>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API Explorer</w:t>
            </w:r>
          </w:p>
        </w:tc>
        <w:tc>
          <w:tcPr>
            <w:tcW w:type="pct" w:w="20%"/>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User/service profile management</w:t>
            </w:r>
          </w:p>
        </w:tc>
      </w:tr>
    </w:tbl>
    <w:p>
      <w:pPr>
        <w:pStyle w:val="Heading1"/>
        <w:spacing w:after="200" w:before="360" w:line="312"/>
      </w:pPr>
      <w:r>
        <w:rPr>
          <w:rFonts w:ascii="Calibri" w:eastAsia="SimHei"/>
          <w:b/>
          <w:bCs/>
          <w:color w:val="000000"/>
          <w:sz w:val="32"/>
          <w:szCs w:val="32"/>
        </w:rPr>
        <w:t xml:space="preserve">8. Commercial Feasibility</w:t>
      </w:r>
    </w:p>
    <w:p>
      <w:pPr>
        <w:pStyle w:val="Heading2"/>
        <w:spacing w:after="140" w:before="280" w:line="312"/>
      </w:pPr>
      <w:r>
        <w:rPr>
          <w:rFonts w:ascii="Calibri" w:eastAsia="SimHei"/>
          <w:b/>
          <w:bCs/>
          <w:color w:val="000000"/>
          <w:sz w:val="28"/>
          <w:szCs w:val="28"/>
        </w:rPr>
        <w:t xml:space="preserve">8.1 Pricing Model</w:t>
      </w:r>
    </w:p>
    <w:p>
      <w:pPr>
        <w:spacing w:after="120" w:before="60" w:line="312"/>
        <w:ind w:firstLine="360"/>
        <w:jc w:val="both"/>
      </w:pPr>
      <w:r>
        <w:rPr>
          <w:rFonts w:ascii="Calibri" w:eastAsia="Microsoft YaHei"/>
          <w:b w:val="false"/>
          <w:bCs w:val="false"/>
          <w:i w:val="false"/>
          <w:iCs w:val="false"/>
          <w:color w:val="000000"/>
          <w:sz w:val="22"/>
          <w:szCs w:val="22"/>
        </w:rPr>
        <w:t xml:space="preserve">DNV does not publish a standardised public price list for Veracity. The platform operates on a tiered model. Core applications — Fleet Status, Rules and Standards, the Maritime Customer Portal — are free of charge to owners and managers of DNV-classed vessels. Advanced data services (Emissions Connect, Data Workbench API egress) and third-party marketplace applications are offered on subscription or usage-based terms negotiated per fleet and per data volume. For Mediterranean yacht fleets of 8–40 vessels, the realistic cost profile is a moderate recurring subscription rather than the enterprise-scale spend reported at large cargo operators.</w:t>
      </w:r>
    </w:p>
    <w:p>
      <w:pPr>
        <w:pStyle w:val="Heading2"/>
        <w:spacing w:after="140" w:before="280" w:line="312"/>
      </w:pPr>
      <w:r>
        <w:rPr>
          <w:rFonts w:ascii="Calibri" w:eastAsia="SimHei"/>
          <w:b/>
          <w:bCs/>
          <w:color w:val="000000"/>
          <w:sz w:val="28"/>
          <w:szCs w:val="28"/>
        </w:rPr>
        <w:t xml:space="preserve">8.2 Cost Drivers for Poseidon</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Licensing of paid services (Emissions Connect, Data Workbench egress) — negotiated, fleet-size dependent.</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Engineering effort to implement OAuth 2.0 with Azure AD B2C, including token refresh and session handling — a known pattern, but non-trivial.</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Conformance to DNV data standards (OVD, Emissions Connect Log Abstract cadence) — design and validation work.</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Ongoing maintenance of the integration against DNV API evolution — DNV APIs are versioned, but Poseidon must track changes.</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Per-vessel, per-call costs if usage-based pricing applies — bounded by the small fleet sizes in Poseidon's target segment.</w:t>
      </w:r>
    </w:p>
    <w:p>
      <w:pPr>
        <w:pStyle w:val="Heading2"/>
        <w:spacing w:after="140" w:before="280" w:line="312"/>
      </w:pPr>
      <w:r>
        <w:rPr>
          <w:rFonts w:ascii="Calibri" w:eastAsia="SimHei"/>
          <w:b/>
          <w:bCs/>
          <w:color w:val="000000"/>
          <w:sz w:val="28"/>
          <w:szCs w:val="28"/>
        </w:rPr>
        <w:t xml:space="preserve">8.3 Revenue Side</w:t>
      </w:r>
    </w:p>
    <w:p>
      <w:pPr>
        <w:spacing w:after="120" w:before="60" w:line="312"/>
        <w:ind w:firstLine="360"/>
        <w:jc w:val="both"/>
      </w:pPr>
      <w:r>
        <w:rPr>
          <w:rFonts w:ascii="Calibri" w:eastAsia="Microsoft YaHei"/>
          <w:b w:val="false"/>
          <w:bCs w:val="false"/>
          <w:i w:val="false"/>
          <w:iCs w:val="false"/>
          <w:color w:val="000000"/>
          <w:sz w:val="22"/>
          <w:szCs w:val="22"/>
        </w:rPr>
        <w:t xml:space="preserve">DNV integration strengthens Poseidon's ability to charge a premium tier. The architecture document specifies four billing tiers (navigator, fleet, sovereign, trial). A 'DNV-verified' badge — enabled by Emissions Connect integration — is a natural feature of the sovereign tier and directly addresses Persona B's (managing director) goal of eliminating compliance risk. The integration also opens a channel-partner dynamic: DNV's existing partnerships with Veson, ZeroNorth, Spinergie, and OrbitMI demonstrate that Veracity is open to composable integrations rather than winner-takes-all platform lock-in.</w:t>
      </w:r>
    </w:p>
    <w:p>
      <w:pPr>
        <w:pStyle w:val="Heading2"/>
        <w:spacing w:after="140" w:before="280" w:line="312"/>
      </w:pPr>
      <w:r>
        <w:rPr>
          <w:rFonts w:ascii="Calibri" w:eastAsia="SimHei"/>
          <w:b/>
          <w:bCs/>
          <w:color w:val="000000"/>
          <w:sz w:val="28"/>
          <w:szCs w:val="28"/>
        </w:rPr>
        <w:t xml:space="preserve">8.4 Risk</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DNV relationship dependency: read APIs require the customer's vessels to be DNV-classed; Emissions Connect requires a paid subscription. Poseidon must support non-DNV fleets (LR, RINA, BV, ABS) with a graceful degradation path.</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Vendor lock-in on the verification side: Poseidon must remain verifier-agnostic and not hard-couple to DNV's data formats at the core compliance engine layer.</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API evolution: DNV APIs are not covered by a public deprecation policy in the research; Poseidon should treat them as potentially breaking and version-pin.</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Small-fleet economics: DNV's productised services are tuned for large fleets; yacht-scale fleets may need negotiated terms rather than catalogue pricing.</w:t>
      </w:r>
    </w:p>
    <w:p>
      <w:pPr>
        <w:pStyle w:val="Heading1"/>
        <w:spacing w:after="200" w:before="360" w:line="312"/>
      </w:pPr>
      <w:r>
        <w:rPr>
          <w:rFonts w:ascii="Calibri" w:eastAsia="SimHei"/>
          <w:b/>
          <w:bCs/>
          <w:color w:val="000000"/>
          <w:sz w:val="32"/>
          <w:szCs w:val="32"/>
        </w:rPr>
        <w:t xml:space="preserve">9. Future Architecture</w:t>
      </w:r>
    </w:p>
    <w:p>
      <w:pPr>
        <w:spacing w:after="120" w:before="60" w:line="312"/>
        <w:ind w:firstLine="360"/>
        <w:jc w:val="both"/>
      </w:pPr>
      <w:r>
        <w:rPr>
          <w:rFonts w:ascii="Calibri" w:eastAsia="Microsoft YaHei"/>
          <w:b w:val="false"/>
          <w:bCs w:val="false"/>
          <w:i w:val="false"/>
          <w:iCs w:val="false"/>
          <w:color w:val="000000"/>
          <w:sz w:val="22"/>
          <w:szCs w:val="22"/>
        </w:rPr>
        <w:t xml:space="preserve">The recommended architectural response to the DNV ecosystem is to introduce a Verification Provider abstraction that mirrors the existing Mock/Real seam pattern. Poseidon already separates domain types from wire types at the parse/mapper boundary and uses a single environment variable to toggle mock versus live for both MarineTraffic and Supabase. A DNV integration should follow the same shape: a Veracity transport with OAuth 2.0 token management, a DNV-specific mapper between Poseidon domain types and OVD/Emissions Connect wire types, and a USE_MOCK toggle so the integration is testable without a live DNV subscription.</w:t>
      </w:r>
    </w:p>
    <w:p>
      <w:pPr>
        <w:pStyle w:val="Heading2"/>
        <w:spacing w:after="140" w:before="280" w:line="312"/>
      </w:pPr>
      <w:r>
        <w:rPr>
          <w:rFonts w:ascii="Calibri" w:eastAsia="SimHei"/>
          <w:b/>
          <w:bCs/>
          <w:color w:val="000000"/>
          <w:sz w:val="28"/>
          <w:szCs w:val="28"/>
        </w:rPr>
        <w:t xml:space="preserve">9.1 Proposed Module Layout</w:t>
      </w:r>
    </w:p>
    <w:p>
      <w:pPr>
        <w:spacing w:after="120" w:before="60" w:line="312"/>
        <w:ind w:firstLine="360"/>
        <w:jc w:val="both"/>
      </w:pPr>
      <w:r>
        <w:rPr>
          <w:rFonts w:ascii="Calibri" w:eastAsia="Microsoft YaHei"/>
          <w:b w:val="false"/>
          <w:bCs w:val="false"/>
          <w:i w:val="false"/>
          <w:iCs w:val="false"/>
          <w:color w:val="000000"/>
          <w:sz w:val="22"/>
          <w:szCs w:val="22"/>
        </w:rPr>
        <w:t xml:space="preserve">A new src/lib/veracity/ module would mirror src/lib/marinetraffic/ and src/lib/supabase/. It would expose: a client (createVeracityClient), a config driven by environment variables (VERACITY_USE_MOCK, VERACITY_TENANT_ID, VERACITY_CLIENT_ID, VERACITY_CLIENT_SECRET, VERACITY_SUBSCRIPTION_KEY), a typed error hierarchy, an OAuth 2.0 transport with token caching and refresh, a mapper between Poseidon domain Voyage/FuelDelivery types and OVD wire types, a read adapter for the Class Status API, and a write/egest adapter for the Data Workbench ingest API. A mock transport would return fixtures for tests and local development.</w:t>
      </w:r>
    </w:p>
    <w:p>
      <w:pPr>
        <w:pStyle w:val="Heading2"/>
        <w:spacing w:after="140" w:before="280" w:line="312"/>
      </w:pPr>
      <w:r>
        <w:rPr>
          <w:rFonts w:ascii="Calibri" w:eastAsia="SimHei"/>
          <w:b/>
          <w:bCs/>
          <w:color w:val="000000"/>
          <w:sz w:val="28"/>
          <w:szCs w:val="28"/>
        </w:rPr>
        <w:t xml:space="preserve">9.2 Data Flow</w:t>
      </w:r>
    </w:p>
    <w:p>
      <w:pPr>
        <w:spacing w:after="120" w:before="60" w:line="312"/>
        <w:ind w:firstLine="360"/>
        <w:jc w:val="both"/>
      </w:pPr>
      <w:r>
        <w:rPr>
          <w:rFonts w:ascii="Calibri" w:eastAsia="Microsoft YaHei"/>
          <w:b w:val="false"/>
          <w:bCs w:val="false"/>
          <w:i w:val="false"/>
          <w:iCs w:val="false"/>
          <w:color w:val="000000"/>
          <w:sz w:val="22"/>
          <w:szCs w:val="22"/>
        </w:rPr>
        <w:t xml:space="preserve">In the read direction, the orchestration layer (Phase 1C, not yet started) would, after upserting a vessel by IMO, call the Veracity read adapter to enrich the vessel record with class status, certificate expiry dates, and survey due-dates. These would persist to a new vessel_class_status table or to JSONB columns on the existing vessels table, with source provenance flags matching the existing source_is_mock pattern.</w:t>
      </w:r>
    </w:p>
    <w:p>
      <w:pPr>
        <w:spacing w:after="120" w:before="60" w:line="312"/>
        <w:ind w:firstLine="360"/>
        <w:jc w:val="both"/>
      </w:pPr>
      <w:r>
        <w:rPr>
          <w:rFonts w:ascii="Calibri" w:eastAsia="Microsoft YaHei"/>
          <w:b w:val="false"/>
          <w:bCs w:val="false"/>
          <w:i w:val="false"/>
          <w:iCs w:val="false"/>
          <w:color w:val="000000"/>
          <w:sz w:val="22"/>
          <w:szCs w:val="22"/>
        </w:rPr>
        <w:t xml:space="preserve">In the write direction, the BDN Processing and AIS modules would, after reconciling a voyage leg and its fuel deliveries, emit an OVD-formatted event to the Veracity write adapter. The adapter would queue the event as a background job (the architecture document specifies Inngest or BullMQ), transmit it to the Data Workbench ingest API, and record the DNV acknowledgement. When DNV returns a verified emissions statement, the write adapter would persist it against the vessel's annual compliance record and surface it in the EU ETS and FuelEU dashboards as a 'DNV-verified' figure.</w:t>
      </w:r>
    </w:p>
    <w:p>
      <w:pPr>
        <w:pStyle w:val="Heading2"/>
        <w:spacing w:after="140" w:before="280" w:line="312"/>
      </w:pPr>
      <w:r>
        <w:rPr>
          <w:rFonts w:ascii="Calibri" w:eastAsia="SimHei"/>
          <w:b/>
          <w:bCs/>
          <w:color w:val="000000"/>
          <w:sz w:val="28"/>
          <w:szCs w:val="28"/>
        </w:rPr>
        <w:t xml:space="preserve">9.3 Sequencing</w:t>
      </w:r>
    </w:p>
    <w:p>
      <w:pPr>
        <w:keepNext/>
        <w:spacing w:after="80" w:before="160" w:line="312"/>
      </w:pPr>
      <w:r>
        <w:rPr>
          <w:rFonts w:ascii="Calibri" w:eastAsia="Microsoft YaHei"/>
          <w:b/>
          <w:bCs/>
          <w:i/>
          <w:iCs/>
          <w:color w:val="000000"/>
          <w:sz w:val="20"/>
          <w:szCs w:val="20"/>
        </w:rPr>
        <w:t xml:space="preserve">Table 9.1 — Recommended integration sequence</w:t>
      </w:r>
    </w:p>
    <w:tbl>
      <w:tblPr>
        <w:tblW w:type="pct" w:w="100%"/>
        <w:tblBorders>
          <w:top w:val="single" w:color="2A7A65" w:sz="4"/>
          <w:left w:val="none"/>
          <w:bottom w:val="single" w:color="2A7A65" w:sz="4"/>
          <w:right w:val="none"/>
          <w:insideH w:val="single" w:color="BECFCC" w:sz="1"/>
          <w:insideV w:val="none"/>
        </w:tblBorders>
        <w:tblLayout w:type="fixed"/>
      </w:tblPr>
      <w:tblGrid>
        <w:gridCol w:w="100"/>
        <w:gridCol w:w="100"/>
        <w:gridCol w:w="100"/>
        <w:gridCol w:w="100"/>
      </w:tblGrid>
      <w:tr>
        <w:trPr>
          <w:cantSplit/>
          <w:tblHeader/>
        </w:trPr>
        <w:tc>
          <w:tcPr>
            <w:tcW w:type="pct" w:w="16%"/>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Phase</w:t>
            </w:r>
          </w:p>
        </w:tc>
        <w:tc>
          <w:tcPr>
            <w:tcW w:type="pct" w:w="36%"/>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Action</w:t>
            </w:r>
          </w:p>
        </w:tc>
        <w:tc>
          <w:tcPr>
            <w:tcW w:type="pct" w:w="24%"/>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Trigger condition</w:t>
            </w:r>
          </w:p>
        </w:tc>
        <w:tc>
          <w:tcPr>
            <w:tcW w:type="pct" w:w="24%"/>
            <w:shd w:fill="2A7A65" w:val="clear"/>
            <w:tcMar>
              <w:top w:type="dxa" w:w="80"/>
              <w:left w:type="dxa" w:w="120"/>
              <w:bottom w:type="dxa" w:w="80"/>
              <w:right w:type="dxa" w:w="120"/>
            </w:tcMar>
          </w:tcPr>
          <w:p>
            <w:pPr>
              <w:spacing w:after="40" w:before="40" w:line="276"/>
            </w:pPr>
            <w:r>
              <w:rPr>
                <w:rFonts w:ascii="Calibri" w:eastAsia="Microsoft YaHei"/>
                <w:b/>
                <w:bCs/>
                <w:color w:val="FFFFFF"/>
                <w:sz w:val="20"/>
                <w:szCs w:val="20"/>
              </w:rPr>
              <w:t xml:space="preserve">Outcome</w:t>
            </w:r>
          </w:p>
        </w:tc>
      </w:tr>
      <w:tr>
        <w:trPr>
          <w:cantSplit/>
        </w:trPr>
        <w:tc>
          <w:tcPr>
            <w:tcW w:type="pct" w:w="1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Now (design-time)</w:t>
            </w:r>
          </w:p>
        </w:tc>
        <w:tc>
          <w:tcPr>
            <w:tcW w:type="pct" w:w="3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Adopt OVD-compatible field naming in voyages and fuel_deliveries schemas</w:t>
            </w:r>
          </w:p>
        </w:tc>
        <w:tc>
          <w:tcPr>
            <w:tcW w:type="pct" w:w="24%"/>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No dependency</w:t>
            </w:r>
          </w:p>
        </w:tc>
        <w:tc>
          <w:tcPr>
            <w:tcW w:type="pct" w:w="24%"/>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Future egress is a transform, not a rewrite</w:t>
            </w:r>
          </w:p>
        </w:tc>
      </w:tr>
      <w:tr>
        <w:trPr>
          <w:cantSplit/>
        </w:trPr>
        <w:tc>
          <w:tcPr>
            <w:tcW w:type="pct" w:w="1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Phase 1C</w:t>
            </w:r>
          </w:p>
        </w:tc>
        <w:tc>
          <w:tcPr>
            <w:tcW w:type="pct" w:w="3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Generalise MarineTraffic transport into a shared OAuth 2.0-capable HTTP transport</w:t>
            </w:r>
          </w:p>
        </w:tc>
        <w:tc>
          <w:tcPr>
            <w:tcW w:type="pct" w:w="24%"/>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API route layer begins</w:t>
            </w:r>
          </w:p>
        </w:tc>
        <w:tc>
          <w:tcPr>
            <w:tcW w:type="pct" w:w="24%"/>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Reuse for Veracity without duplication</w:t>
            </w:r>
          </w:p>
        </w:tc>
      </w:tr>
      <w:tr>
        <w:trPr>
          <w:cantSplit/>
        </w:trPr>
        <w:tc>
          <w:tcPr>
            <w:tcW w:type="pct" w:w="1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Phase 2</w:t>
            </w:r>
          </w:p>
        </w:tc>
        <w:tc>
          <w:tcPr>
            <w:tcW w:type="pct" w:w="3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Build src/lib/veracity/ read adapter; integrate Class Status API behind USE_MOCK toggle</w:t>
            </w:r>
          </w:p>
        </w:tc>
        <w:tc>
          <w:tcPr>
            <w:tcW w:type="pct" w:w="24%"/>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First DNV-classed customer signs</w:t>
            </w:r>
          </w:p>
        </w:tc>
        <w:tc>
          <w:tcPr>
            <w:tcW w:type="pct" w:w="24%"/>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Live class/cert posture in vessel profile</w:t>
            </w:r>
          </w:p>
        </w:tc>
      </w:tr>
      <w:tr>
        <w:trPr>
          <w:cantSplit/>
        </w:trPr>
        <w:tc>
          <w:tcPr>
            <w:tcW w:type="pct" w:w="1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Phase 2</w:t>
            </w:r>
          </w:p>
        </w:tc>
        <w:tc>
          <w:tcPr>
            <w:tcW w:type="pct" w:w="3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Add DNV-verified badge groundwork (data fields, UI hooks)</w:t>
            </w:r>
          </w:p>
        </w:tc>
        <w:tc>
          <w:tcPr>
            <w:tcW w:type="pct" w:w="24%"/>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Read integration live</w:t>
            </w:r>
          </w:p>
        </w:tc>
        <w:tc>
          <w:tcPr>
            <w:tcW w:type="pct" w:w="24%"/>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Visual differentiation in UI</w:t>
            </w:r>
          </w:p>
        </w:tc>
      </w:tr>
      <w:tr>
        <w:trPr>
          <w:cantSplit/>
        </w:trPr>
        <w:tc>
          <w:tcPr>
            <w:tcW w:type="pct" w:w="1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Phase 3</w:t>
            </w:r>
          </w:p>
        </w:tc>
        <w:tc>
          <w:tcPr>
            <w:tcW w:type="pct" w:w="36%"/>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Build Veracity write adapter; integrate Emissions Connect via Data Workbench</w:t>
            </w:r>
          </w:p>
        </w:tc>
        <w:tc>
          <w:tcPr>
            <w:tcW w:type="pct" w:w="24%"/>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Sovereign-tier customer or DNV partnership</w:t>
            </w:r>
          </w:p>
        </w:tc>
        <w:tc>
          <w:tcPr>
            <w:tcW w:type="pct" w:w="24%"/>
            <w:shd w:fill="E8ECEB"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Verified emissions statements flow back into Poseidon</w:t>
            </w:r>
          </w:p>
        </w:tc>
      </w:tr>
      <w:tr>
        <w:trPr>
          <w:cantSplit/>
        </w:trPr>
        <w:tc>
          <w:tcPr>
            <w:tcW w:type="pct" w:w="1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Phase 3+</w:t>
            </w:r>
          </w:p>
        </w:tc>
        <w:tc>
          <w:tcPr>
            <w:tcW w:type="pct" w:w="36%"/>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Negotiate DNV partnership / Veracity marketplace listing</w:t>
            </w:r>
          </w:p>
        </w:tc>
        <w:tc>
          <w:tcPr>
            <w:tcW w:type="pct" w:w="24%"/>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Product-market fit confirmed</w:t>
            </w:r>
          </w:p>
        </w:tc>
        <w:tc>
          <w:tcPr>
            <w:tcW w:type="pct" w:w="24%"/>
            <w:shd w:fill="FFFFFF" w:val="clear"/>
            <w:tcMar>
              <w:top w:type="dxa" w:w="80"/>
              <w:left w:type="dxa" w:w="120"/>
              <w:bottom w:type="dxa" w:w="80"/>
              <w:right w:type="dxa" w:w="120"/>
            </w:tcMar>
          </w:tcPr>
          <w:p>
            <w:pPr>
              <w:spacing w:after="40" w:before="40" w:line="276"/>
            </w:pPr>
            <w:r>
              <w:rPr>
                <w:rFonts w:ascii="Calibri" w:eastAsia="Microsoft YaHei"/>
                <w:b w:val="false"/>
                <w:bCs w:val="false"/>
                <w:color w:val="000000"/>
                <w:sz w:val="20"/>
                <w:szCs w:val="20"/>
              </w:rPr>
              <w:t xml:space="preserve">Channel distribution via Veracity marketplace</w:t>
            </w:r>
          </w:p>
        </w:tc>
      </w:tr>
    </w:tbl>
    <w:p>
      <w:pPr>
        <w:pStyle w:val="Heading2"/>
        <w:spacing w:after="140" w:before="280" w:line="312"/>
      </w:pPr>
      <w:r>
        <w:rPr>
          <w:rFonts w:ascii="Calibri" w:eastAsia="SimHei"/>
          <w:b/>
          <w:bCs/>
          <w:color w:val="000000"/>
          <w:sz w:val="28"/>
          <w:szCs w:val="28"/>
        </w:rPr>
        <w:t xml:space="preserve">9.4 Architectural Principles to Preserve</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Deterministic compliance engine: DNV-verified data is an input and an output, never a substitute for Poseidon's own rule-based calculations. The architecture document's principle that compliance math must be deterministic is unchanged.</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Verifier-agnostic core: the compliance engine must not depend on DNV. DNV is one verification provider among possible others (LR, RINA, BV, ABS). The Verification Provider abstraction keeps the core clean.</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Provenance everywhere: every DNV-sourced field carries source_fetched_at and source_is_mock flags, exactly as MarineTraffic and Supabase data already do.</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Mock/Real seam: every DNV call path is testable without a live subscription, exactly as MarineTraffic and Supabase already are.</w:t>
      </w:r>
    </w:p>
    <w:p>
      <w:pPr>
        <w:pStyle w:val="Heading1"/>
        <w:spacing w:after="200" w:before="360" w:line="312"/>
      </w:pPr>
      <w:r>
        <w:rPr>
          <w:rFonts w:ascii="Calibri" w:eastAsia="SimHei"/>
          <w:b/>
          <w:bCs/>
          <w:color w:val="000000"/>
          <w:sz w:val="32"/>
          <w:szCs w:val="32"/>
        </w:rPr>
        <w:t xml:space="preserve">10. Conclusions and Recommendations</w:t>
      </w:r>
    </w:p>
    <w:p>
      <w:pPr>
        <w:spacing w:after="120" w:before="60" w:line="312"/>
        <w:ind w:firstLine="360"/>
        <w:jc w:val="both"/>
      </w:pPr>
      <w:r>
        <w:rPr>
          <w:rFonts w:ascii="Calibri" w:eastAsia="Microsoft YaHei"/>
          <w:b w:val="false"/>
          <w:bCs w:val="false"/>
          <w:i w:val="false"/>
          <w:iCs w:val="false"/>
          <w:color w:val="000000"/>
          <w:sz w:val="22"/>
          <w:szCs w:val="22"/>
        </w:rPr>
        <w:t xml:space="preserve">DNV's digital ecosystem is the most mature and most relevant in commercial shipping, and it is directly aligned with Poseidon Ledger's thesis. The platform is not, however, a self-serve API catalogue that Poseidon can consume anonymously. The highest-value endpoints are gated behind OAuth 2.0 and a commercial relationship, and the most valuable service (Emissions Connect) overlaps precisely with Poseidon's core product. This is an opportunity rather than an obstacle: it means a DNV integration is defensible against competitors who lack the engineering discipline to implement it.</w:t>
      </w:r>
    </w:p>
    <w:p>
      <w:pPr>
        <w:spacing w:after="120" w:before="60" w:line="312"/>
        <w:ind w:firstLine="360"/>
        <w:jc w:val="both"/>
      </w:pPr>
      <w:r>
        <w:rPr>
          <w:rFonts w:ascii="Calibri" w:eastAsia="Microsoft YaHei"/>
          <w:b/>
          <w:bCs/>
          <w:i w:val="false"/>
          <w:iCs w:val="false"/>
          <w:color w:val="000000"/>
          <w:sz w:val="22"/>
          <w:szCs w:val="22"/>
        </w:rPr>
        <w:t xml:space="preserve">Three actions are recommended. </w:t>
      </w:r>
      <w:r>
        <w:rPr>
          <w:rFonts w:ascii="Calibri" w:eastAsia="Microsoft YaHei"/>
          <w:b w:val="false"/>
          <w:bCs w:val="false"/>
          <w:i w:val="false"/>
          <w:iCs w:val="false"/>
          <w:color w:val="000000"/>
          <w:sz w:val="22"/>
          <w:szCs w:val="22"/>
        </w:rPr>
        <w:t xml:space="preserve">First, adopt OVD-compatible field naming in the voyages and fuel_deliveries schemas now, at design time, at negligible cost — this is a hedge that preserves future optionality. Second, generalise the MarineTraffic transport into a shared OAuth 2.0-capable HTTP transport during Phase 1C, so that a future Veracity client reuses the same patterns. Third, defer the live DNV integration to Phase 2 (read-only Class Status API, triggered by the first DNV-classed customer) and Phase 3 (bidirectional Emissions Connect exchange, triggered by a sovereign-tier customer or an explicit DNV partnership).</w:t>
      </w:r>
    </w:p>
    <w:p>
      <w:pPr>
        <w:spacing w:after="120" w:before="60" w:line="312"/>
        <w:ind w:firstLine="360"/>
        <w:jc w:val="both"/>
      </w:pPr>
      <w:r>
        <w:rPr>
          <w:rFonts w:ascii="Calibri" w:eastAsia="Microsoft YaHei"/>
          <w:b w:val="false"/>
          <w:bCs w:val="false"/>
          <w:i w:val="false"/>
          <w:iCs w:val="false"/>
          <w:color w:val="000000"/>
          <w:sz w:val="22"/>
          <w:szCs w:val="22"/>
        </w:rPr>
        <w:t xml:space="preserve">The single most important strategic point is that DNV integration does not change Poseidon's product boundary. Poseidon remains the data reconciliation and documentation preparation layer. DNV remains the verifier. The integration makes the handoff between the two cleaner, faster, and more trustworthy — which is exactly the value proposition the architecture document already commits to delivering to Persona A, the fleet compliance manager.</w:t>
      </w:r>
    </w:p>
    <w:p>
      <w:pPr>
        <w:pStyle w:val="Heading1"/>
        <w:spacing w:after="200" w:before="360" w:line="312"/>
      </w:pPr>
      <w:r>
        <w:rPr>
          <w:rFonts w:ascii="Calibri" w:eastAsia="SimHei"/>
          <w:b/>
          <w:bCs/>
          <w:color w:val="000000"/>
          <w:sz w:val="32"/>
          <w:szCs w:val="32"/>
        </w:rPr>
        <w:t xml:space="preserve">Appendix A — Sources</w:t>
      </w:r>
    </w:p>
    <w:p>
      <w:pPr>
        <w:spacing w:after="120" w:before="60" w:line="312"/>
        <w:jc w:val="both"/>
      </w:pPr>
      <w:r>
        <w:rPr>
          <w:rFonts w:ascii="Calibri" w:eastAsia="Microsoft YaHei"/>
          <w:b w:val="false"/>
          <w:bCs w:val="false"/>
          <w:i/>
          <w:iCs/>
          <w:color w:val="000000"/>
          <w:sz w:val="22"/>
          <w:szCs w:val="22"/>
        </w:rPr>
        <w:t xml:space="preserve">The following primary sources were consulted during this research. All URLs verified during July 2026.</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DNV Veracity platform — dnv.com/veracity</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Veracity official site — veracity.com</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Veracity Docs API Explorer — docs.veracity.com/apis</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Veracity Marketplace — store.veracity.com</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DNV Class Status API — maritime.dnv.com/api/cs-iacs-customer</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Emissions Connect (DNV) — dnv.com/services/emissions-connect</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Emissions Connect (Veracity Marketplace) — store.veracity.com/emissions-connect</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Veracity Data Workbench — store.veracity.com/data-workbench</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OVD Egest Data docs — docs.veracity.com/pages/data-standards/operational-vessel-data/ovd-egest-data</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Fleet Status (Veracity) — store.veracity.com/fleet-status</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ShipManager Hull (DNV) — dnv.com/services/hull-integrity-and-ship-maintenance-software-shipmanager-hull-1531</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Hull Insights (DNV) — dnv.com/services/hull-insights-211477</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DNV AiP to HHI digital twin (2022) — dnv.com/news/2022/dnv-awards-aip-to-hhi-group-s-digital-twin-ship-system-229697</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DNV Emissions Connect FuelEU update (2024) — dnv.com/news/2024/dnv-updates-emissions-connect-to-help-industry-mitigate-fueleu-maritime-challenges-and-risks</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Veson × Veracity partnership — veson.com/news/veracity-by-dnv-partnership</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ZeroNorth × Veracity emissions service — zeronorth.com/press/zeronorth-and-veracity-by-dnv-launch-emissions-reporting-and-verification-service</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Spinergie × Veracity partnership — spinergie.com/press/spinergie-and-veracity-by-dnv-strategic-partnership-enhances-emissions-reporting</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Kongsberg × DNV OVD exchange — oceannews.com/news/science-technology/dnv-and-kongsberg-maritime-enable-standardized-operational-vessel-data-exchange</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OSM Maritime × Veracity ingest API — osmthome.com/osm-maritime-integrates-with-veracity-api-for-continuous-access-to-current-quality-assured-emissions-data</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OrbitMI × Veracity integration — orbitmi.com/blog/veracity-orbitmi-integration</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How BSM uses Emissions Connect — dnv.com/expert-story/maritime-impact/how-bsm-uses-dnv-s-emissions-connect-to-master-ghg-compliance</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Veracity integrated partner program (Digital Ship) — thedigitalship.com/news/electronics-navigation/veracity-by-dnv-s-integrated-partner-program-grows-its-reach-to-35-000-vessels</w:t>
      </w:r>
    </w:p>
    <w:p>
      <w:pPr>
        <w:spacing w:after="60" w:before="40" w:line="312"/>
        <w:ind w:left="720" w:hanging="240"/>
      </w:pPr>
      <w:r>
        <w:rPr>
          <w:rFonts w:ascii="Calibri"/>
          <w:color w:val="000000"/>
          <w:sz w:val="22"/>
          <w:szCs w:val="22"/>
        </w:rPr>
        <w:t xml:space="preserve">• </w:t>
      </w:r>
      <w:r>
        <w:rPr>
          <w:rFonts w:ascii="Calibri" w:eastAsia="Microsoft YaHei"/>
          <w:color w:val="000000"/>
          <w:sz w:val="22"/>
          <w:szCs w:val="22"/>
        </w:rPr>
        <w:t xml:space="preserve">Veracity .NET SDK — nuget.org/packages/Veracity.Services.Api</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6"/>
        <w:szCs w:val="16"/>
      </w:rPr>
      <w:t xml:space="preserve">Page </w:t>
    </w:r>
    <w:r>
      <w:rPr>
        <w:rFonts w:ascii="Calibri"/>
        <w:color w:val="5B6B7D"/>
        <w:sz w:val="16"/>
        <w:szCs w:val="16"/>
      </w:rPr>
      <w:fldChar w:fldCharType="begin"/>
      <w:instrText xml:space="preserve">PAGE</w:instrText>
      <w:fldChar w:fldCharType="separate"/>
      <w:fldChar w:fldCharType="end"/>
    </w:r>
    <w:r>
      <w:rPr>
        <w:rFonts w:ascii="Calibri"/>
        <w:color w:val="5B6B7D"/>
        <w:sz w:val="16"/>
        <w:szCs w:val="16"/>
      </w:rPr>
      <w:t xml:space="preserve"> of </w:t>
    </w:r>
    <w:r>
      <w:rPr>
        <w:rFonts w:ascii="Calibri"/>
        <w:color w:val="5B6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jc w:val="right"/>
    </w:pPr>
    <w:r>
      <w:rPr>
        <w:rFonts w:ascii="Calibri"/>
        <w:color w:val="5B6B7D"/>
        <w:sz w:val="16"/>
        <w:szCs w:val="16"/>
      </w:rPr>
      <w:t xml:space="preserve">Poseidon Ledger  ·  DNV Digital Vessel Management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DNV Digital Vessel Management — Integration Research</dc:title>
  <dc:creator>Poseidon Ledger</dc:creator>
  <dc:description>Maritime research report on DNV Veracity, digital twins, certification, hull, compliance, and APIs for Poseidon Ledger.</dc:description>
  <cp:lastModifiedBy>Un-named</cp:lastModifiedBy>
  <cp:revision>1</cp:revision>
  <dcterms:created xsi:type="dcterms:W3CDTF">2026-07-04T20:27:04.180Z</dcterms:created>
  <dcterms:modified xsi:type="dcterms:W3CDTF">2026-07-04T20:27:04.197Z</dcterms:modified>
</cp:coreProperties>
</file>

<file path=docProps/custom.xml><?xml version="1.0" encoding="utf-8"?>
<Properties xmlns="http://schemas.openxmlformats.org/officeDocument/2006/custom-properties" xmlns:vt="http://schemas.openxmlformats.org/officeDocument/2006/docPropsVTypes"/>
</file>