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383D" w14:textId="77777777" w:rsidR="00713273" w:rsidRDefault="00713273"/>
    <w:p w14:paraId="05807D55" w14:textId="77777777" w:rsidR="00713273" w:rsidRDefault="00713273"/>
    <w:p w14:paraId="2D54CFEA" w14:textId="77777777" w:rsidR="00713273" w:rsidRDefault="00713273"/>
    <w:p w14:paraId="29B91A07" w14:textId="77777777" w:rsidR="00713273" w:rsidRDefault="00713273"/>
    <w:p w14:paraId="3D28461A" w14:textId="77777777" w:rsidR="00713273" w:rsidRDefault="00000000">
      <w:pPr>
        <w:jc w:val="center"/>
      </w:pPr>
      <w:r>
        <w:rPr>
          <w:b/>
        </w:rPr>
        <w:t>Análisis estadístico de los factores asociados al abandono de clientes</w:t>
      </w:r>
    </w:p>
    <w:p w14:paraId="4D1618D4" w14:textId="5B286F48" w:rsidR="00713273" w:rsidRDefault="00C143D3">
      <w:pPr>
        <w:jc w:val="center"/>
      </w:pPr>
      <w:r>
        <w:t>Gabriela Suesca Castillo</w:t>
      </w:r>
    </w:p>
    <w:p w14:paraId="63C35E7F" w14:textId="77777777" w:rsidR="00713273" w:rsidRDefault="00000000">
      <w:pPr>
        <w:jc w:val="center"/>
      </w:pPr>
      <w:r>
        <w:t>Universidad de Cundinamarca</w:t>
      </w:r>
    </w:p>
    <w:p w14:paraId="590D140A" w14:textId="77777777" w:rsidR="00713273" w:rsidRDefault="00000000">
      <w:pPr>
        <w:jc w:val="center"/>
      </w:pPr>
      <w:r>
        <w:t>Diseño Estadístico para Datos Estructurados y no Estructurados</w:t>
      </w:r>
    </w:p>
    <w:p w14:paraId="65C69EAB" w14:textId="77777777" w:rsidR="00713273" w:rsidRDefault="00000000">
      <w:pPr>
        <w:jc w:val="center"/>
      </w:pPr>
      <w:r>
        <w:t>Paul Alexander Díaz Montaña</w:t>
      </w:r>
    </w:p>
    <w:p w14:paraId="0FC1FA90" w14:textId="77777777" w:rsidR="00713273" w:rsidRDefault="00000000">
      <w:pPr>
        <w:jc w:val="center"/>
      </w:pPr>
      <w:r>
        <w:t>12 de octubre de 2026</w:t>
      </w:r>
    </w:p>
    <w:p w14:paraId="1FB62421" w14:textId="77777777" w:rsidR="00713273" w:rsidRDefault="00000000">
      <w:r>
        <w:br w:type="page"/>
      </w:r>
    </w:p>
    <w:p w14:paraId="2994DA36" w14:textId="77777777" w:rsidR="00713273" w:rsidRDefault="00000000">
      <w:pPr>
        <w:jc w:val="center"/>
      </w:pPr>
      <w:r>
        <w:rPr>
          <w:b/>
        </w:rPr>
        <w:lastRenderedPageBreak/>
        <w:t>Análisis estadístico de los factores asociados al abandono de clientes</w:t>
      </w:r>
    </w:p>
    <w:p w14:paraId="4E840363" w14:textId="77777777" w:rsidR="00713273" w:rsidRDefault="00000000">
      <w:pPr>
        <w:pStyle w:val="Ttulo1"/>
        <w:jc w:val="center"/>
      </w:pPr>
      <w:r>
        <w:rPr>
          <w:rFonts w:ascii="Times New Roman" w:hAnsi="Times New Roman"/>
        </w:rPr>
        <w:t>Resumen</w:t>
      </w:r>
    </w:p>
    <w:p w14:paraId="3982C887" w14:textId="77777777" w:rsidR="00713273" w:rsidRDefault="00000000">
      <w:pPr>
        <w:ind w:firstLine="720"/>
      </w:pPr>
      <w:r>
        <w:t>El abandono de clientes, conocido como churn, representa un reto para las empresas de telecomunicaciones debido a sus posibles efectos sobre los ingresos y la estabilidad de la cartera. El objetivo de este trabajo fue describir el abandono de clientes y examinar su asociación con el tipo de contrato y el método de pago, así como las diferencias en antigüedad y cargos mensuales entre quienes permanecieron y quienes abandonaron el servicio. Se analizó una base pública de IBM con 7.043 registros y 21 variables originales. El proceso incluyó revisión de calidad, estadística descriptiva, visualizaciones, pruebas chi-cuadrado de independencia, pruebas U de Mann–Whitney y prueba de Levene. La tasa general de abandono fue del 26,54 %. Se encontró asociación estadísticamente significativa entre abandono y tipo de contrato, χ²(2) = 1184,60, p &lt; .001, V de Cramér = .41, y entre abandono y método de pago, χ²(3) = 648,14, p &lt; .001, V = .30. La mediana de antigüedad fue menor en quienes abandonaron (10 meses) que en quienes permanecieron (38 meses), mientras que la mediana de cargos mensuales fue mayor en el grupo que abandonó ($79,65 frente a $64,43). Los resultados identifican segmentos que podrían priorizarse en estrategias de retención; sin embargo, las asociaciones observadas no demuestran causalidad.</w:t>
      </w:r>
    </w:p>
    <w:p w14:paraId="6953BB88" w14:textId="77777777" w:rsidR="00713273" w:rsidRDefault="00000000">
      <w:r>
        <w:rPr>
          <w:b/>
        </w:rPr>
        <w:t xml:space="preserve">Palabras clave: </w:t>
      </w:r>
      <w:r>
        <w:t>abandono de clientes, telecomunicaciones, análisis estadístico, retención, pruebas de hipótesis</w:t>
      </w:r>
    </w:p>
    <w:p w14:paraId="4C4E3E1A" w14:textId="77777777" w:rsidR="00713273" w:rsidRDefault="00000000">
      <w:pPr>
        <w:pStyle w:val="Ttulo1"/>
        <w:jc w:val="center"/>
      </w:pPr>
      <w:r>
        <w:rPr>
          <w:rFonts w:ascii="Times New Roman" w:hAnsi="Times New Roman"/>
        </w:rPr>
        <w:t>Introducción</w:t>
      </w:r>
    </w:p>
    <w:p w14:paraId="70B14249" w14:textId="77777777" w:rsidR="00713273" w:rsidRDefault="00000000">
      <w:pPr>
        <w:ind w:firstLine="720"/>
      </w:pPr>
      <w:r>
        <w:t xml:space="preserve">La retención de clientes es un asunto relevante para las empresas de telecomunicaciones, ya que el cambio de proveedor puede afectar la continuidad de los ingresos y aumentar la necesidad de captar nuevos usuarios. El abandono de clientes o churn se refiere a la interrupción </w:t>
      </w:r>
      <w:r>
        <w:lastRenderedPageBreak/>
        <w:t>de la relación comercial de un usuario con una compañía. La literatura sobre telecomunicaciones ha estudiado este fenómeno mediante análisis estadísticos y modelos predictivos que buscan identificar patrones asociados con la pérdida de clientes (Ahmad et al., 2019; Sulikowski &amp; Zdziebko, 2021).</w:t>
      </w:r>
    </w:p>
    <w:p w14:paraId="5B48D85D" w14:textId="77777777" w:rsidR="00713273" w:rsidRDefault="00000000">
      <w:pPr>
        <w:ind w:firstLine="720"/>
      </w:pPr>
      <w:r>
        <w:t>Los datos transaccionales y de servicio permiten examinar características como la duración de la relación, el tipo de contrato, el método de pago y el valor de los cargos mensuales. Investigaciones previas han señalado que la identificación de factores asociados con el abandono puede orientar la priorización de acciones de retención, aunque los hallazgos deben interpretarse de acuerdo con las características y limitaciones de cada conjunto de datos (Edwine et al., 2022; Wagh et al., 2024).</w:t>
      </w:r>
    </w:p>
    <w:p w14:paraId="14A14CB7" w14:textId="77777777" w:rsidR="00713273" w:rsidRDefault="00000000">
      <w:pPr>
        <w:ind w:firstLine="720"/>
      </w:pPr>
      <w:r>
        <w:t>Este trabajo desarrolla un análisis estadístico exploratorio de una base de clientes de telecomunicaciones publicada por IBM. El propósito no es construir un modelo predictivo, sino describir el comportamiento del abandono y evaluar si existen asociaciones o diferencias estadísticas entre grupos definidos por variables contractuales, de pago y de permanencia.</w:t>
      </w:r>
    </w:p>
    <w:p w14:paraId="0B08D5A9" w14:textId="77777777" w:rsidR="00713273" w:rsidRDefault="00000000">
      <w:pPr>
        <w:pStyle w:val="Ttulo1"/>
        <w:jc w:val="center"/>
      </w:pPr>
      <w:r>
        <w:rPr>
          <w:rFonts w:ascii="Times New Roman" w:hAnsi="Times New Roman"/>
        </w:rPr>
        <w:t>Planteamiento del problema</w:t>
      </w:r>
    </w:p>
    <w:p w14:paraId="6CF96B51" w14:textId="77777777" w:rsidR="00713273" w:rsidRDefault="00000000">
      <w:pPr>
        <w:ind w:firstLine="720"/>
      </w:pPr>
      <w:r>
        <w:t>¿Qué características de los clientes presentan asociación estadística con el abandono del servicio y qué diferencias se observan entre los clientes que permanecieron y aquellos que abandonaron? La pregunta se aborda mediante análisis descriptivo y pruebas de hipótesis aplicadas a las variables disponibles en la base.</w:t>
      </w:r>
    </w:p>
    <w:p w14:paraId="3796E1BC" w14:textId="77777777" w:rsidR="00713273" w:rsidRDefault="00000000">
      <w:pPr>
        <w:pStyle w:val="Ttulo1"/>
        <w:jc w:val="center"/>
      </w:pPr>
      <w:r>
        <w:rPr>
          <w:rFonts w:ascii="Times New Roman" w:hAnsi="Times New Roman"/>
        </w:rPr>
        <w:t>Objetivos</w:t>
      </w:r>
    </w:p>
    <w:p w14:paraId="325EC4EF" w14:textId="77777777" w:rsidR="00713273" w:rsidRDefault="00000000">
      <w:pPr>
        <w:pStyle w:val="Ttulo2"/>
      </w:pPr>
      <w:r>
        <w:rPr>
          <w:rFonts w:ascii="Times New Roman" w:hAnsi="Times New Roman"/>
        </w:rPr>
        <w:t>Objetivo general</w:t>
      </w:r>
    </w:p>
    <w:p w14:paraId="78B5E448" w14:textId="77777777" w:rsidR="00713273" w:rsidRDefault="00000000">
      <w:pPr>
        <w:ind w:firstLine="720"/>
      </w:pPr>
      <w:r>
        <w:t>Analizar estadísticamente factores asociados al abandono de clientes de una empresa de telecomunicaciones, mediante técnicas descriptivas y pruebas de hipótesis.</w:t>
      </w:r>
    </w:p>
    <w:p w14:paraId="750387BA" w14:textId="77777777" w:rsidR="00713273" w:rsidRDefault="00000000">
      <w:pPr>
        <w:pStyle w:val="Ttulo2"/>
      </w:pPr>
      <w:r>
        <w:rPr>
          <w:rFonts w:ascii="Times New Roman" w:hAnsi="Times New Roman"/>
        </w:rPr>
        <w:lastRenderedPageBreak/>
        <w:t>Objetivos específicos</w:t>
      </w:r>
    </w:p>
    <w:p w14:paraId="237AE83A" w14:textId="77777777" w:rsidR="00713273" w:rsidRDefault="00000000">
      <w:pPr>
        <w:pStyle w:val="Listaconvietas"/>
        <w:ind w:left="720"/>
      </w:pPr>
      <w:r>
        <w:t>Describir la distribución general de clientes que permanecieron y que abandonaron el servicio.</w:t>
      </w:r>
    </w:p>
    <w:p w14:paraId="3D2BC413" w14:textId="77777777" w:rsidR="00713273" w:rsidRDefault="00000000">
      <w:pPr>
        <w:pStyle w:val="Listaconvietas"/>
        <w:ind w:left="720"/>
      </w:pPr>
      <w:r>
        <w:t>Comparar las tasas de abandono según el tipo de contrato y el método de pago.</w:t>
      </w:r>
    </w:p>
    <w:p w14:paraId="530DDFEC" w14:textId="77777777" w:rsidR="00713273" w:rsidRDefault="00000000">
      <w:pPr>
        <w:pStyle w:val="Listaconvietas"/>
        <w:ind w:left="720"/>
      </w:pPr>
      <w:r>
        <w:t>Evaluar las diferencias en antigüedad y cargos mensuales entre ambos grupos.</w:t>
      </w:r>
    </w:p>
    <w:p w14:paraId="56544477" w14:textId="77777777" w:rsidR="00713273" w:rsidRDefault="00000000">
      <w:pPr>
        <w:pStyle w:val="Listaconvietas"/>
        <w:ind w:left="720"/>
      </w:pPr>
      <w:r>
        <w:t>Interpretar los hallazgos para proponer acciones de retención y reconocer las limitaciones del análisis.</w:t>
      </w:r>
    </w:p>
    <w:p w14:paraId="79D35A00" w14:textId="77777777" w:rsidR="00713273" w:rsidRDefault="00000000">
      <w:pPr>
        <w:pStyle w:val="Ttulo1"/>
        <w:jc w:val="center"/>
      </w:pPr>
      <w:r>
        <w:rPr>
          <w:rFonts w:ascii="Times New Roman" w:hAnsi="Times New Roman"/>
        </w:rPr>
        <w:t>Metodología</w:t>
      </w:r>
    </w:p>
    <w:p w14:paraId="3C30AADC" w14:textId="77777777" w:rsidR="00713273" w:rsidRDefault="00000000">
      <w:pPr>
        <w:pStyle w:val="Ttulo2"/>
      </w:pPr>
      <w:r>
        <w:rPr>
          <w:rFonts w:ascii="Times New Roman" w:hAnsi="Times New Roman"/>
        </w:rPr>
        <w:t>Diseño y fuente de datos</w:t>
      </w:r>
    </w:p>
    <w:p w14:paraId="32179350" w14:textId="77777777" w:rsidR="00713273" w:rsidRDefault="00000000">
      <w:pPr>
        <w:ind w:firstLine="720"/>
      </w:pPr>
      <w:r>
        <w:t>Se realizó un estudio cuantitativo, observacional y transversal de carácter exploratorio. La base corresponde al conjunto de ejemplo Telco Customer Churn publicado en el repositorio de IBM. Contiene 7.043 registros de clientes y 21 variables originales relacionadas con características demográficas, servicios contratados, condiciones de facturación y abandono. La variable de interés fue Churn, con las categorías “Yes” (abandonó) y “No” (permaneció). IBM describe este conjunto como información de una empresa ficticia de telecomunicaciones (IBM, s. f.).</w:t>
      </w:r>
    </w:p>
    <w:p w14:paraId="4D7B324A" w14:textId="77777777" w:rsidR="00713273" w:rsidRDefault="00000000">
      <w:pPr>
        <w:pStyle w:val="Ttulo2"/>
      </w:pPr>
      <w:r>
        <w:rPr>
          <w:rFonts w:ascii="Times New Roman" w:hAnsi="Times New Roman"/>
        </w:rPr>
        <w:t>Preparación de los datos</w:t>
      </w:r>
    </w:p>
    <w:p w14:paraId="0A450CA4" w14:textId="77777777" w:rsidR="00713273" w:rsidRDefault="00000000">
      <w:pPr>
        <w:ind w:firstLine="720"/>
      </w:pPr>
      <w:r>
        <w:t xml:space="preserve">El procesamiento se realizó en Python mediante pandas, NumPy, Matplotlib, Seaborn y SciPy. Se revisaron tipos de datos, valores faltantes, filas duplicadas e identificadores repetidos. No se encontraron filas duplicadas ni identificadores duplicados. La variable TotalCharges se convirtió a formato numérico; 11 registros que tenían este campo vacío tras la conversión se imputaron con cero, de acuerdo con el procedimiento implementado en el notebook. Se añadió </w:t>
      </w:r>
      <w:r>
        <w:lastRenderedPageBreak/>
        <w:t>una variable binaria para representar el abandono. La tabla final mantuvo 7.043 registros y 22 columnas, debido a la variable derivada.</w:t>
      </w:r>
    </w:p>
    <w:p w14:paraId="16029532" w14:textId="77777777" w:rsidR="00713273" w:rsidRDefault="00000000">
      <w:pPr>
        <w:pStyle w:val="Ttulo2"/>
      </w:pPr>
      <w:r>
        <w:rPr>
          <w:rFonts w:ascii="Times New Roman" w:hAnsi="Times New Roman"/>
        </w:rPr>
        <w:t>Variables analizadas</w:t>
      </w:r>
    </w:p>
    <w:p w14:paraId="7C2259AE" w14:textId="77777777" w:rsidR="00713273" w:rsidRDefault="00000000">
      <w:pPr>
        <w:ind w:firstLine="720"/>
      </w:pPr>
      <w:r>
        <w:t>Las variables numéricas principales fueron antigüedad (tenure, en meses), cargos mensuales (MonthlyCharges) y cargos totales (TotalCharges). Las variables categóricas seleccionadas para las pruebas de asociación fueron tipo de contrato (Contract) y método de pago (PaymentMethod). La variable Churn se utilizó para distinguir los dos grupos.</w:t>
      </w:r>
    </w:p>
    <w:p w14:paraId="4CD76318" w14:textId="77777777" w:rsidR="00713273" w:rsidRDefault="00000000">
      <w:pPr>
        <w:pStyle w:val="Ttulo2"/>
      </w:pPr>
      <w:r>
        <w:rPr>
          <w:rFonts w:ascii="Times New Roman" w:hAnsi="Times New Roman"/>
        </w:rPr>
        <w:t>Procedimientos estadísticos</w:t>
      </w:r>
    </w:p>
    <w:p w14:paraId="7E01655C" w14:textId="77777777" w:rsidR="00713273" w:rsidRDefault="00000000">
      <w:pPr>
        <w:ind w:firstLine="720"/>
      </w:pPr>
      <w:r>
        <w:t>Se calcularon frecuencias y porcentajes para describir el abandono, así como medidas de tendencia central y dispersión para las variables numéricas. Para evaluar la asociación entre dos variables categóricas se aplicó la prueba chi-cuadrado de independencia y se informó V de Cramér como medida del tamaño de asociación. Para comparar las distribuciones de antigüedad y cargos mensuales entre los grupos se utilizó la prueba U de Mann–Whitney, una alternativa no paramétrica que no requiere asumir normalidad. La prueba de Levene se utilizó para evaluar si la variabilidad de los cargos mensuales difería entre grupos. Se estableció un nivel de significancia de α = .05. Los valores p inferiores a .05 se interpretaron como evidencia estadística contra la hipótesis nula correspondiente.</w:t>
      </w:r>
    </w:p>
    <w:p w14:paraId="169A6BDE" w14:textId="77777777" w:rsidR="00713273" w:rsidRDefault="00000000">
      <w:pPr>
        <w:pStyle w:val="Ttulo1"/>
        <w:jc w:val="center"/>
      </w:pPr>
      <w:r>
        <w:rPr>
          <w:rFonts w:ascii="Times New Roman" w:hAnsi="Times New Roman"/>
        </w:rPr>
        <w:t>Resultados</w:t>
      </w:r>
    </w:p>
    <w:p w14:paraId="3D28D76D" w14:textId="77777777" w:rsidR="00713273" w:rsidRDefault="00000000">
      <w:pPr>
        <w:pStyle w:val="Ttulo2"/>
      </w:pPr>
      <w:r>
        <w:rPr>
          <w:rFonts w:ascii="Times New Roman" w:hAnsi="Times New Roman"/>
        </w:rPr>
        <w:t>Descripción general del abandono</w:t>
      </w:r>
    </w:p>
    <w:p w14:paraId="62DD37C7" w14:textId="77777777" w:rsidR="00713273" w:rsidRDefault="00000000">
      <w:pPr>
        <w:ind w:firstLine="720"/>
      </w:pPr>
      <w:r>
        <w:t xml:space="preserve">De los 7.043 clientes incluidos, 5.174 (73,46 %) permanecieron y 1.869 (26,54 %) abandonaron el servicio. Por tanto, aproximadamente uno de cada cuatro registros corresponde a un cliente que dejó la compañía. Esta proporción describe la base analizada y no debe </w:t>
      </w:r>
      <w:r>
        <w:lastRenderedPageBreak/>
        <w:t>interpretarse automáticamente como una tasa aplicable a todas las empresas de telecomunicaciones.</w:t>
      </w:r>
    </w:p>
    <w:tbl>
      <w:tblPr>
        <w:tblStyle w:val="Tablaconcuadrcula"/>
        <w:tblW w:w="0" w:type="auto"/>
        <w:jc w:val="center"/>
        <w:tblLook w:val="04A0" w:firstRow="1" w:lastRow="0" w:firstColumn="1" w:lastColumn="0" w:noHBand="0" w:noVBand="1"/>
      </w:tblPr>
      <w:tblGrid>
        <w:gridCol w:w="3120"/>
        <w:gridCol w:w="3120"/>
        <w:gridCol w:w="3120"/>
      </w:tblGrid>
      <w:tr w:rsidR="00713273" w14:paraId="737FA941" w14:textId="77777777">
        <w:trPr>
          <w:jc w:val="center"/>
        </w:trPr>
        <w:tc>
          <w:tcPr>
            <w:tcW w:w="3120" w:type="dxa"/>
            <w:vAlign w:val="center"/>
          </w:tcPr>
          <w:p w14:paraId="5BB1BC8F" w14:textId="77777777" w:rsidR="00713273" w:rsidRDefault="00000000">
            <w:r>
              <w:rPr>
                <w:b/>
                <w:sz w:val="20"/>
              </w:rPr>
              <w:t>Estado del cliente</w:t>
            </w:r>
          </w:p>
        </w:tc>
        <w:tc>
          <w:tcPr>
            <w:tcW w:w="3120" w:type="dxa"/>
            <w:vAlign w:val="center"/>
          </w:tcPr>
          <w:p w14:paraId="4C9BB009" w14:textId="77777777" w:rsidR="00713273" w:rsidRDefault="00000000">
            <w:r>
              <w:rPr>
                <w:b/>
                <w:sz w:val="20"/>
              </w:rPr>
              <w:t>Frecuencia</w:t>
            </w:r>
          </w:p>
        </w:tc>
        <w:tc>
          <w:tcPr>
            <w:tcW w:w="3120" w:type="dxa"/>
            <w:vAlign w:val="center"/>
          </w:tcPr>
          <w:p w14:paraId="0BBD2D4D" w14:textId="77777777" w:rsidR="00713273" w:rsidRDefault="00000000">
            <w:r>
              <w:rPr>
                <w:b/>
                <w:sz w:val="20"/>
              </w:rPr>
              <w:t>Porcentaje</w:t>
            </w:r>
          </w:p>
        </w:tc>
      </w:tr>
      <w:tr w:rsidR="00713273" w14:paraId="7EDFFB17" w14:textId="77777777">
        <w:trPr>
          <w:jc w:val="center"/>
        </w:trPr>
        <w:tc>
          <w:tcPr>
            <w:tcW w:w="3120" w:type="dxa"/>
            <w:vAlign w:val="center"/>
          </w:tcPr>
          <w:p w14:paraId="038D0AFE" w14:textId="77777777" w:rsidR="00713273" w:rsidRDefault="00000000">
            <w:pPr>
              <w:spacing w:line="240" w:lineRule="auto"/>
            </w:pPr>
            <w:r>
              <w:rPr>
                <w:sz w:val="20"/>
              </w:rPr>
              <w:t>Permaneció</w:t>
            </w:r>
          </w:p>
        </w:tc>
        <w:tc>
          <w:tcPr>
            <w:tcW w:w="3120" w:type="dxa"/>
            <w:vAlign w:val="center"/>
          </w:tcPr>
          <w:p w14:paraId="54EB66CC" w14:textId="77777777" w:rsidR="00713273" w:rsidRDefault="00000000">
            <w:pPr>
              <w:spacing w:line="240" w:lineRule="auto"/>
            </w:pPr>
            <w:r>
              <w:rPr>
                <w:sz w:val="20"/>
              </w:rPr>
              <w:t>5.174</w:t>
            </w:r>
          </w:p>
        </w:tc>
        <w:tc>
          <w:tcPr>
            <w:tcW w:w="3120" w:type="dxa"/>
            <w:vAlign w:val="center"/>
          </w:tcPr>
          <w:p w14:paraId="65D3869C" w14:textId="77777777" w:rsidR="00713273" w:rsidRDefault="00000000">
            <w:pPr>
              <w:spacing w:line="240" w:lineRule="auto"/>
            </w:pPr>
            <w:r>
              <w:rPr>
                <w:sz w:val="20"/>
              </w:rPr>
              <w:t>73,46 %</w:t>
            </w:r>
          </w:p>
        </w:tc>
      </w:tr>
      <w:tr w:rsidR="00713273" w14:paraId="2DEE2DD0" w14:textId="77777777">
        <w:trPr>
          <w:jc w:val="center"/>
        </w:trPr>
        <w:tc>
          <w:tcPr>
            <w:tcW w:w="3120" w:type="dxa"/>
            <w:vAlign w:val="center"/>
          </w:tcPr>
          <w:p w14:paraId="71B09B30" w14:textId="77777777" w:rsidR="00713273" w:rsidRDefault="00000000">
            <w:pPr>
              <w:spacing w:line="240" w:lineRule="auto"/>
            </w:pPr>
            <w:r>
              <w:rPr>
                <w:sz w:val="20"/>
              </w:rPr>
              <w:t>Abandonó</w:t>
            </w:r>
          </w:p>
        </w:tc>
        <w:tc>
          <w:tcPr>
            <w:tcW w:w="3120" w:type="dxa"/>
            <w:vAlign w:val="center"/>
          </w:tcPr>
          <w:p w14:paraId="1F3E67C4" w14:textId="77777777" w:rsidR="00713273" w:rsidRDefault="00000000">
            <w:pPr>
              <w:spacing w:line="240" w:lineRule="auto"/>
            </w:pPr>
            <w:r>
              <w:rPr>
                <w:sz w:val="20"/>
              </w:rPr>
              <w:t>1.869</w:t>
            </w:r>
          </w:p>
        </w:tc>
        <w:tc>
          <w:tcPr>
            <w:tcW w:w="3120" w:type="dxa"/>
            <w:vAlign w:val="center"/>
          </w:tcPr>
          <w:p w14:paraId="381F9043" w14:textId="77777777" w:rsidR="00713273" w:rsidRDefault="00000000">
            <w:pPr>
              <w:spacing w:line="240" w:lineRule="auto"/>
            </w:pPr>
            <w:r>
              <w:rPr>
                <w:sz w:val="20"/>
              </w:rPr>
              <w:t>26,54 %</w:t>
            </w:r>
          </w:p>
        </w:tc>
      </w:tr>
      <w:tr w:rsidR="00713273" w14:paraId="3023E7F7" w14:textId="77777777">
        <w:trPr>
          <w:jc w:val="center"/>
        </w:trPr>
        <w:tc>
          <w:tcPr>
            <w:tcW w:w="3120" w:type="dxa"/>
            <w:vAlign w:val="center"/>
          </w:tcPr>
          <w:p w14:paraId="25604561" w14:textId="77777777" w:rsidR="00713273" w:rsidRDefault="00000000">
            <w:pPr>
              <w:spacing w:line="240" w:lineRule="auto"/>
            </w:pPr>
            <w:r>
              <w:rPr>
                <w:sz w:val="20"/>
              </w:rPr>
              <w:t>Total</w:t>
            </w:r>
          </w:p>
        </w:tc>
        <w:tc>
          <w:tcPr>
            <w:tcW w:w="3120" w:type="dxa"/>
            <w:vAlign w:val="center"/>
          </w:tcPr>
          <w:p w14:paraId="79525248" w14:textId="77777777" w:rsidR="00713273" w:rsidRDefault="00000000">
            <w:pPr>
              <w:spacing w:line="240" w:lineRule="auto"/>
            </w:pPr>
            <w:r>
              <w:rPr>
                <w:sz w:val="20"/>
              </w:rPr>
              <w:t>7.043</w:t>
            </w:r>
          </w:p>
        </w:tc>
        <w:tc>
          <w:tcPr>
            <w:tcW w:w="3120" w:type="dxa"/>
            <w:vAlign w:val="center"/>
          </w:tcPr>
          <w:p w14:paraId="662B8F43" w14:textId="77777777" w:rsidR="00713273" w:rsidRDefault="00000000">
            <w:pPr>
              <w:spacing w:line="240" w:lineRule="auto"/>
            </w:pPr>
            <w:r>
              <w:rPr>
                <w:sz w:val="20"/>
              </w:rPr>
              <w:t>100,00 %</w:t>
            </w:r>
          </w:p>
        </w:tc>
      </w:tr>
    </w:tbl>
    <w:p w14:paraId="6C86B469" w14:textId="77777777" w:rsidR="00713273" w:rsidRDefault="00000000">
      <w:pPr>
        <w:spacing w:line="240" w:lineRule="auto"/>
      </w:pPr>
      <w:r>
        <w:rPr>
          <w:i/>
          <w:sz w:val="20"/>
        </w:rPr>
        <w:t>Nota. Cálculos propios a partir de la base Telco Customer Churn de IBM.</w:t>
      </w:r>
    </w:p>
    <w:p w14:paraId="06C41D81" w14:textId="77777777" w:rsidR="00713273" w:rsidRDefault="00000000">
      <w:pPr>
        <w:pStyle w:val="Ttulo2"/>
      </w:pPr>
      <w:r>
        <w:rPr>
          <w:rFonts w:ascii="Times New Roman" w:hAnsi="Times New Roman"/>
        </w:rPr>
        <w:t>Estadísticos descriptivos de variables numéricas</w:t>
      </w:r>
    </w:p>
    <w:p w14:paraId="2CAC8CFF" w14:textId="77777777" w:rsidR="00713273" w:rsidRDefault="00000000">
      <w:pPr>
        <w:ind w:firstLine="720"/>
      </w:pPr>
      <w:r>
        <w:t>En el conjunto completo, la antigüedad promedio fue de 32,37 meses (DE = 24,56; mediana = 29). Los cargos mensuales tuvieron un promedio de 64,76 unidades monetarias (DE = 30,09; mediana = 70,35). Los cargos totales presentaron un promedio de 2.279,73 (DE = 2.266,79; mediana = 1.394,55). La base no especifica en las variables analizadas una moneda que deba asignarse a estos valores, por lo que se reportan como unidades monetarias.</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713273" w14:paraId="23D61AE1" w14:textId="77777777">
        <w:trPr>
          <w:jc w:val="center"/>
        </w:trPr>
        <w:tc>
          <w:tcPr>
            <w:tcW w:w="1872" w:type="dxa"/>
            <w:vAlign w:val="center"/>
          </w:tcPr>
          <w:p w14:paraId="72A9CFC7" w14:textId="77777777" w:rsidR="00713273" w:rsidRDefault="00000000">
            <w:r>
              <w:rPr>
                <w:b/>
                <w:sz w:val="20"/>
              </w:rPr>
              <w:t>Variable</w:t>
            </w:r>
          </w:p>
        </w:tc>
        <w:tc>
          <w:tcPr>
            <w:tcW w:w="1872" w:type="dxa"/>
            <w:vAlign w:val="center"/>
          </w:tcPr>
          <w:p w14:paraId="7794E785" w14:textId="77777777" w:rsidR="00713273" w:rsidRDefault="00000000">
            <w:r>
              <w:rPr>
                <w:b/>
                <w:sz w:val="20"/>
              </w:rPr>
              <w:t>Media</w:t>
            </w:r>
          </w:p>
        </w:tc>
        <w:tc>
          <w:tcPr>
            <w:tcW w:w="1872" w:type="dxa"/>
            <w:vAlign w:val="center"/>
          </w:tcPr>
          <w:p w14:paraId="2682DE9E" w14:textId="77777777" w:rsidR="00713273" w:rsidRDefault="00000000">
            <w:r>
              <w:rPr>
                <w:b/>
                <w:sz w:val="20"/>
              </w:rPr>
              <w:t>Desviación estándar</w:t>
            </w:r>
          </w:p>
        </w:tc>
        <w:tc>
          <w:tcPr>
            <w:tcW w:w="1872" w:type="dxa"/>
            <w:vAlign w:val="center"/>
          </w:tcPr>
          <w:p w14:paraId="05A30C46" w14:textId="77777777" w:rsidR="00713273" w:rsidRDefault="00000000">
            <w:r>
              <w:rPr>
                <w:b/>
                <w:sz w:val="20"/>
              </w:rPr>
              <w:t>Mediana</w:t>
            </w:r>
          </w:p>
        </w:tc>
        <w:tc>
          <w:tcPr>
            <w:tcW w:w="1872" w:type="dxa"/>
            <w:vAlign w:val="center"/>
          </w:tcPr>
          <w:p w14:paraId="5B1A87BC" w14:textId="77777777" w:rsidR="00713273" w:rsidRDefault="00000000">
            <w:r>
              <w:rPr>
                <w:b/>
                <w:sz w:val="20"/>
              </w:rPr>
              <w:t>Mínimo–máximo</w:t>
            </w:r>
          </w:p>
        </w:tc>
      </w:tr>
      <w:tr w:rsidR="00713273" w14:paraId="41EC8C86" w14:textId="77777777">
        <w:trPr>
          <w:jc w:val="center"/>
        </w:trPr>
        <w:tc>
          <w:tcPr>
            <w:tcW w:w="1872" w:type="dxa"/>
            <w:vAlign w:val="center"/>
          </w:tcPr>
          <w:p w14:paraId="67D1EC92" w14:textId="77777777" w:rsidR="00713273" w:rsidRDefault="00000000">
            <w:pPr>
              <w:spacing w:line="240" w:lineRule="auto"/>
            </w:pPr>
            <w:r>
              <w:rPr>
                <w:sz w:val="20"/>
              </w:rPr>
              <w:t>Antigüedad (meses)</w:t>
            </w:r>
          </w:p>
        </w:tc>
        <w:tc>
          <w:tcPr>
            <w:tcW w:w="1872" w:type="dxa"/>
            <w:vAlign w:val="center"/>
          </w:tcPr>
          <w:p w14:paraId="7B6D9E23" w14:textId="77777777" w:rsidR="00713273" w:rsidRDefault="00000000">
            <w:pPr>
              <w:spacing w:line="240" w:lineRule="auto"/>
            </w:pPr>
            <w:r>
              <w:rPr>
                <w:sz w:val="20"/>
              </w:rPr>
              <w:t>32,37</w:t>
            </w:r>
          </w:p>
        </w:tc>
        <w:tc>
          <w:tcPr>
            <w:tcW w:w="1872" w:type="dxa"/>
            <w:vAlign w:val="center"/>
          </w:tcPr>
          <w:p w14:paraId="3758A3A5" w14:textId="77777777" w:rsidR="00713273" w:rsidRDefault="00000000">
            <w:pPr>
              <w:spacing w:line="240" w:lineRule="auto"/>
            </w:pPr>
            <w:r>
              <w:rPr>
                <w:sz w:val="20"/>
              </w:rPr>
              <w:t>24,56</w:t>
            </w:r>
          </w:p>
        </w:tc>
        <w:tc>
          <w:tcPr>
            <w:tcW w:w="1872" w:type="dxa"/>
            <w:vAlign w:val="center"/>
          </w:tcPr>
          <w:p w14:paraId="5E8ABF64" w14:textId="77777777" w:rsidR="00713273" w:rsidRDefault="00000000">
            <w:pPr>
              <w:spacing w:line="240" w:lineRule="auto"/>
            </w:pPr>
            <w:r>
              <w:rPr>
                <w:sz w:val="20"/>
              </w:rPr>
              <w:t>29,00</w:t>
            </w:r>
          </w:p>
        </w:tc>
        <w:tc>
          <w:tcPr>
            <w:tcW w:w="1872" w:type="dxa"/>
            <w:vAlign w:val="center"/>
          </w:tcPr>
          <w:p w14:paraId="0BDD3FFD" w14:textId="77777777" w:rsidR="00713273" w:rsidRDefault="00000000">
            <w:pPr>
              <w:spacing w:line="240" w:lineRule="auto"/>
            </w:pPr>
            <w:r>
              <w:rPr>
                <w:sz w:val="20"/>
              </w:rPr>
              <w:t>0–72</w:t>
            </w:r>
          </w:p>
        </w:tc>
      </w:tr>
      <w:tr w:rsidR="00713273" w14:paraId="3ECF7ACF" w14:textId="77777777">
        <w:trPr>
          <w:jc w:val="center"/>
        </w:trPr>
        <w:tc>
          <w:tcPr>
            <w:tcW w:w="1872" w:type="dxa"/>
            <w:vAlign w:val="center"/>
          </w:tcPr>
          <w:p w14:paraId="2AD7D2B0" w14:textId="77777777" w:rsidR="00713273" w:rsidRDefault="00000000">
            <w:pPr>
              <w:spacing w:line="240" w:lineRule="auto"/>
            </w:pPr>
            <w:r>
              <w:rPr>
                <w:sz w:val="20"/>
              </w:rPr>
              <w:t>Cargos mensuales</w:t>
            </w:r>
          </w:p>
        </w:tc>
        <w:tc>
          <w:tcPr>
            <w:tcW w:w="1872" w:type="dxa"/>
            <w:vAlign w:val="center"/>
          </w:tcPr>
          <w:p w14:paraId="34BA73E5" w14:textId="77777777" w:rsidR="00713273" w:rsidRDefault="00000000">
            <w:pPr>
              <w:spacing w:line="240" w:lineRule="auto"/>
            </w:pPr>
            <w:r>
              <w:rPr>
                <w:sz w:val="20"/>
              </w:rPr>
              <w:t>64,76</w:t>
            </w:r>
          </w:p>
        </w:tc>
        <w:tc>
          <w:tcPr>
            <w:tcW w:w="1872" w:type="dxa"/>
            <w:vAlign w:val="center"/>
          </w:tcPr>
          <w:p w14:paraId="6FFCD661" w14:textId="77777777" w:rsidR="00713273" w:rsidRDefault="00000000">
            <w:pPr>
              <w:spacing w:line="240" w:lineRule="auto"/>
            </w:pPr>
            <w:r>
              <w:rPr>
                <w:sz w:val="20"/>
              </w:rPr>
              <w:t>30,09</w:t>
            </w:r>
          </w:p>
        </w:tc>
        <w:tc>
          <w:tcPr>
            <w:tcW w:w="1872" w:type="dxa"/>
            <w:vAlign w:val="center"/>
          </w:tcPr>
          <w:p w14:paraId="51B93E4C" w14:textId="77777777" w:rsidR="00713273" w:rsidRDefault="00000000">
            <w:pPr>
              <w:spacing w:line="240" w:lineRule="auto"/>
            </w:pPr>
            <w:r>
              <w:rPr>
                <w:sz w:val="20"/>
              </w:rPr>
              <w:t>70,35</w:t>
            </w:r>
          </w:p>
        </w:tc>
        <w:tc>
          <w:tcPr>
            <w:tcW w:w="1872" w:type="dxa"/>
            <w:vAlign w:val="center"/>
          </w:tcPr>
          <w:p w14:paraId="4A97DB93" w14:textId="77777777" w:rsidR="00713273" w:rsidRDefault="00000000">
            <w:pPr>
              <w:spacing w:line="240" w:lineRule="auto"/>
            </w:pPr>
            <w:r>
              <w:rPr>
                <w:sz w:val="20"/>
              </w:rPr>
              <w:t>18,25–118,75</w:t>
            </w:r>
          </w:p>
        </w:tc>
      </w:tr>
      <w:tr w:rsidR="00713273" w14:paraId="4A319DF8" w14:textId="77777777">
        <w:trPr>
          <w:jc w:val="center"/>
        </w:trPr>
        <w:tc>
          <w:tcPr>
            <w:tcW w:w="1872" w:type="dxa"/>
            <w:vAlign w:val="center"/>
          </w:tcPr>
          <w:p w14:paraId="38A719F6" w14:textId="77777777" w:rsidR="00713273" w:rsidRDefault="00000000">
            <w:pPr>
              <w:spacing w:line="240" w:lineRule="auto"/>
            </w:pPr>
            <w:r>
              <w:rPr>
                <w:sz w:val="20"/>
              </w:rPr>
              <w:t>Cargos totales</w:t>
            </w:r>
          </w:p>
        </w:tc>
        <w:tc>
          <w:tcPr>
            <w:tcW w:w="1872" w:type="dxa"/>
            <w:vAlign w:val="center"/>
          </w:tcPr>
          <w:p w14:paraId="7D9BC622" w14:textId="77777777" w:rsidR="00713273" w:rsidRDefault="00000000">
            <w:pPr>
              <w:spacing w:line="240" w:lineRule="auto"/>
            </w:pPr>
            <w:r>
              <w:rPr>
                <w:sz w:val="20"/>
              </w:rPr>
              <w:t>2.279,73</w:t>
            </w:r>
          </w:p>
        </w:tc>
        <w:tc>
          <w:tcPr>
            <w:tcW w:w="1872" w:type="dxa"/>
            <w:vAlign w:val="center"/>
          </w:tcPr>
          <w:p w14:paraId="5C0D0966" w14:textId="77777777" w:rsidR="00713273" w:rsidRDefault="00000000">
            <w:pPr>
              <w:spacing w:line="240" w:lineRule="auto"/>
            </w:pPr>
            <w:r>
              <w:rPr>
                <w:sz w:val="20"/>
              </w:rPr>
              <w:t>2.266,79</w:t>
            </w:r>
          </w:p>
        </w:tc>
        <w:tc>
          <w:tcPr>
            <w:tcW w:w="1872" w:type="dxa"/>
            <w:vAlign w:val="center"/>
          </w:tcPr>
          <w:p w14:paraId="7B2E826A" w14:textId="77777777" w:rsidR="00713273" w:rsidRDefault="00000000">
            <w:pPr>
              <w:spacing w:line="240" w:lineRule="auto"/>
            </w:pPr>
            <w:r>
              <w:rPr>
                <w:sz w:val="20"/>
              </w:rPr>
              <w:t>1.394,55</w:t>
            </w:r>
          </w:p>
        </w:tc>
        <w:tc>
          <w:tcPr>
            <w:tcW w:w="1872" w:type="dxa"/>
            <w:vAlign w:val="center"/>
          </w:tcPr>
          <w:p w14:paraId="424E2015" w14:textId="77777777" w:rsidR="00713273" w:rsidRDefault="00000000">
            <w:pPr>
              <w:spacing w:line="240" w:lineRule="auto"/>
            </w:pPr>
            <w:r>
              <w:rPr>
                <w:sz w:val="20"/>
              </w:rPr>
              <w:t>0–8.684,80</w:t>
            </w:r>
          </w:p>
        </w:tc>
      </w:tr>
    </w:tbl>
    <w:p w14:paraId="6C8612DA" w14:textId="77777777" w:rsidR="00713273" w:rsidRDefault="00000000">
      <w:pPr>
        <w:spacing w:line="240" w:lineRule="auto"/>
      </w:pPr>
      <w:r>
        <w:rPr>
          <w:i/>
          <w:sz w:val="20"/>
        </w:rPr>
        <w:t>Nota. Estadísticos calculados sobre los 7.043 registros procesados.</w:t>
      </w:r>
    </w:p>
    <w:p w14:paraId="6E8E1447" w14:textId="77777777" w:rsidR="00713273" w:rsidRDefault="00000000">
      <w:pPr>
        <w:pStyle w:val="Ttulo2"/>
      </w:pPr>
      <w:r>
        <w:rPr>
          <w:rFonts w:ascii="Times New Roman" w:hAnsi="Times New Roman"/>
        </w:rPr>
        <w:t>Abandono según el tipo de contrato</w:t>
      </w:r>
    </w:p>
    <w:p w14:paraId="5BACD4F6" w14:textId="77777777" w:rsidR="00713273" w:rsidRDefault="00000000">
      <w:pPr>
        <w:ind w:firstLine="720"/>
      </w:pPr>
      <w:r>
        <w:t>La proporción de abandono fue más alta entre los clientes con contrato mensual: 1.655 de 3.875 clientes, equivalentes al 42,71 %. En los contratos de un año, abandonaron 166 de 1.473 clientes (11,27 %), mientras que en los contratos de dos años abandonaron 48 de 1.695 (2,83 %). En términos descriptivos, los contratos de mayor duración estuvieron asociados con proporciones de abandono menores.</w:t>
      </w:r>
    </w:p>
    <w:tbl>
      <w:tblPr>
        <w:tblStyle w:val="Tablaconcuadrcula"/>
        <w:tblW w:w="0" w:type="auto"/>
        <w:jc w:val="center"/>
        <w:tblLook w:val="04A0" w:firstRow="1" w:lastRow="0" w:firstColumn="1" w:lastColumn="0" w:noHBand="0" w:noVBand="1"/>
      </w:tblPr>
      <w:tblGrid>
        <w:gridCol w:w="2340"/>
        <w:gridCol w:w="2340"/>
        <w:gridCol w:w="2340"/>
        <w:gridCol w:w="2340"/>
      </w:tblGrid>
      <w:tr w:rsidR="00713273" w14:paraId="564A7536" w14:textId="77777777">
        <w:trPr>
          <w:jc w:val="center"/>
        </w:trPr>
        <w:tc>
          <w:tcPr>
            <w:tcW w:w="2340" w:type="dxa"/>
            <w:vAlign w:val="center"/>
          </w:tcPr>
          <w:p w14:paraId="1072D43C" w14:textId="77777777" w:rsidR="00713273" w:rsidRDefault="00000000">
            <w:r>
              <w:rPr>
                <w:b/>
                <w:sz w:val="20"/>
              </w:rPr>
              <w:t>Tipo de contrato</w:t>
            </w:r>
          </w:p>
        </w:tc>
        <w:tc>
          <w:tcPr>
            <w:tcW w:w="2340" w:type="dxa"/>
            <w:vAlign w:val="center"/>
          </w:tcPr>
          <w:p w14:paraId="2044C6BC" w14:textId="77777777" w:rsidR="00713273" w:rsidRDefault="00000000">
            <w:r>
              <w:rPr>
                <w:b/>
                <w:sz w:val="20"/>
              </w:rPr>
              <w:t>Clientes</w:t>
            </w:r>
          </w:p>
        </w:tc>
        <w:tc>
          <w:tcPr>
            <w:tcW w:w="2340" w:type="dxa"/>
            <w:vAlign w:val="center"/>
          </w:tcPr>
          <w:p w14:paraId="0988D1F9" w14:textId="77777777" w:rsidR="00713273" w:rsidRDefault="00000000">
            <w:r>
              <w:rPr>
                <w:b/>
                <w:sz w:val="20"/>
              </w:rPr>
              <w:t>Abandonaron</w:t>
            </w:r>
          </w:p>
        </w:tc>
        <w:tc>
          <w:tcPr>
            <w:tcW w:w="2340" w:type="dxa"/>
            <w:vAlign w:val="center"/>
          </w:tcPr>
          <w:p w14:paraId="60EBEF5C" w14:textId="77777777" w:rsidR="00713273" w:rsidRDefault="00000000">
            <w:r>
              <w:rPr>
                <w:b/>
                <w:sz w:val="20"/>
              </w:rPr>
              <w:t>Abandono</w:t>
            </w:r>
          </w:p>
        </w:tc>
      </w:tr>
      <w:tr w:rsidR="00713273" w14:paraId="5FD0387D" w14:textId="77777777">
        <w:trPr>
          <w:jc w:val="center"/>
        </w:trPr>
        <w:tc>
          <w:tcPr>
            <w:tcW w:w="2340" w:type="dxa"/>
            <w:vAlign w:val="center"/>
          </w:tcPr>
          <w:p w14:paraId="017F7BD4" w14:textId="77777777" w:rsidR="00713273" w:rsidRDefault="00000000">
            <w:pPr>
              <w:spacing w:line="240" w:lineRule="auto"/>
            </w:pPr>
            <w:r>
              <w:rPr>
                <w:sz w:val="20"/>
              </w:rPr>
              <w:t>Mensual</w:t>
            </w:r>
          </w:p>
        </w:tc>
        <w:tc>
          <w:tcPr>
            <w:tcW w:w="2340" w:type="dxa"/>
            <w:vAlign w:val="center"/>
          </w:tcPr>
          <w:p w14:paraId="12BE1403" w14:textId="77777777" w:rsidR="00713273" w:rsidRDefault="00000000">
            <w:pPr>
              <w:spacing w:line="240" w:lineRule="auto"/>
            </w:pPr>
            <w:r>
              <w:rPr>
                <w:sz w:val="20"/>
              </w:rPr>
              <w:t>3.875</w:t>
            </w:r>
          </w:p>
        </w:tc>
        <w:tc>
          <w:tcPr>
            <w:tcW w:w="2340" w:type="dxa"/>
            <w:vAlign w:val="center"/>
          </w:tcPr>
          <w:p w14:paraId="21128013" w14:textId="77777777" w:rsidR="00713273" w:rsidRDefault="00000000">
            <w:pPr>
              <w:spacing w:line="240" w:lineRule="auto"/>
            </w:pPr>
            <w:r>
              <w:rPr>
                <w:sz w:val="20"/>
              </w:rPr>
              <w:t>1.655</w:t>
            </w:r>
          </w:p>
        </w:tc>
        <w:tc>
          <w:tcPr>
            <w:tcW w:w="2340" w:type="dxa"/>
            <w:vAlign w:val="center"/>
          </w:tcPr>
          <w:p w14:paraId="5DC814BB" w14:textId="77777777" w:rsidR="00713273" w:rsidRDefault="00000000">
            <w:pPr>
              <w:spacing w:line="240" w:lineRule="auto"/>
            </w:pPr>
            <w:r>
              <w:rPr>
                <w:sz w:val="20"/>
              </w:rPr>
              <w:t>42,71 %</w:t>
            </w:r>
          </w:p>
        </w:tc>
      </w:tr>
      <w:tr w:rsidR="00713273" w14:paraId="31095342" w14:textId="77777777">
        <w:trPr>
          <w:jc w:val="center"/>
        </w:trPr>
        <w:tc>
          <w:tcPr>
            <w:tcW w:w="2340" w:type="dxa"/>
            <w:vAlign w:val="center"/>
          </w:tcPr>
          <w:p w14:paraId="521400CE" w14:textId="77777777" w:rsidR="00713273" w:rsidRDefault="00000000">
            <w:pPr>
              <w:spacing w:line="240" w:lineRule="auto"/>
            </w:pPr>
            <w:r>
              <w:rPr>
                <w:sz w:val="20"/>
              </w:rPr>
              <w:t>Un año</w:t>
            </w:r>
          </w:p>
        </w:tc>
        <w:tc>
          <w:tcPr>
            <w:tcW w:w="2340" w:type="dxa"/>
            <w:vAlign w:val="center"/>
          </w:tcPr>
          <w:p w14:paraId="646FC02A" w14:textId="77777777" w:rsidR="00713273" w:rsidRDefault="00000000">
            <w:pPr>
              <w:spacing w:line="240" w:lineRule="auto"/>
            </w:pPr>
            <w:r>
              <w:rPr>
                <w:sz w:val="20"/>
              </w:rPr>
              <w:t>1.473</w:t>
            </w:r>
          </w:p>
        </w:tc>
        <w:tc>
          <w:tcPr>
            <w:tcW w:w="2340" w:type="dxa"/>
            <w:vAlign w:val="center"/>
          </w:tcPr>
          <w:p w14:paraId="2E2C0997" w14:textId="77777777" w:rsidR="00713273" w:rsidRDefault="00000000">
            <w:pPr>
              <w:spacing w:line="240" w:lineRule="auto"/>
            </w:pPr>
            <w:r>
              <w:rPr>
                <w:sz w:val="20"/>
              </w:rPr>
              <w:t>166</w:t>
            </w:r>
          </w:p>
        </w:tc>
        <w:tc>
          <w:tcPr>
            <w:tcW w:w="2340" w:type="dxa"/>
            <w:vAlign w:val="center"/>
          </w:tcPr>
          <w:p w14:paraId="6A78A2C5" w14:textId="77777777" w:rsidR="00713273" w:rsidRDefault="00000000">
            <w:pPr>
              <w:spacing w:line="240" w:lineRule="auto"/>
            </w:pPr>
            <w:r>
              <w:rPr>
                <w:sz w:val="20"/>
              </w:rPr>
              <w:t>11,27 %</w:t>
            </w:r>
          </w:p>
        </w:tc>
      </w:tr>
      <w:tr w:rsidR="00713273" w14:paraId="078EA503" w14:textId="77777777">
        <w:trPr>
          <w:jc w:val="center"/>
        </w:trPr>
        <w:tc>
          <w:tcPr>
            <w:tcW w:w="2340" w:type="dxa"/>
            <w:vAlign w:val="center"/>
          </w:tcPr>
          <w:p w14:paraId="4DCBCFD6" w14:textId="77777777" w:rsidR="00713273" w:rsidRDefault="00000000">
            <w:pPr>
              <w:spacing w:line="240" w:lineRule="auto"/>
            </w:pPr>
            <w:r>
              <w:rPr>
                <w:sz w:val="20"/>
              </w:rPr>
              <w:t>Dos años</w:t>
            </w:r>
          </w:p>
        </w:tc>
        <w:tc>
          <w:tcPr>
            <w:tcW w:w="2340" w:type="dxa"/>
            <w:vAlign w:val="center"/>
          </w:tcPr>
          <w:p w14:paraId="1EF11BD0" w14:textId="77777777" w:rsidR="00713273" w:rsidRDefault="00000000">
            <w:pPr>
              <w:spacing w:line="240" w:lineRule="auto"/>
            </w:pPr>
            <w:r>
              <w:rPr>
                <w:sz w:val="20"/>
              </w:rPr>
              <w:t>1.695</w:t>
            </w:r>
          </w:p>
        </w:tc>
        <w:tc>
          <w:tcPr>
            <w:tcW w:w="2340" w:type="dxa"/>
            <w:vAlign w:val="center"/>
          </w:tcPr>
          <w:p w14:paraId="22C4B097" w14:textId="77777777" w:rsidR="00713273" w:rsidRDefault="00000000">
            <w:pPr>
              <w:spacing w:line="240" w:lineRule="auto"/>
            </w:pPr>
            <w:r>
              <w:rPr>
                <w:sz w:val="20"/>
              </w:rPr>
              <w:t>48</w:t>
            </w:r>
          </w:p>
        </w:tc>
        <w:tc>
          <w:tcPr>
            <w:tcW w:w="2340" w:type="dxa"/>
            <w:vAlign w:val="center"/>
          </w:tcPr>
          <w:p w14:paraId="6EB742E8" w14:textId="77777777" w:rsidR="00713273" w:rsidRDefault="00000000">
            <w:pPr>
              <w:spacing w:line="240" w:lineRule="auto"/>
            </w:pPr>
            <w:r>
              <w:rPr>
                <w:sz w:val="20"/>
              </w:rPr>
              <w:t>2,83 %</w:t>
            </w:r>
          </w:p>
        </w:tc>
      </w:tr>
    </w:tbl>
    <w:p w14:paraId="065D18C5" w14:textId="77777777" w:rsidR="00713273" w:rsidRDefault="00000000">
      <w:pPr>
        <w:spacing w:line="240" w:lineRule="auto"/>
      </w:pPr>
      <w:r>
        <w:rPr>
          <w:i/>
          <w:sz w:val="20"/>
        </w:rPr>
        <w:t>Nota. El porcentaje de abandono se calcula dentro de cada tipo de contrato.</w:t>
      </w:r>
    </w:p>
    <w:p w14:paraId="3C8BE547" w14:textId="77777777" w:rsidR="00713273" w:rsidRDefault="00000000">
      <w:pPr>
        <w:ind w:firstLine="720"/>
      </w:pPr>
      <w:r>
        <w:lastRenderedPageBreak/>
        <w:t>La prueba chi-cuadrado indicó una asociación estadísticamente significativa entre el tipo de contrato y el abandono, χ²(2, N = 7.043) = 1184,60, p &lt; .001. El valor de V de Cramér fue .41, lo que señala una asociación de magnitud relevante. Este resultado permite rechazar la hipótesis de independencia entre las variables, pero no demuestra que la duración del contrato por sí sola cause la permanencia.</w:t>
      </w:r>
    </w:p>
    <w:p w14:paraId="5DE7B8F8" w14:textId="77777777" w:rsidR="00713273" w:rsidRDefault="00000000">
      <w:pPr>
        <w:pStyle w:val="Ttulo2"/>
      </w:pPr>
      <w:r>
        <w:rPr>
          <w:rFonts w:ascii="Times New Roman" w:hAnsi="Times New Roman"/>
        </w:rPr>
        <w:t>Abandono según el método de pago</w:t>
      </w:r>
    </w:p>
    <w:p w14:paraId="1DAFFCAE" w14:textId="77777777" w:rsidR="00713273" w:rsidRDefault="00000000">
      <w:pPr>
        <w:ind w:firstLine="720"/>
      </w:pPr>
      <w:r>
        <w:t>El método de pago con mayor proporción de abandono fue el cheque electrónico, con 1.071 abandonos entre 2.365 clientes (45,29 %). Le siguió el cheque enviado por correo, con 308 abandonos entre 1.612 clientes (19,11 %). Las proporciones fueron menores entre quienes pagaban mediante transferencia bancaria automática (16,71 %) y tarjeta de crédito automática (15,24 %).</w:t>
      </w:r>
    </w:p>
    <w:tbl>
      <w:tblPr>
        <w:tblStyle w:val="Tablaconcuadrcula"/>
        <w:tblW w:w="0" w:type="auto"/>
        <w:jc w:val="center"/>
        <w:tblLook w:val="04A0" w:firstRow="1" w:lastRow="0" w:firstColumn="1" w:lastColumn="0" w:noHBand="0" w:noVBand="1"/>
      </w:tblPr>
      <w:tblGrid>
        <w:gridCol w:w="2340"/>
        <w:gridCol w:w="2340"/>
        <w:gridCol w:w="2340"/>
        <w:gridCol w:w="2340"/>
      </w:tblGrid>
      <w:tr w:rsidR="00713273" w14:paraId="40B32B40" w14:textId="77777777">
        <w:trPr>
          <w:jc w:val="center"/>
        </w:trPr>
        <w:tc>
          <w:tcPr>
            <w:tcW w:w="2340" w:type="dxa"/>
            <w:vAlign w:val="center"/>
          </w:tcPr>
          <w:p w14:paraId="037D58FC" w14:textId="77777777" w:rsidR="00713273" w:rsidRDefault="00000000">
            <w:r>
              <w:rPr>
                <w:b/>
                <w:sz w:val="20"/>
              </w:rPr>
              <w:t>Método de pago</w:t>
            </w:r>
          </w:p>
        </w:tc>
        <w:tc>
          <w:tcPr>
            <w:tcW w:w="2340" w:type="dxa"/>
            <w:vAlign w:val="center"/>
          </w:tcPr>
          <w:p w14:paraId="7ACB70BE" w14:textId="77777777" w:rsidR="00713273" w:rsidRDefault="00000000">
            <w:r>
              <w:rPr>
                <w:b/>
                <w:sz w:val="20"/>
              </w:rPr>
              <w:t>Clientes</w:t>
            </w:r>
          </w:p>
        </w:tc>
        <w:tc>
          <w:tcPr>
            <w:tcW w:w="2340" w:type="dxa"/>
            <w:vAlign w:val="center"/>
          </w:tcPr>
          <w:p w14:paraId="69B127E0" w14:textId="77777777" w:rsidR="00713273" w:rsidRDefault="00000000">
            <w:r>
              <w:rPr>
                <w:b/>
                <w:sz w:val="20"/>
              </w:rPr>
              <w:t>Abandonaron</w:t>
            </w:r>
          </w:p>
        </w:tc>
        <w:tc>
          <w:tcPr>
            <w:tcW w:w="2340" w:type="dxa"/>
            <w:vAlign w:val="center"/>
          </w:tcPr>
          <w:p w14:paraId="4C53AA25" w14:textId="77777777" w:rsidR="00713273" w:rsidRDefault="00000000">
            <w:r>
              <w:rPr>
                <w:b/>
                <w:sz w:val="20"/>
              </w:rPr>
              <w:t>Abandono</w:t>
            </w:r>
          </w:p>
        </w:tc>
      </w:tr>
      <w:tr w:rsidR="00713273" w14:paraId="4C2EECA6" w14:textId="77777777">
        <w:trPr>
          <w:jc w:val="center"/>
        </w:trPr>
        <w:tc>
          <w:tcPr>
            <w:tcW w:w="2340" w:type="dxa"/>
            <w:vAlign w:val="center"/>
          </w:tcPr>
          <w:p w14:paraId="348F1FFA" w14:textId="77777777" w:rsidR="00713273" w:rsidRDefault="00000000">
            <w:pPr>
              <w:spacing w:line="240" w:lineRule="auto"/>
            </w:pPr>
            <w:r>
              <w:rPr>
                <w:sz w:val="20"/>
              </w:rPr>
              <w:t>Cheque electrónico</w:t>
            </w:r>
          </w:p>
        </w:tc>
        <w:tc>
          <w:tcPr>
            <w:tcW w:w="2340" w:type="dxa"/>
            <w:vAlign w:val="center"/>
          </w:tcPr>
          <w:p w14:paraId="71CA789C" w14:textId="77777777" w:rsidR="00713273" w:rsidRDefault="00000000">
            <w:pPr>
              <w:spacing w:line="240" w:lineRule="auto"/>
            </w:pPr>
            <w:r>
              <w:rPr>
                <w:sz w:val="20"/>
              </w:rPr>
              <w:t>2.365</w:t>
            </w:r>
          </w:p>
        </w:tc>
        <w:tc>
          <w:tcPr>
            <w:tcW w:w="2340" w:type="dxa"/>
            <w:vAlign w:val="center"/>
          </w:tcPr>
          <w:p w14:paraId="7F81DAC0" w14:textId="77777777" w:rsidR="00713273" w:rsidRDefault="00000000">
            <w:pPr>
              <w:spacing w:line="240" w:lineRule="auto"/>
            </w:pPr>
            <w:r>
              <w:rPr>
                <w:sz w:val="20"/>
              </w:rPr>
              <w:t>1.071</w:t>
            </w:r>
          </w:p>
        </w:tc>
        <w:tc>
          <w:tcPr>
            <w:tcW w:w="2340" w:type="dxa"/>
            <w:vAlign w:val="center"/>
          </w:tcPr>
          <w:p w14:paraId="33B1EF1D" w14:textId="77777777" w:rsidR="00713273" w:rsidRDefault="00000000">
            <w:pPr>
              <w:spacing w:line="240" w:lineRule="auto"/>
            </w:pPr>
            <w:r>
              <w:rPr>
                <w:sz w:val="20"/>
              </w:rPr>
              <w:t>45,29 %</w:t>
            </w:r>
          </w:p>
        </w:tc>
      </w:tr>
      <w:tr w:rsidR="00713273" w14:paraId="20442FC2" w14:textId="77777777">
        <w:trPr>
          <w:jc w:val="center"/>
        </w:trPr>
        <w:tc>
          <w:tcPr>
            <w:tcW w:w="2340" w:type="dxa"/>
            <w:vAlign w:val="center"/>
          </w:tcPr>
          <w:p w14:paraId="3F39703A" w14:textId="77777777" w:rsidR="00713273" w:rsidRDefault="00000000">
            <w:pPr>
              <w:spacing w:line="240" w:lineRule="auto"/>
            </w:pPr>
            <w:r>
              <w:rPr>
                <w:sz w:val="20"/>
              </w:rPr>
              <w:t>Cheque enviado por correo</w:t>
            </w:r>
          </w:p>
        </w:tc>
        <w:tc>
          <w:tcPr>
            <w:tcW w:w="2340" w:type="dxa"/>
            <w:vAlign w:val="center"/>
          </w:tcPr>
          <w:p w14:paraId="19932555" w14:textId="77777777" w:rsidR="00713273" w:rsidRDefault="00000000">
            <w:pPr>
              <w:spacing w:line="240" w:lineRule="auto"/>
            </w:pPr>
            <w:r>
              <w:rPr>
                <w:sz w:val="20"/>
              </w:rPr>
              <w:t>1.612</w:t>
            </w:r>
          </w:p>
        </w:tc>
        <w:tc>
          <w:tcPr>
            <w:tcW w:w="2340" w:type="dxa"/>
            <w:vAlign w:val="center"/>
          </w:tcPr>
          <w:p w14:paraId="3D0BF390" w14:textId="77777777" w:rsidR="00713273" w:rsidRDefault="00000000">
            <w:pPr>
              <w:spacing w:line="240" w:lineRule="auto"/>
            </w:pPr>
            <w:r>
              <w:rPr>
                <w:sz w:val="20"/>
              </w:rPr>
              <w:t>308</w:t>
            </w:r>
          </w:p>
        </w:tc>
        <w:tc>
          <w:tcPr>
            <w:tcW w:w="2340" w:type="dxa"/>
            <w:vAlign w:val="center"/>
          </w:tcPr>
          <w:p w14:paraId="0E8BB24F" w14:textId="77777777" w:rsidR="00713273" w:rsidRDefault="00000000">
            <w:pPr>
              <w:spacing w:line="240" w:lineRule="auto"/>
            </w:pPr>
            <w:r>
              <w:rPr>
                <w:sz w:val="20"/>
              </w:rPr>
              <w:t>19,11 %</w:t>
            </w:r>
          </w:p>
        </w:tc>
      </w:tr>
      <w:tr w:rsidR="00713273" w14:paraId="6362B6F7" w14:textId="77777777">
        <w:trPr>
          <w:jc w:val="center"/>
        </w:trPr>
        <w:tc>
          <w:tcPr>
            <w:tcW w:w="2340" w:type="dxa"/>
            <w:vAlign w:val="center"/>
          </w:tcPr>
          <w:p w14:paraId="72E8DBA6" w14:textId="77777777" w:rsidR="00713273" w:rsidRDefault="00000000">
            <w:pPr>
              <w:spacing w:line="240" w:lineRule="auto"/>
            </w:pPr>
            <w:r>
              <w:rPr>
                <w:sz w:val="20"/>
              </w:rPr>
              <w:t>Transferencia bancaria automática</w:t>
            </w:r>
          </w:p>
        </w:tc>
        <w:tc>
          <w:tcPr>
            <w:tcW w:w="2340" w:type="dxa"/>
            <w:vAlign w:val="center"/>
          </w:tcPr>
          <w:p w14:paraId="6A3F55A8" w14:textId="77777777" w:rsidR="00713273" w:rsidRDefault="00000000">
            <w:pPr>
              <w:spacing w:line="240" w:lineRule="auto"/>
            </w:pPr>
            <w:r>
              <w:rPr>
                <w:sz w:val="20"/>
              </w:rPr>
              <w:t>1.544</w:t>
            </w:r>
          </w:p>
        </w:tc>
        <w:tc>
          <w:tcPr>
            <w:tcW w:w="2340" w:type="dxa"/>
            <w:vAlign w:val="center"/>
          </w:tcPr>
          <w:p w14:paraId="1AC5ECAB" w14:textId="77777777" w:rsidR="00713273" w:rsidRDefault="00000000">
            <w:pPr>
              <w:spacing w:line="240" w:lineRule="auto"/>
            </w:pPr>
            <w:r>
              <w:rPr>
                <w:sz w:val="20"/>
              </w:rPr>
              <w:t>258</w:t>
            </w:r>
          </w:p>
        </w:tc>
        <w:tc>
          <w:tcPr>
            <w:tcW w:w="2340" w:type="dxa"/>
            <w:vAlign w:val="center"/>
          </w:tcPr>
          <w:p w14:paraId="36151F68" w14:textId="77777777" w:rsidR="00713273" w:rsidRDefault="00000000">
            <w:pPr>
              <w:spacing w:line="240" w:lineRule="auto"/>
            </w:pPr>
            <w:r>
              <w:rPr>
                <w:sz w:val="20"/>
              </w:rPr>
              <w:t>16,71 %</w:t>
            </w:r>
          </w:p>
        </w:tc>
      </w:tr>
      <w:tr w:rsidR="00713273" w14:paraId="09253EC8" w14:textId="77777777">
        <w:trPr>
          <w:jc w:val="center"/>
        </w:trPr>
        <w:tc>
          <w:tcPr>
            <w:tcW w:w="2340" w:type="dxa"/>
            <w:vAlign w:val="center"/>
          </w:tcPr>
          <w:p w14:paraId="5D1207EE" w14:textId="77777777" w:rsidR="00713273" w:rsidRDefault="00000000">
            <w:pPr>
              <w:spacing w:line="240" w:lineRule="auto"/>
            </w:pPr>
            <w:r>
              <w:rPr>
                <w:sz w:val="20"/>
              </w:rPr>
              <w:t>Tarjeta de crédito automática</w:t>
            </w:r>
          </w:p>
        </w:tc>
        <w:tc>
          <w:tcPr>
            <w:tcW w:w="2340" w:type="dxa"/>
            <w:vAlign w:val="center"/>
          </w:tcPr>
          <w:p w14:paraId="17C72C60" w14:textId="77777777" w:rsidR="00713273" w:rsidRDefault="00000000">
            <w:pPr>
              <w:spacing w:line="240" w:lineRule="auto"/>
            </w:pPr>
            <w:r>
              <w:rPr>
                <w:sz w:val="20"/>
              </w:rPr>
              <w:t>1.522</w:t>
            </w:r>
          </w:p>
        </w:tc>
        <w:tc>
          <w:tcPr>
            <w:tcW w:w="2340" w:type="dxa"/>
            <w:vAlign w:val="center"/>
          </w:tcPr>
          <w:p w14:paraId="4EFE1C77" w14:textId="77777777" w:rsidR="00713273" w:rsidRDefault="00000000">
            <w:pPr>
              <w:spacing w:line="240" w:lineRule="auto"/>
            </w:pPr>
            <w:r>
              <w:rPr>
                <w:sz w:val="20"/>
              </w:rPr>
              <w:t>232</w:t>
            </w:r>
          </w:p>
        </w:tc>
        <w:tc>
          <w:tcPr>
            <w:tcW w:w="2340" w:type="dxa"/>
            <w:vAlign w:val="center"/>
          </w:tcPr>
          <w:p w14:paraId="0596E6E9" w14:textId="77777777" w:rsidR="00713273" w:rsidRDefault="00000000">
            <w:pPr>
              <w:spacing w:line="240" w:lineRule="auto"/>
            </w:pPr>
            <w:r>
              <w:rPr>
                <w:sz w:val="20"/>
              </w:rPr>
              <w:t>15,24 %</w:t>
            </w:r>
          </w:p>
        </w:tc>
      </w:tr>
    </w:tbl>
    <w:p w14:paraId="74E632BA" w14:textId="77777777" w:rsidR="00713273" w:rsidRDefault="00000000">
      <w:pPr>
        <w:spacing w:line="240" w:lineRule="auto"/>
      </w:pPr>
      <w:r>
        <w:rPr>
          <w:i/>
          <w:sz w:val="20"/>
        </w:rPr>
        <w:t>Nota. El porcentaje de abandono se calcula dentro de cada método de pago.</w:t>
      </w:r>
    </w:p>
    <w:p w14:paraId="3E3512FD" w14:textId="77777777" w:rsidR="00713273" w:rsidRDefault="00000000">
      <w:pPr>
        <w:ind w:firstLine="720"/>
      </w:pPr>
      <w:r>
        <w:t>La prueba chi-cuadrado encontró una asociación estadísticamente significativa entre método de pago y abandono, χ²(3, N = 7.043) = 648,14, p &lt; .001, con V de Cramér = .30. Por tanto, la distribución del abandono difiere entre los métodos de pago. El resultado no permite concluir que el método de pago sea la causa del abandono; pueden intervenir otras características de los clientes o de los servicios contratados.</w:t>
      </w:r>
    </w:p>
    <w:p w14:paraId="152652D9" w14:textId="77777777" w:rsidR="00713273" w:rsidRDefault="00000000">
      <w:pPr>
        <w:pStyle w:val="Ttulo2"/>
      </w:pPr>
      <w:r>
        <w:rPr>
          <w:rFonts w:ascii="Times New Roman" w:hAnsi="Times New Roman"/>
        </w:rPr>
        <w:t>Diferencias en antigüedad y cargos mensuales</w:t>
      </w:r>
    </w:p>
    <w:p w14:paraId="7A4507A0" w14:textId="77777777" w:rsidR="00713273" w:rsidRDefault="00000000">
      <w:pPr>
        <w:ind w:firstLine="720"/>
      </w:pPr>
      <w:r>
        <w:t xml:space="preserve">La mediana de antigüedad fue de 38 meses para quienes permanecieron y de 10 meses para quienes abandonaron. La prueba U de Mann–Whitney mostró una diferencia </w:t>
      </w:r>
      <w:r>
        <w:lastRenderedPageBreak/>
        <w:t>estadísticamente significativa entre las distribuciones, U = 7.154.668, p &lt; .001. En esta muestra, los clientes que abandonaron tendían a presentar menor antigüedad.</w:t>
      </w:r>
    </w:p>
    <w:p w14:paraId="45427930" w14:textId="77777777" w:rsidR="00713273" w:rsidRDefault="00000000">
      <w:pPr>
        <w:ind w:firstLine="720"/>
      </w:pPr>
      <w:r>
        <w:t>Para los cargos mensuales, la mediana fue de 64,43 en quienes permanecieron y de 79,65 en quienes abandonaron. La prueba U de Mann–Whitney también indicó una diferencia estadísticamente significativa, U = 3.667.080,50, p &lt; .001. Descriptivamente, los clientes que abandonaron tenían cargos mensuales más altos. La prueba compara distribuciones; por ello, la diferencia de medianas se utiliza para facilitar la interpretación y no como único resultado de la prueba.</w:t>
      </w:r>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713273" w14:paraId="158EF769" w14:textId="77777777">
        <w:trPr>
          <w:jc w:val="center"/>
        </w:trPr>
        <w:tc>
          <w:tcPr>
            <w:tcW w:w="1872" w:type="dxa"/>
            <w:vAlign w:val="center"/>
          </w:tcPr>
          <w:p w14:paraId="22300E37" w14:textId="77777777" w:rsidR="00713273" w:rsidRDefault="00000000">
            <w:r>
              <w:rPr>
                <w:b/>
                <w:sz w:val="20"/>
              </w:rPr>
              <w:t>Variable</w:t>
            </w:r>
          </w:p>
        </w:tc>
        <w:tc>
          <w:tcPr>
            <w:tcW w:w="1872" w:type="dxa"/>
            <w:vAlign w:val="center"/>
          </w:tcPr>
          <w:p w14:paraId="289E1D69" w14:textId="77777777" w:rsidR="00713273" w:rsidRDefault="00000000">
            <w:r>
              <w:rPr>
                <w:b/>
                <w:sz w:val="20"/>
              </w:rPr>
              <w:t>Mediana: permanecieron</w:t>
            </w:r>
          </w:p>
        </w:tc>
        <w:tc>
          <w:tcPr>
            <w:tcW w:w="1872" w:type="dxa"/>
            <w:vAlign w:val="center"/>
          </w:tcPr>
          <w:p w14:paraId="54DB1F48" w14:textId="77777777" w:rsidR="00713273" w:rsidRDefault="00000000">
            <w:r>
              <w:rPr>
                <w:b/>
                <w:sz w:val="20"/>
              </w:rPr>
              <w:t>Mediana: abandonaron</w:t>
            </w:r>
          </w:p>
        </w:tc>
        <w:tc>
          <w:tcPr>
            <w:tcW w:w="1872" w:type="dxa"/>
            <w:vAlign w:val="center"/>
          </w:tcPr>
          <w:p w14:paraId="754BFAB3" w14:textId="77777777" w:rsidR="00713273" w:rsidRDefault="00000000">
            <w:r>
              <w:rPr>
                <w:b/>
                <w:sz w:val="20"/>
              </w:rPr>
              <w:t>Prueba</w:t>
            </w:r>
          </w:p>
        </w:tc>
        <w:tc>
          <w:tcPr>
            <w:tcW w:w="1872" w:type="dxa"/>
            <w:vAlign w:val="center"/>
          </w:tcPr>
          <w:p w14:paraId="7EDD944B" w14:textId="77777777" w:rsidR="00713273" w:rsidRDefault="00000000">
            <w:r>
              <w:rPr>
                <w:b/>
                <w:sz w:val="20"/>
              </w:rPr>
              <w:t>Valor p</w:t>
            </w:r>
          </w:p>
        </w:tc>
      </w:tr>
      <w:tr w:rsidR="00713273" w14:paraId="2686B4BA" w14:textId="77777777">
        <w:trPr>
          <w:jc w:val="center"/>
        </w:trPr>
        <w:tc>
          <w:tcPr>
            <w:tcW w:w="1872" w:type="dxa"/>
            <w:vAlign w:val="center"/>
          </w:tcPr>
          <w:p w14:paraId="28B63BDB" w14:textId="77777777" w:rsidR="00713273" w:rsidRDefault="00000000">
            <w:pPr>
              <w:spacing w:line="240" w:lineRule="auto"/>
            </w:pPr>
            <w:r>
              <w:rPr>
                <w:sz w:val="20"/>
              </w:rPr>
              <w:t>Antigüedad (meses)</w:t>
            </w:r>
          </w:p>
        </w:tc>
        <w:tc>
          <w:tcPr>
            <w:tcW w:w="1872" w:type="dxa"/>
            <w:vAlign w:val="center"/>
          </w:tcPr>
          <w:p w14:paraId="722309B0" w14:textId="77777777" w:rsidR="00713273" w:rsidRDefault="00000000">
            <w:pPr>
              <w:spacing w:line="240" w:lineRule="auto"/>
            </w:pPr>
            <w:r>
              <w:rPr>
                <w:sz w:val="20"/>
              </w:rPr>
              <w:t>38,00</w:t>
            </w:r>
          </w:p>
        </w:tc>
        <w:tc>
          <w:tcPr>
            <w:tcW w:w="1872" w:type="dxa"/>
            <w:vAlign w:val="center"/>
          </w:tcPr>
          <w:p w14:paraId="45378991" w14:textId="77777777" w:rsidR="00713273" w:rsidRDefault="00000000">
            <w:pPr>
              <w:spacing w:line="240" w:lineRule="auto"/>
            </w:pPr>
            <w:r>
              <w:rPr>
                <w:sz w:val="20"/>
              </w:rPr>
              <w:t>10,00</w:t>
            </w:r>
          </w:p>
        </w:tc>
        <w:tc>
          <w:tcPr>
            <w:tcW w:w="1872" w:type="dxa"/>
            <w:vAlign w:val="center"/>
          </w:tcPr>
          <w:p w14:paraId="7EA5576A" w14:textId="77777777" w:rsidR="00713273" w:rsidRDefault="00000000">
            <w:pPr>
              <w:spacing w:line="240" w:lineRule="auto"/>
            </w:pPr>
            <w:r>
              <w:rPr>
                <w:sz w:val="20"/>
              </w:rPr>
              <w:t>U = 7.154.668,00</w:t>
            </w:r>
          </w:p>
        </w:tc>
        <w:tc>
          <w:tcPr>
            <w:tcW w:w="1872" w:type="dxa"/>
            <w:vAlign w:val="center"/>
          </w:tcPr>
          <w:p w14:paraId="2817723F" w14:textId="77777777" w:rsidR="00713273" w:rsidRDefault="00000000">
            <w:pPr>
              <w:spacing w:line="240" w:lineRule="auto"/>
            </w:pPr>
            <w:r>
              <w:rPr>
                <w:sz w:val="20"/>
              </w:rPr>
              <w:t>&lt; .001</w:t>
            </w:r>
          </w:p>
        </w:tc>
      </w:tr>
      <w:tr w:rsidR="00713273" w14:paraId="01E60D34" w14:textId="77777777">
        <w:trPr>
          <w:jc w:val="center"/>
        </w:trPr>
        <w:tc>
          <w:tcPr>
            <w:tcW w:w="1872" w:type="dxa"/>
            <w:vAlign w:val="center"/>
          </w:tcPr>
          <w:p w14:paraId="18D0153F" w14:textId="77777777" w:rsidR="00713273" w:rsidRDefault="00000000">
            <w:pPr>
              <w:spacing w:line="240" w:lineRule="auto"/>
            </w:pPr>
            <w:r>
              <w:rPr>
                <w:sz w:val="20"/>
              </w:rPr>
              <w:t>Cargos mensuales</w:t>
            </w:r>
          </w:p>
        </w:tc>
        <w:tc>
          <w:tcPr>
            <w:tcW w:w="1872" w:type="dxa"/>
            <w:vAlign w:val="center"/>
          </w:tcPr>
          <w:p w14:paraId="01CBC4EB" w14:textId="77777777" w:rsidR="00713273" w:rsidRDefault="00000000">
            <w:pPr>
              <w:spacing w:line="240" w:lineRule="auto"/>
            </w:pPr>
            <w:r>
              <w:rPr>
                <w:sz w:val="20"/>
              </w:rPr>
              <w:t>64,43</w:t>
            </w:r>
          </w:p>
        </w:tc>
        <w:tc>
          <w:tcPr>
            <w:tcW w:w="1872" w:type="dxa"/>
            <w:vAlign w:val="center"/>
          </w:tcPr>
          <w:p w14:paraId="014E133D" w14:textId="77777777" w:rsidR="00713273" w:rsidRDefault="00000000">
            <w:pPr>
              <w:spacing w:line="240" w:lineRule="auto"/>
            </w:pPr>
            <w:r>
              <w:rPr>
                <w:sz w:val="20"/>
              </w:rPr>
              <w:t>79,65</w:t>
            </w:r>
          </w:p>
        </w:tc>
        <w:tc>
          <w:tcPr>
            <w:tcW w:w="1872" w:type="dxa"/>
            <w:vAlign w:val="center"/>
          </w:tcPr>
          <w:p w14:paraId="2B44B08E" w14:textId="77777777" w:rsidR="00713273" w:rsidRDefault="00000000">
            <w:pPr>
              <w:spacing w:line="240" w:lineRule="auto"/>
            </w:pPr>
            <w:r>
              <w:rPr>
                <w:sz w:val="20"/>
              </w:rPr>
              <w:t>U = 3.667.080,50</w:t>
            </w:r>
          </w:p>
        </w:tc>
        <w:tc>
          <w:tcPr>
            <w:tcW w:w="1872" w:type="dxa"/>
            <w:vAlign w:val="center"/>
          </w:tcPr>
          <w:p w14:paraId="0535F433" w14:textId="77777777" w:rsidR="00713273" w:rsidRDefault="00000000">
            <w:pPr>
              <w:spacing w:line="240" w:lineRule="auto"/>
            </w:pPr>
            <w:r>
              <w:rPr>
                <w:sz w:val="20"/>
              </w:rPr>
              <w:t>&lt; .001</w:t>
            </w:r>
          </w:p>
        </w:tc>
      </w:tr>
    </w:tbl>
    <w:p w14:paraId="7195365A" w14:textId="77777777" w:rsidR="00713273" w:rsidRDefault="00000000">
      <w:pPr>
        <w:spacing w:line="240" w:lineRule="auto"/>
      </w:pPr>
      <w:r>
        <w:rPr>
          <w:i/>
          <w:sz w:val="20"/>
        </w:rPr>
        <w:t>Nota. Pruebas U de Mann–Whitney bilaterales, según el notebook.</w:t>
      </w:r>
    </w:p>
    <w:p w14:paraId="04531493" w14:textId="77777777" w:rsidR="00713273" w:rsidRDefault="00000000">
      <w:pPr>
        <w:pStyle w:val="Ttulo2"/>
      </w:pPr>
      <w:r>
        <w:rPr>
          <w:rFonts w:ascii="Times New Roman" w:hAnsi="Times New Roman"/>
        </w:rPr>
        <w:t>Variabilidad de los cargos mensuales</w:t>
      </w:r>
    </w:p>
    <w:p w14:paraId="0248ED33" w14:textId="77777777" w:rsidR="00713273" w:rsidRDefault="00000000">
      <w:pPr>
        <w:ind w:firstLine="720"/>
      </w:pPr>
      <w:r>
        <w:t>La prueba de Levene mostró diferencias estadísticamente significativas en la variabilidad de los cargos mensuales entre quienes permanecieron y quienes abandonaron, F = 361,84, p &lt; .001. Esto indica que la dispersión de los cargos no fue homogénea entre los grupos. El resultado complementa la comparación de distribuciones y sugiere cautela al describir los grupos como si tuvieran una variabilidad equivalente.</w:t>
      </w:r>
    </w:p>
    <w:p w14:paraId="42C06DEE" w14:textId="77777777" w:rsidR="00713273" w:rsidRDefault="00000000">
      <w:pPr>
        <w:pStyle w:val="Ttulo2"/>
      </w:pPr>
      <w:r>
        <w:rPr>
          <w:rFonts w:ascii="Times New Roman" w:hAnsi="Times New Roman"/>
        </w:rPr>
        <w:t>Resumen de las pruebas de hipótesis</w:t>
      </w:r>
    </w:p>
    <w:tbl>
      <w:tblPr>
        <w:tblStyle w:val="Tablaconcuadrcula"/>
        <w:tblW w:w="0" w:type="auto"/>
        <w:jc w:val="center"/>
        <w:tblLook w:val="04A0" w:firstRow="1" w:lastRow="0" w:firstColumn="1" w:lastColumn="0" w:noHBand="0" w:noVBand="1"/>
      </w:tblPr>
      <w:tblGrid>
        <w:gridCol w:w="3120"/>
        <w:gridCol w:w="3120"/>
        <w:gridCol w:w="3120"/>
      </w:tblGrid>
      <w:tr w:rsidR="00713273" w14:paraId="743955C3" w14:textId="77777777">
        <w:trPr>
          <w:jc w:val="center"/>
        </w:trPr>
        <w:tc>
          <w:tcPr>
            <w:tcW w:w="3120" w:type="dxa"/>
            <w:vAlign w:val="center"/>
          </w:tcPr>
          <w:p w14:paraId="6B462A56" w14:textId="77777777" w:rsidR="00713273" w:rsidRDefault="00000000">
            <w:r>
              <w:rPr>
                <w:b/>
                <w:sz w:val="20"/>
              </w:rPr>
              <w:t>Relación evaluada</w:t>
            </w:r>
          </w:p>
        </w:tc>
        <w:tc>
          <w:tcPr>
            <w:tcW w:w="3120" w:type="dxa"/>
            <w:vAlign w:val="center"/>
          </w:tcPr>
          <w:p w14:paraId="7DD32524" w14:textId="77777777" w:rsidR="00713273" w:rsidRDefault="00000000">
            <w:r>
              <w:rPr>
                <w:b/>
                <w:sz w:val="20"/>
              </w:rPr>
              <w:t>Estadístico</w:t>
            </w:r>
          </w:p>
        </w:tc>
        <w:tc>
          <w:tcPr>
            <w:tcW w:w="3120" w:type="dxa"/>
            <w:vAlign w:val="center"/>
          </w:tcPr>
          <w:p w14:paraId="2844D8AE" w14:textId="77777777" w:rsidR="00713273" w:rsidRDefault="00000000">
            <w:r>
              <w:rPr>
                <w:b/>
                <w:sz w:val="20"/>
              </w:rPr>
              <w:t>Resultado</w:t>
            </w:r>
          </w:p>
        </w:tc>
      </w:tr>
      <w:tr w:rsidR="00713273" w14:paraId="0F593DD2" w14:textId="77777777">
        <w:trPr>
          <w:jc w:val="center"/>
        </w:trPr>
        <w:tc>
          <w:tcPr>
            <w:tcW w:w="3120" w:type="dxa"/>
            <w:vAlign w:val="center"/>
          </w:tcPr>
          <w:p w14:paraId="569C0FC7" w14:textId="77777777" w:rsidR="00713273" w:rsidRDefault="00000000">
            <w:pPr>
              <w:spacing w:line="240" w:lineRule="auto"/>
            </w:pPr>
            <w:r>
              <w:rPr>
                <w:sz w:val="20"/>
              </w:rPr>
              <w:t>Tipo de contrato y abandono</w:t>
            </w:r>
          </w:p>
        </w:tc>
        <w:tc>
          <w:tcPr>
            <w:tcW w:w="3120" w:type="dxa"/>
            <w:vAlign w:val="center"/>
          </w:tcPr>
          <w:p w14:paraId="3C161B89" w14:textId="77777777" w:rsidR="00713273" w:rsidRDefault="00000000">
            <w:pPr>
              <w:spacing w:line="240" w:lineRule="auto"/>
            </w:pPr>
            <w:r>
              <w:rPr>
                <w:sz w:val="20"/>
              </w:rPr>
              <w:t>χ²(2) = 1184,60; V = .41</w:t>
            </w:r>
          </w:p>
        </w:tc>
        <w:tc>
          <w:tcPr>
            <w:tcW w:w="3120" w:type="dxa"/>
            <w:vAlign w:val="center"/>
          </w:tcPr>
          <w:p w14:paraId="372B333B" w14:textId="77777777" w:rsidR="00713273" w:rsidRDefault="00000000">
            <w:pPr>
              <w:spacing w:line="240" w:lineRule="auto"/>
            </w:pPr>
            <w:r>
              <w:rPr>
                <w:sz w:val="20"/>
              </w:rPr>
              <w:t>Asociación significativa, p &lt; .001</w:t>
            </w:r>
          </w:p>
        </w:tc>
      </w:tr>
      <w:tr w:rsidR="00713273" w14:paraId="34108B19" w14:textId="77777777">
        <w:trPr>
          <w:jc w:val="center"/>
        </w:trPr>
        <w:tc>
          <w:tcPr>
            <w:tcW w:w="3120" w:type="dxa"/>
            <w:vAlign w:val="center"/>
          </w:tcPr>
          <w:p w14:paraId="6DA55D87" w14:textId="77777777" w:rsidR="00713273" w:rsidRDefault="00000000">
            <w:pPr>
              <w:spacing w:line="240" w:lineRule="auto"/>
            </w:pPr>
            <w:r>
              <w:rPr>
                <w:sz w:val="20"/>
              </w:rPr>
              <w:t>Método de pago y abandono</w:t>
            </w:r>
          </w:p>
        </w:tc>
        <w:tc>
          <w:tcPr>
            <w:tcW w:w="3120" w:type="dxa"/>
            <w:vAlign w:val="center"/>
          </w:tcPr>
          <w:p w14:paraId="7C0205BE" w14:textId="77777777" w:rsidR="00713273" w:rsidRDefault="00000000">
            <w:pPr>
              <w:spacing w:line="240" w:lineRule="auto"/>
            </w:pPr>
            <w:r>
              <w:rPr>
                <w:sz w:val="20"/>
              </w:rPr>
              <w:t>χ²(3) = 648,14; V = .30</w:t>
            </w:r>
          </w:p>
        </w:tc>
        <w:tc>
          <w:tcPr>
            <w:tcW w:w="3120" w:type="dxa"/>
            <w:vAlign w:val="center"/>
          </w:tcPr>
          <w:p w14:paraId="74A3340B" w14:textId="77777777" w:rsidR="00713273" w:rsidRDefault="00000000">
            <w:pPr>
              <w:spacing w:line="240" w:lineRule="auto"/>
            </w:pPr>
            <w:r>
              <w:rPr>
                <w:sz w:val="20"/>
              </w:rPr>
              <w:t>Asociación significativa, p &lt; .001</w:t>
            </w:r>
          </w:p>
        </w:tc>
      </w:tr>
      <w:tr w:rsidR="00713273" w14:paraId="442BCFB5" w14:textId="77777777">
        <w:trPr>
          <w:jc w:val="center"/>
        </w:trPr>
        <w:tc>
          <w:tcPr>
            <w:tcW w:w="3120" w:type="dxa"/>
            <w:vAlign w:val="center"/>
          </w:tcPr>
          <w:p w14:paraId="79B516B8" w14:textId="77777777" w:rsidR="00713273" w:rsidRDefault="00000000">
            <w:pPr>
              <w:spacing w:line="240" w:lineRule="auto"/>
            </w:pPr>
            <w:r>
              <w:rPr>
                <w:sz w:val="20"/>
              </w:rPr>
              <w:t>Antigüedad según abandono</w:t>
            </w:r>
          </w:p>
        </w:tc>
        <w:tc>
          <w:tcPr>
            <w:tcW w:w="3120" w:type="dxa"/>
            <w:vAlign w:val="center"/>
          </w:tcPr>
          <w:p w14:paraId="33358C7A" w14:textId="77777777" w:rsidR="00713273" w:rsidRDefault="00000000">
            <w:pPr>
              <w:spacing w:line="240" w:lineRule="auto"/>
            </w:pPr>
            <w:r>
              <w:rPr>
                <w:sz w:val="20"/>
              </w:rPr>
              <w:t>U = 7.154.668,00</w:t>
            </w:r>
          </w:p>
        </w:tc>
        <w:tc>
          <w:tcPr>
            <w:tcW w:w="3120" w:type="dxa"/>
            <w:vAlign w:val="center"/>
          </w:tcPr>
          <w:p w14:paraId="285AF312" w14:textId="77777777" w:rsidR="00713273" w:rsidRDefault="00000000">
            <w:pPr>
              <w:spacing w:line="240" w:lineRule="auto"/>
            </w:pPr>
            <w:r>
              <w:rPr>
                <w:sz w:val="20"/>
              </w:rPr>
              <w:t>Diferencia significativa, p &lt; .001</w:t>
            </w:r>
          </w:p>
        </w:tc>
      </w:tr>
      <w:tr w:rsidR="00713273" w14:paraId="59FEAECF" w14:textId="77777777">
        <w:trPr>
          <w:jc w:val="center"/>
        </w:trPr>
        <w:tc>
          <w:tcPr>
            <w:tcW w:w="3120" w:type="dxa"/>
            <w:vAlign w:val="center"/>
          </w:tcPr>
          <w:p w14:paraId="5FCC283F" w14:textId="77777777" w:rsidR="00713273" w:rsidRDefault="00000000">
            <w:pPr>
              <w:spacing w:line="240" w:lineRule="auto"/>
            </w:pPr>
            <w:r>
              <w:rPr>
                <w:sz w:val="20"/>
              </w:rPr>
              <w:t>Cargos mensuales según abandono</w:t>
            </w:r>
          </w:p>
        </w:tc>
        <w:tc>
          <w:tcPr>
            <w:tcW w:w="3120" w:type="dxa"/>
            <w:vAlign w:val="center"/>
          </w:tcPr>
          <w:p w14:paraId="3630DC64" w14:textId="77777777" w:rsidR="00713273" w:rsidRDefault="00000000">
            <w:pPr>
              <w:spacing w:line="240" w:lineRule="auto"/>
            </w:pPr>
            <w:r>
              <w:rPr>
                <w:sz w:val="20"/>
              </w:rPr>
              <w:t>U = 3.667.080,50</w:t>
            </w:r>
          </w:p>
        </w:tc>
        <w:tc>
          <w:tcPr>
            <w:tcW w:w="3120" w:type="dxa"/>
            <w:vAlign w:val="center"/>
          </w:tcPr>
          <w:p w14:paraId="0B83CA90" w14:textId="77777777" w:rsidR="00713273" w:rsidRDefault="00000000">
            <w:pPr>
              <w:spacing w:line="240" w:lineRule="auto"/>
            </w:pPr>
            <w:r>
              <w:rPr>
                <w:sz w:val="20"/>
              </w:rPr>
              <w:t>Diferencia significativa, p &lt; .001</w:t>
            </w:r>
          </w:p>
        </w:tc>
      </w:tr>
      <w:tr w:rsidR="00713273" w14:paraId="59E59069" w14:textId="77777777">
        <w:trPr>
          <w:jc w:val="center"/>
        </w:trPr>
        <w:tc>
          <w:tcPr>
            <w:tcW w:w="3120" w:type="dxa"/>
            <w:vAlign w:val="center"/>
          </w:tcPr>
          <w:p w14:paraId="1A851364" w14:textId="77777777" w:rsidR="00713273" w:rsidRDefault="00000000">
            <w:pPr>
              <w:spacing w:line="240" w:lineRule="auto"/>
            </w:pPr>
            <w:r>
              <w:rPr>
                <w:sz w:val="20"/>
              </w:rPr>
              <w:t>Variabilidad de cargos mensuales</w:t>
            </w:r>
          </w:p>
        </w:tc>
        <w:tc>
          <w:tcPr>
            <w:tcW w:w="3120" w:type="dxa"/>
            <w:vAlign w:val="center"/>
          </w:tcPr>
          <w:p w14:paraId="7E45B525" w14:textId="77777777" w:rsidR="00713273" w:rsidRDefault="00000000">
            <w:pPr>
              <w:spacing w:line="240" w:lineRule="auto"/>
            </w:pPr>
            <w:r>
              <w:rPr>
                <w:sz w:val="20"/>
              </w:rPr>
              <w:t>Levene F = 361,84</w:t>
            </w:r>
          </w:p>
        </w:tc>
        <w:tc>
          <w:tcPr>
            <w:tcW w:w="3120" w:type="dxa"/>
            <w:vAlign w:val="center"/>
          </w:tcPr>
          <w:p w14:paraId="53435A21" w14:textId="77777777" w:rsidR="00713273" w:rsidRDefault="00000000">
            <w:pPr>
              <w:spacing w:line="240" w:lineRule="auto"/>
            </w:pPr>
            <w:r>
              <w:rPr>
                <w:sz w:val="20"/>
              </w:rPr>
              <w:t>Diferencia de variabilidad, p &lt; .001</w:t>
            </w:r>
          </w:p>
        </w:tc>
      </w:tr>
    </w:tbl>
    <w:p w14:paraId="56E1DF9D" w14:textId="77777777" w:rsidR="00713273" w:rsidRDefault="00000000">
      <w:pPr>
        <w:spacing w:line="240" w:lineRule="auto"/>
      </w:pPr>
      <w:r>
        <w:rPr>
          <w:i/>
          <w:sz w:val="20"/>
        </w:rPr>
        <w:t>Nota. Nivel de significancia establecido: α = .05. Los valores p extremadamente pequeños se presentan como p &lt; .001 para facilitar la lectura.</w:t>
      </w:r>
    </w:p>
    <w:p w14:paraId="324C7136" w14:textId="77777777" w:rsidR="00713273" w:rsidRDefault="00000000">
      <w:pPr>
        <w:pStyle w:val="Ttulo1"/>
        <w:jc w:val="center"/>
      </w:pPr>
      <w:r>
        <w:rPr>
          <w:rFonts w:ascii="Times New Roman" w:hAnsi="Times New Roman"/>
        </w:rPr>
        <w:lastRenderedPageBreak/>
        <w:t>Discusión</w:t>
      </w:r>
    </w:p>
    <w:p w14:paraId="39A00307" w14:textId="77777777" w:rsidR="00713273" w:rsidRDefault="00000000">
      <w:pPr>
        <w:ind w:firstLine="720"/>
      </w:pPr>
      <w:r>
        <w:t>Los resultados muestran que el abandono no se distribuye uniformemente entre todos los clientes. El tipo de contrato presentó una de las asociaciones más marcadas: la proporción de abandono descendió de 42,71 % en contratos mensuales a 2,83 % en contratos de dos años. Este patrón es coherente con investigaciones que identifican las condiciones contractuales como variables relevantes para estudiar el abandono en telecomunicaciones (Edwine et al., 2022; Sulikowski &amp; Zdziebko, 2021). Sin embargo, el análisis realizado no permite afirmar que ofrecer contratos largos sea, por sí solo, suficiente para evitar la pérdida de clientes.</w:t>
      </w:r>
    </w:p>
    <w:p w14:paraId="4AA0F849" w14:textId="77777777" w:rsidR="00713273" w:rsidRDefault="00000000">
      <w:pPr>
        <w:ind w:firstLine="720"/>
      </w:pPr>
      <w:r>
        <w:t>El método de pago también presentó una asociación estadísticamente significativa con el abandono. La proporción observada en usuarios de cheque electrónico (45,29 %) fue notablemente mayor que en quienes utilizaban tarjeta de crédito o transferencia automática. Esta diferencia puede ser útil para segmentar futuras revisiones de experiencia de facturación, pero se necesitaría información adicional para explicar los motivos detrás del patrón.</w:t>
      </w:r>
    </w:p>
    <w:p w14:paraId="1C61F312" w14:textId="77777777" w:rsidR="00713273" w:rsidRDefault="00000000">
      <w:pPr>
        <w:ind w:firstLine="720"/>
      </w:pPr>
      <w:r>
        <w:t>La menor antigüedad mediana de los clientes que abandonaron sugiere que los primeros meses de relación comercial pueden ser una etapa importante para la retención. A su vez, la mediana más alta de cargos mensuales en el grupo que abandonó podría justificar la revisión de planes, precios, percepción de valor y adecuación del servicio. Estas explicaciones son hipótesis para investigaciones posteriores, no conclusiones causales derivadas de las pruebas.</w:t>
      </w:r>
    </w:p>
    <w:p w14:paraId="74B6B840" w14:textId="77777777" w:rsidR="00713273" w:rsidRDefault="00000000">
      <w:pPr>
        <w:ind w:firstLine="720"/>
      </w:pPr>
      <w:r>
        <w:t xml:space="preserve">La investigación sobre churn en telecomunicaciones utiliza tanto análisis estadísticos como técnicas predictivas para reconocer perfiles de riesgo y orientar intervenciones (Ahmad et al., 2019; Wagh et al., 2024). El presente ejercicio constituye una fase descriptiva e inferencial inicial. Un siguiente paso podría incorporar modelos multivariados para evaluar si las </w:t>
      </w:r>
      <w:r>
        <w:lastRenderedPageBreak/>
        <w:t>asociaciones se mantienen al controlar simultáneamente otras variables, además de evaluar su desempeño con datos de validación.</w:t>
      </w:r>
    </w:p>
    <w:p w14:paraId="20C770BA" w14:textId="77777777" w:rsidR="00713273" w:rsidRDefault="00000000">
      <w:pPr>
        <w:pStyle w:val="Ttulo1"/>
        <w:jc w:val="center"/>
      </w:pPr>
      <w:r>
        <w:rPr>
          <w:rFonts w:ascii="Times New Roman" w:hAnsi="Times New Roman"/>
        </w:rPr>
        <w:t>Conclusiones</w:t>
      </w:r>
    </w:p>
    <w:p w14:paraId="1E3C649E" w14:textId="77777777" w:rsidR="00713273" w:rsidRDefault="00000000">
      <w:pPr>
        <w:pStyle w:val="Listaconnmeros"/>
      </w:pPr>
      <w:r>
        <w:t>La tasa general de abandono fue del 26,54 % (1.869 de 7.043 clientes), mientras que el 73,46 % permaneció.</w:t>
      </w:r>
    </w:p>
    <w:p w14:paraId="0DECBB19" w14:textId="77777777" w:rsidR="00713273" w:rsidRDefault="00000000">
      <w:pPr>
        <w:pStyle w:val="Listaconnmeros"/>
      </w:pPr>
      <w:r>
        <w:t>El contrato mensual presentó la mayor proporción de abandono (42,71 %); los contratos de un año y dos años presentaron 11,27 % y 2,83 %, respectivamente. La prueba chi-cuadrado confirmó una asociación estadísticamente significativa entre contrato y abandono.</w:t>
      </w:r>
    </w:p>
    <w:p w14:paraId="4DD25C50" w14:textId="77777777" w:rsidR="00713273" w:rsidRDefault="00000000">
      <w:pPr>
        <w:pStyle w:val="Listaconnmeros"/>
      </w:pPr>
      <w:r>
        <w:t>El cheque electrónico presentó la mayor proporción de abandono entre los métodos de pago evaluados (45,29 %). La asociación entre método de pago y abandono también fue estadísticamente significativa.</w:t>
      </w:r>
    </w:p>
    <w:p w14:paraId="1A2C45AD" w14:textId="77777777" w:rsidR="00713273" w:rsidRDefault="00000000">
      <w:pPr>
        <w:pStyle w:val="Listaconnmeros"/>
      </w:pPr>
      <w:r>
        <w:t>Los clientes que abandonaron tenían una mediana de antigüedad menor (10 meses) que quienes permanecieron (38 meses). Asimismo, su mediana de cargos mensuales fue mayor (79,65 frente a 64,43). Ambas diferencias fueron estadísticamente significativas según Mann–Whitney.</w:t>
      </w:r>
    </w:p>
    <w:p w14:paraId="2F79C4CE" w14:textId="77777777" w:rsidR="00713273" w:rsidRDefault="00000000">
      <w:pPr>
        <w:pStyle w:val="Listaconnmeros"/>
      </w:pPr>
      <w:r>
        <w:t>La prueba de Levene indicó que la variabilidad de los cargos mensuales difiere entre grupos, por lo que es importante considerar la dispersión y no limitar la interpretación a promedios o medianas.</w:t>
      </w:r>
    </w:p>
    <w:p w14:paraId="6D7FED32" w14:textId="77777777" w:rsidR="00713273" w:rsidRDefault="00000000">
      <w:pPr>
        <w:pStyle w:val="Listaconnmeros"/>
      </w:pPr>
      <w:r>
        <w:t>Como recomendación inicial, la empresa podría evaluar acciones de acompañamiento durante los primeros meses, revisar la competitividad de los planes de mayor cargo mensual y explorar la experiencia de los usuarios que pagan mediante cheque electrónico. Estas acciones deben validarse con información adicional y evaluaciones posteriores.</w:t>
      </w:r>
    </w:p>
    <w:p w14:paraId="5FBB999D" w14:textId="77777777" w:rsidR="00713273" w:rsidRDefault="00000000">
      <w:pPr>
        <w:pStyle w:val="Ttulo1"/>
        <w:jc w:val="center"/>
      </w:pPr>
      <w:r>
        <w:rPr>
          <w:rFonts w:ascii="Times New Roman" w:hAnsi="Times New Roman"/>
        </w:rPr>
        <w:lastRenderedPageBreak/>
        <w:t>Limitaciones</w:t>
      </w:r>
    </w:p>
    <w:p w14:paraId="3B00FF04" w14:textId="77777777" w:rsidR="00713273" w:rsidRDefault="00000000">
      <w:pPr>
        <w:ind w:firstLine="720"/>
      </w:pPr>
      <w:r>
        <w:t>El conjunto de datos corresponde a una empresa ficticia y no representa necesariamente el comportamiento de una compañía real ni de todo el sector. El análisis es transversal y observacional, por lo que permite identificar asociaciones, no causalidad. La imputación de cero para los 11 valores vacíos de TotalCharges se mantuvo según el notebook; aunque corresponde a registros sin cargos acumulados reportados, esta decisión debe tenerse presente al interpretar la variable. Finalmente, no se ajustaron modelos multivariados ni se controlaron posibles variables de confusión, por lo que los resultados deben entenderse como exploratorios.</w:t>
      </w:r>
    </w:p>
    <w:p w14:paraId="30441445" w14:textId="77777777" w:rsidR="00713273" w:rsidRDefault="00000000">
      <w:pPr>
        <w:pStyle w:val="Ttulo1"/>
        <w:jc w:val="center"/>
      </w:pPr>
      <w:r>
        <w:rPr>
          <w:rFonts w:ascii="Times New Roman" w:hAnsi="Times New Roman"/>
        </w:rPr>
        <w:t>Referencias</w:t>
      </w:r>
    </w:p>
    <w:p w14:paraId="3ECA7069" w14:textId="77777777" w:rsidR="00713273" w:rsidRDefault="00000000">
      <w:pPr>
        <w:ind w:left="720" w:hanging="720"/>
      </w:pPr>
      <w:r>
        <w:t>Ahmad, A. K., Jafar, A., &amp; Aljoumaa, K. (2019). Customer churn prediction in telecom using machine learning in big data platform. Journal of Big Data, 6, Article 28. https://doi.org/10.1186/s40537-019-0191-6</w:t>
      </w:r>
    </w:p>
    <w:p w14:paraId="774741B6" w14:textId="77777777" w:rsidR="00713273" w:rsidRDefault="00000000">
      <w:pPr>
        <w:ind w:left="720" w:hanging="720"/>
      </w:pPr>
      <w:r>
        <w:t>Edwine, B., et al. (2022). Detecting the risk of customer churn in telecom sector: A comparative study. Mathematical Problems in Engineering, 2022, Article 8534739. https://doi.org/10.1155/2022/8534739</w:t>
      </w:r>
    </w:p>
    <w:p w14:paraId="03B0CD98" w14:textId="77777777" w:rsidR="00713273" w:rsidRDefault="00000000">
      <w:pPr>
        <w:ind w:left="720" w:hanging="720"/>
      </w:pPr>
      <w:r>
        <w:t>IBM. (s. f.). Telco customer churn [Conjunto de datos]. IBM/telco-customer-churn-on-icp4d. GitHub. https://github.com/IBM/telco-customer-churn-on-icp4d</w:t>
      </w:r>
    </w:p>
    <w:p w14:paraId="30CBF80B" w14:textId="77777777" w:rsidR="00713273" w:rsidRDefault="00000000">
      <w:pPr>
        <w:ind w:left="720" w:hanging="720"/>
      </w:pPr>
      <w:r>
        <w:t>Sulikowski, P., &amp; Zdziebko, T. (2021). Churn factors identification from real-world data in the telecommunications industry: Case study. Procedia Computer Science, 192, 4800–4809. https://doi.org/10.1016/j.procs.2021.09.258</w:t>
      </w:r>
    </w:p>
    <w:p w14:paraId="1BF77DD6" w14:textId="77777777" w:rsidR="00713273" w:rsidRDefault="00000000">
      <w:pPr>
        <w:ind w:left="720" w:hanging="720"/>
      </w:pPr>
      <w:r>
        <w:t xml:space="preserve">Wagh, S. K., Andhale, A. A., Wagh, K. S., Pansare, J. P., Ambadekar, S., &amp; Gawande, S. H. (2024). Customer churn prediction in telecom sector using machine learning techniques. </w:t>
      </w:r>
      <w:r>
        <w:lastRenderedPageBreak/>
        <w:t>Results in Control and Optimization, 14, Article 100342. https://doi.org/10.1016/j.rico.2023.100342</w:t>
      </w:r>
    </w:p>
    <w:p w14:paraId="00A34B4B" w14:textId="77777777" w:rsidR="00713273" w:rsidRDefault="00000000">
      <w:pPr>
        <w:pStyle w:val="Ttulo1"/>
        <w:jc w:val="center"/>
      </w:pPr>
      <w:r>
        <w:rPr>
          <w:rFonts w:ascii="Times New Roman" w:hAnsi="Times New Roman"/>
        </w:rPr>
        <w:t>Apéndice A</w:t>
      </w:r>
    </w:p>
    <w:p w14:paraId="138C39D7" w14:textId="77777777" w:rsidR="00713273" w:rsidRDefault="00000000">
      <w:pPr>
        <w:pStyle w:val="Ttulo2"/>
      </w:pPr>
      <w:r>
        <w:rPr>
          <w:rFonts w:ascii="Times New Roman" w:hAnsi="Times New Roman"/>
        </w:rPr>
        <w:t>Reproducibilidad del análisis</w:t>
      </w:r>
    </w:p>
    <w:p w14:paraId="0593AC6D" w14:textId="77777777" w:rsidR="00713273" w:rsidRDefault="00000000">
      <w:pPr>
        <w:ind w:firstLine="720"/>
      </w:pPr>
      <w:r>
        <w:t>El análisis fue desarrollado en un notebook de Google Colab/Jupyter con Python. Para reproducirlo, se requiere ejecutar las celdas en orden y contar con conexión a internet para descargar la base pública. Las principales bibliotecas utilizadas fueron pandas, NumPy, Matplotlib, Seaborn y SciPy. El notebook complementario contiene el código de preparación de datos, las visualizaciones, las pruebas estadísticas y la exportación de tablas de resultados.</w:t>
      </w:r>
    </w:p>
    <w:sectPr w:rsidR="00713273"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4A4BE" w14:textId="77777777" w:rsidR="00A968DE" w:rsidRDefault="00A968DE">
      <w:pPr>
        <w:spacing w:line="240" w:lineRule="auto"/>
      </w:pPr>
      <w:r>
        <w:separator/>
      </w:r>
    </w:p>
  </w:endnote>
  <w:endnote w:type="continuationSeparator" w:id="0">
    <w:p w14:paraId="7AE2F51A" w14:textId="77777777" w:rsidR="00A968DE" w:rsidRDefault="00A96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DFD0E" w14:textId="77777777" w:rsidR="00A968DE" w:rsidRDefault="00A968DE">
      <w:pPr>
        <w:spacing w:line="240" w:lineRule="auto"/>
      </w:pPr>
      <w:r>
        <w:separator/>
      </w:r>
    </w:p>
  </w:footnote>
  <w:footnote w:type="continuationSeparator" w:id="0">
    <w:p w14:paraId="47C2ACD8" w14:textId="77777777" w:rsidR="00A968DE" w:rsidRDefault="00A968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00F9" w14:textId="77777777" w:rsidR="00713273" w:rsidRDefault="00000000">
    <w:pPr>
      <w:pStyle w:val="Encabezado"/>
      <w:jc w:val="right"/>
    </w:pPr>
    <w:r>
      <w:fldChar w:fldCharType="begin"/>
    </w:r>
    <w:r>
      <w:instrText xml:space="preserve"> PAGE </w:instrText>
    </w:r>
    <w:r w:rsidR="00C143D3">
      <w:fldChar w:fldCharType="separate"/>
    </w:r>
    <w:r w:rsidR="00C143D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7497956">
    <w:abstractNumId w:val="8"/>
  </w:num>
  <w:num w:numId="2" w16cid:durableId="1662536260">
    <w:abstractNumId w:val="6"/>
  </w:num>
  <w:num w:numId="3" w16cid:durableId="1778013927">
    <w:abstractNumId w:val="5"/>
  </w:num>
  <w:num w:numId="4" w16cid:durableId="55709625">
    <w:abstractNumId w:val="4"/>
  </w:num>
  <w:num w:numId="5" w16cid:durableId="1425833386">
    <w:abstractNumId w:val="7"/>
  </w:num>
  <w:num w:numId="6" w16cid:durableId="462162435">
    <w:abstractNumId w:val="3"/>
  </w:num>
  <w:num w:numId="7" w16cid:durableId="1144271010">
    <w:abstractNumId w:val="2"/>
  </w:num>
  <w:num w:numId="8" w16cid:durableId="2061858171">
    <w:abstractNumId w:val="1"/>
  </w:num>
  <w:num w:numId="9" w16cid:durableId="108727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0B"/>
    <w:rsid w:val="0015074B"/>
    <w:rsid w:val="0029639D"/>
    <w:rsid w:val="00326F90"/>
    <w:rsid w:val="00713273"/>
    <w:rsid w:val="00A968DE"/>
    <w:rsid w:val="00AA1D8D"/>
    <w:rsid w:val="00B47730"/>
    <w:rsid w:val="00C143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8BFE3"/>
  <w14:defaultImageDpi w14:val="300"/>
  <w15:docId w15:val="{0549D3B5-950E-4003-83E0-2DF066CD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2743</Words>
  <Characters>15091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estadístico de los factores asociados al abandono de clientes</dc:title>
  <dc:subject>Informe académico en formato APA 7</dc:subject>
  <dc:creator>[Nombre del estudiante]</dc:creator>
  <cp:keywords>churn, telecomunicaciones, estadística, APA 7</cp:keywords>
  <dc:description>generated by python-docx</dc:description>
  <cp:lastModifiedBy>Gabriela  Suesca</cp:lastModifiedBy>
  <cp:revision>2</cp:revision>
  <dcterms:created xsi:type="dcterms:W3CDTF">2013-12-23T23:15:00Z</dcterms:created>
  <dcterms:modified xsi:type="dcterms:W3CDTF">2026-10-12T14:53:00Z</dcterms:modified>
  <cp:category/>
</cp:coreProperties>
</file>