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B9C" w:rsidRDefault="00B51B9C">
      <w:r>
        <w:t>Validação Numérica da Formulação DKT (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Kirchhoff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) para Placas Finas com Condição de Contorno SSSS. </w:t>
      </w:r>
    </w:p>
    <w:p w:rsidR="00B51B9C" w:rsidRDefault="00B51B9C">
      <w:r>
        <w:t>INTRODUÇÃO</w:t>
      </w:r>
    </w:p>
    <w:p w:rsidR="00B51B9C" w:rsidRDefault="00B51B9C">
      <w:r>
        <w:t>Esse relatório tem o objetivo de apresentar a validação de um programa baseado no Método dos Elementos Finitos, desenvolvido para análise de placas finas utilizando o elemento triangular DKT (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Kirchhoff</w:t>
      </w:r>
      <w:proofErr w:type="spellEnd"/>
      <w:r>
        <w:t xml:space="preserve"> </w:t>
      </w:r>
      <w:proofErr w:type="spellStart"/>
      <w:r>
        <w:t>Theory</w:t>
      </w:r>
      <w:proofErr w:type="spellEnd"/>
      <w:r>
        <w:t>)</w:t>
      </w:r>
      <w:r w:rsidR="000F5991">
        <w:t>. Para comprovar a precisão e a convergência da formulação numérica, o modelo foi testado em uma placa retangular submetida a uma carga uniformemente distribuída, com apoios simples em todo seu perímetro (condição SSSS).</w:t>
      </w:r>
    </w:p>
    <w:p w:rsidR="000F5991" w:rsidRDefault="000F5991">
      <w:r>
        <w:t xml:space="preserve">Os resultados numéricos obtidos foram comparados diretamente com a solução analítica exata a partir da Teoria Clássica de Placas de </w:t>
      </w:r>
      <w:proofErr w:type="spellStart"/>
      <w:r>
        <w:t>Kirchhoff</w:t>
      </w:r>
      <w:proofErr w:type="spellEnd"/>
      <w:r>
        <w:t xml:space="preserve">, calculada através da expansão em Série Dupla de </w:t>
      </w:r>
      <w:proofErr w:type="spellStart"/>
      <w:r>
        <w:t>Navier</w:t>
      </w:r>
      <w:proofErr w:type="spellEnd"/>
      <w:r>
        <w:t>.</w:t>
      </w:r>
    </w:p>
    <w:p w:rsidR="000F5991" w:rsidRDefault="000F5991">
      <w:r>
        <w:t>PARÂMETROS FÍSICOS E GEOMÉTRICOS</w:t>
      </w:r>
    </w:p>
    <w:p w:rsidR="000F5991" w:rsidRDefault="000F5991">
      <w:r>
        <w:t xml:space="preserve">Para validar o comportamento do elemento DKT sob diferentes regimes de flexão, os testes foram conduzidos variando a espessura (h) da Placa em quatro cenários distintos. As propriedades fixas do material e da geometria são resumidas na tabela 1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F5991" w:rsidTr="000F5991">
        <w:tc>
          <w:tcPr>
            <w:tcW w:w="4247" w:type="dxa"/>
          </w:tcPr>
          <w:p w:rsidR="000F5991" w:rsidRDefault="000F5991" w:rsidP="000F5991">
            <w:pPr>
              <w:jc w:val="center"/>
            </w:pPr>
            <w:r>
              <w:t>PROPRIEDADE</w:t>
            </w:r>
          </w:p>
        </w:tc>
        <w:tc>
          <w:tcPr>
            <w:tcW w:w="4247" w:type="dxa"/>
          </w:tcPr>
          <w:p w:rsidR="000F5991" w:rsidRDefault="000F5991" w:rsidP="000F5991">
            <w:pPr>
              <w:jc w:val="center"/>
            </w:pPr>
            <w:r>
              <w:t>VALOR</w:t>
            </w:r>
          </w:p>
        </w:tc>
      </w:tr>
      <w:tr w:rsidR="000F5991" w:rsidTr="000F5991">
        <w:tc>
          <w:tcPr>
            <w:tcW w:w="4247" w:type="dxa"/>
          </w:tcPr>
          <w:p w:rsidR="000F5991" w:rsidRDefault="000F5991">
            <w:r>
              <w:t>Comprimento</w:t>
            </w:r>
          </w:p>
        </w:tc>
        <w:tc>
          <w:tcPr>
            <w:tcW w:w="4247" w:type="dxa"/>
          </w:tcPr>
          <w:p w:rsidR="000F5991" w:rsidRDefault="000F5991" w:rsidP="000F5991">
            <w:pPr>
              <w:jc w:val="center"/>
            </w:pPr>
            <w:r>
              <w:t>2 m</w:t>
            </w:r>
          </w:p>
        </w:tc>
      </w:tr>
      <w:tr w:rsidR="000F5991" w:rsidTr="000F5991">
        <w:tc>
          <w:tcPr>
            <w:tcW w:w="4247" w:type="dxa"/>
          </w:tcPr>
          <w:p w:rsidR="000F5991" w:rsidRDefault="000F5991">
            <w:r>
              <w:t>Altura</w:t>
            </w:r>
          </w:p>
        </w:tc>
        <w:tc>
          <w:tcPr>
            <w:tcW w:w="4247" w:type="dxa"/>
          </w:tcPr>
          <w:p w:rsidR="000F5991" w:rsidRDefault="000F5991" w:rsidP="000F5991">
            <w:pPr>
              <w:jc w:val="center"/>
            </w:pPr>
            <w:r>
              <w:t>0,6 m</w:t>
            </w:r>
          </w:p>
        </w:tc>
      </w:tr>
      <w:tr w:rsidR="000F5991" w:rsidTr="000F5991">
        <w:tc>
          <w:tcPr>
            <w:tcW w:w="4247" w:type="dxa"/>
          </w:tcPr>
          <w:p w:rsidR="000F5991" w:rsidRDefault="000F5991">
            <w:r>
              <w:t>Carga</w:t>
            </w:r>
          </w:p>
        </w:tc>
        <w:tc>
          <w:tcPr>
            <w:tcW w:w="4247" w:type="dxa"/>
          </w:tcPr>
          <w:p w:rsidR="000F5991" w:rsidRDefault="000F5991" w:rsidP="000F5991">
            <w:pPr>
              <w:jc w:val="center"/>
            </w:pPr>
            <w:r>
              <w:t xml:space="preserve">1000 </w:t>
            </w:r>
            <w:proofErr w:type="spellStart"/>
            <w:r>
              <w:t>Pa</w:t>
            </w:r>
            <w:proofErr w:type="spellEnd"/>
          </w:p>
        </w:tc>
      </w:tr>
      <w:tr w:rsidR="000F5991" w:rsidTr="000F5991">
        <w:tc>
          <w:tcPr>
            <w:tcW w:w="4247" w:type="dxa"/>
          </w:tcPr>
          <w:p w:rsidR="000F5991" w:rsidRDefault="000F5991" w:rsidP="000F5991">
            <w:r>
              <w:t xml:space="preserve">Coeficiente de Poisson </w:t>
            </w:r>
          </w:p>
        </w:tc>
        <w:tc>
          <w:tcPr>
            <w:tcW w:w="4247" w:type="dxa"/>
          </w:tcPr>
          <w:p w:rsidR="000F5991" w:rsidRDefault="000F5991" w:rsidP="000F5991">
            <w:pPr>
              <w:jc w:val="center"/>
            </w:pPr>
            <w:r>
              <w:t>0,3</w:t>
            </w:r>
          </w:p>
        </w:tc>
      </w:tr>
      <w:tr w:rsidR="000F5991" w:rsidTr="000F5991">
        <w:tc>
          <w:tcPr>
            <w:tcW w:w="4247" w:type="dxa"/>
          </w:tcPr>
          <w:p w:rsidR="000F5991" w:rsidRDefault="000F5991" w:rsidP="000F5991">
            <w:r>
              <w:t>Módulo de Young</w:t>
            </w:r>
          </w:p>
        </w:tc>
        <w:tc>
          <w:tcPr>
            <w:tcW w:w="4247" w:type="dxa"/>
          </w:tcPr>
          <w:p w:rsidR="000F5991" w:rsidRDefault="000F5991" w:rsidP="000F5991">
            <w:pPr>
              <w:jc w:val="center"/>
            </w:pPr>
            <w:r>
              <w:t xml:space="preserve">210 </w:t>
            </w:r>
            <w:proofErr w:type="spellStart"/>
            <w:r>
              <w:t>GPa</w:t>
            </w:r>
            <w:proofErr w:type="spellEnd"/>
          </w:p>
        </w:tc>
      </w:tr>
    </w:tbl>
    <w:p w:rsidR="000F5991" w:rsidRDefault="000F5991"/>
    <w:p w:rsidR="000F5991" w:rsidRDefault="000F5991">
      <w:bookmarkStart w:id="0" w:name="_GoBack"/>
      <w:bookmarkEnd w:id="0"/>
    </w:p>
    <w:p w:rsidR="000F5991" w:rsidRDefault="000F5991"/>
    <w:p w:rsidR="00B51B9C" w:rsidRDefault="00B51B9C"/>
    <w:p w:rsidR="00B51B9C" w:rsidRDefault="00B51B9C"/>
    <w:sectPr w:rsidR="00B51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B9C"/>
    <w:rsid w:val="000F5991"/>
    <w:rsid w:val="00267ACE"/>
    <w:rsid w:val="00B5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5DADAB"/>
  <w15:chartTrackingRefBased/>
  <w15:docId w15:val="{930BB3B8-0932-4E2E-8D5F-F3F648D1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F5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2026-08-04T18:27:00Z</dcterms:created>
  <dcterms:modified xsi:type="dcterms:W3CDTF">2026-08-04T18:58:00Z</dcterms:modified>
</cp:coreProperties>
</file>