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Calibri" w:hAnsi="Calibri"/>
          <w:sz w:val="22"/>
        </w:rPr>
        <w:t>Universidade Federal da Paraíba (UFPB)</w:t>
      </w:r>
    </w:p>
    <w:p>
      <w:pPr>
        <w:spacing w:after="40"/>
        <w:jc w:val="center"/>
      </w:pPr>
      <w:r>
        <w:rPr>
          <w:rFonts w:ascii="Calibri" w:hAnsi="Calibri"/>
          <w:sz w:val="22"/>
        </w:rPr>
        <w:t>Centro de Informática – Curso de Ciência da Computação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Disciplina: </w:t>
      </w:r>
      <w:r>
        <w:rPr>
          <w:rFonts w:ascii="Calibri" w:hAnsi="Calibri"/>
          <w:sz w:val="22"/>
        </w:rPr>
        <w:t>Construção de Compiladores 1</w:t>
      </w:r>
    </w:p>
    <w:p>
      <w:pPr>
        <w:spacing w:after="40"/>
        <w:jc w:val="center"/>
      </w:pPr>
      <w:r>
        <w:rPr>
          <w:rFonts w:ascii="Calibri" w:hAnsi="Calibri"/>
          <w:b/>
          <w:sz w:val="22"/>
        </w:rPr>
        <w:t xml:space="preserve">Professor: </w:t>
      </w:r>
      <w:r>
        <w:rPr>
          <w:rFonts w:ascii="Calibri" w:hAnsi="Calibri"/>
          <w:sz w:val="22"/>
        </w:rPr>
        <w:t>Andrei de Araújo Formiga</w:t>
      </w:r>
    </w:p>
    <w:p/>
    <w:p>
      <w:pPr>
        <w:spacing w:before="0" w:after="120"/>
        <w:jc w:val="center"/>
      </w:pPr>
      <w:r>
        <w:rPr>
          <w:rFonts w:ascii="Calibri" w:hAnsi="Calibri"/>
          <w:b/>
          <w:sz w:val="40"/>
        </w:rPr>
        <w:t>Relatório – Atividade 04</w:t>
      </w:r>
    </w:p>
    <w:p>
      <w:pPr>
        <w:spacing w:after="360"/>
        <w:jc w:val="center"/>
      </w:pPr>
      <w:r>
        <w:rPr>
          <w:rFonts w:ascii="Calibri" w:hAnsi="Calibri"/>
          <w:i/>
          <w:sz w:val="26"/>
        </w:rPr>
        <w:t>Análise Léxica EC1 (Expressões Constantes 1)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Integrantes do grupo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Matrícula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Davi Alves Rodrigues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20230102377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Gabriel Barbosa Ribeiro de Oliveira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20230012814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João Vitor Sampaio Costa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20230089776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Nathan Meira Nóbrega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20240008904</w:t>
            </w:r>
          </w:p>
        </w:tc>
      </w:tr>
    </w:tbl>
    <w:p/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O que foi implementado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1. Estrutura do token (Token, TipoToken)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Foi definida a enumeração </w:t>
      </w:r>
      <w:r>
        <w:rPr>
          <w:rFonts w:ascii="Consolas" w:hAnsi="Consolas"/>
          <w:sz w:val="20"/>
        </w:rPr>
        <w:t>TipoToken</w:t>
      </w:r>
      <w:r>
        <w:rPr>
          <w:rFonts w:ascii="Calibri" w:hAnsi="Calibri"/>
          <w:sz w:val="22"/>
        </w:rPr>
        <w:t xml:space="preserve"> com oito valores: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Enum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Descrição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NUMERO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Sequência de dígitos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PAREN_ESQ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PAREN_DIR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)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SOMA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+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SUB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-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MULT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*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DIV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/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EOF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Fim da entrada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 xml:space="preserve">A classe </w:t>
      </w:r>
      <w:r>
        <w:rPr>
          <w:rFonts w:ascii="Consolas" w:hAnsi="Consolas"/>
          <w:sz w:val="20"/>
        </w:rPr>
        <w:t>Token</w:t>
      </w:r>
      <w:r>
        <w:rPr>
          <w:rFonts w:ascii="Calibri" w:hAnsi="Calibri"/>
          <w:sz w:val="22"/>
        </w:rPr>
        <w:t xml:space="preserve"> é um </w:t>
      </w:r>
      <w:r>
        <w:rPr>
          <w:rFonts w:ascii="Consolas" w:hAnsi="Consolas"/>
          <w:sz w:val="20"/>
        </w:rPr>
        <w:t>dataclass</w:t>
      </w:r>
      <w:r>
        <w:rPr>
          <w:rFonts w:ascii="Calibri" w:hAnsi="Calibri"/>
          <w:sz w:val="22"/>
        </w:rPr>
        <w:t xml:space="preserve"> Python com três campos: </w:t>
      </w:r>
      <w:r>
        <w:rPr>
          <w:rFonts w:ascii="Consolas" w:hAnsi="Consolas"/>
          <w:sz w:val="20"/>
        </w:rPr>
        <w:t>tipo</w:t>
      </w:r>
      <w:r>
        <w:rPr>
          <w:rFonts w:ascii="Calibri" w:hAnsi="Calibri"/>
          <w:sz w:val="22"/>
        </w:rPr>
        <w:t xml:space="preserve">, </w:t>
      </w:r>
      <w:r>
        <w:rPr>
          <w:rFonts w:ascii="Consolas" w:hAnsi="Consolas"/>
          <w:sz w:val="20"/>
        </w:rPr>
        <w:t>lexema</w:t>
      </w:r>
      <w:r>
        <w:rPr>
          <w:rFonts w:ascii="Calibri" w:hAnsi="Calibri"/>
          <w:sz w:val="22"/>
        </w:rPr>
        <w:t xml:space="preserve"> e </w:t>
      </w:r>
      <w:r>
        <w:rPr>
          <w:rFonts w:ascii="Consolas" w:hAnsi="Consolas"/>
          <w:sz w:val="20"/>
        </w:rPr>
        <w:t>posicao</w:t>
      </w:r>
      <w:r>
        <w:rPr>
          <w:rFonts w:ascii="Calibri" w:hAnsi="Calibri"/>
          <w:sz w:val="22"/>
        </w:rPr>
        <w:t xml:space="preserve">. O método </w:t>
      </w:r>
      <w:r>
        <w:rPr>
          <w:rFonts w:ascii="Consolas" w:hAnsi="Consolas"/>
          <w:sz w:val="20"/>
        </w:rPr>
        <w:t>__str__</w:t>
      </w:r>
      <w:r>
        <w:rPr>
          <w:rFonts w:ascii="Calibri" w:hAnsi="Calibri"/>
          <w:sz w:val="22"/>
        </w:rPr>
        <w:t xml:space="preserve"> produz exatamente o formato exigido pelo enunciado: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&lt;ParenEsq, "(", 0&gt;</w:t>
      </w:r>
      <w:r>
        <w:br/>
      </w:r>
      <w:r>
        <w:rPr>
          <w:rFonts w:ascii="Consolas" w:hAnsi="Consolas"/>
          <w:sz w:val="19"/>
        </w:rPr>
        <w:t>&lt;Numero, "33", 1&gt;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saída para o exemplo do enunciado </w:t>
      </w:r>
      <w:r>
        <w:rPr>
          <w:rFonts w:ascii="Consolas" w:hAnsi="Consolas"/>
          <w:sz w:val="20"/>
        </w:rPr>
        <w:t>(33 + (912 * 11))</w:t>
      </w:r>
      <w:r>
        <w:rPr>
          <w:rFonts w:ascii="Calibri" w:hAnsi="Calibri"/>
          <w:sz w:val="22"/>
        </w:rPr>
        <w:t xml:space="preserve"> bate caractere a caractere com o esperado, incluindo as posições: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&lt;ParenEsq, "(", 0&gt;    &lt;Numero, "33", 1&gt;    &lt;Soma, "+", 4&gt;</w:t>
      </w:r>
      <w:r>
        <w:br/>
      </w:r>
      <w:r>
        <w:rPr>
          <w:rFonts w:ascii="Consolas" w:hAnsi="Consolas"/>
          <w:sz w:val="19"/>
        </w:rPr>
        <w:t>&lt;ParenEsq, "(", 6&gt;    &lt;Numero, "912", 7&gt;   &lt;Mult, "*", 11&gt;</w:t>
      </w:r>
      <w:r>
        <w:br/>
      </w:r>
      <w:r>
        <w:rPr>
          <w:rFonts w:ascii="Consolas" w:hAnsi="Consolas"/>
          <w:sz w:val="19"/>
        </w:rPr>
        <w:t>&lt;Numero, "11", 13&gt;    &lt;ParenDir, ")", 15&gt;  &lt;ParenDir, ")", 16&gt;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2. Tratamento de erros léxicos (ErroLexico)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exceção 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 é levantada assim que um caractere inválido é encontrado. Ela armazena a posição do erro e o caractere responsável, produzindo uma mensagem como: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Erro léxico na posição 4: caractere inesperado 'x' (ASCII 120)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processo termina com código de saída </w:t>
      </w:r>
      <w:r>
        <w:rPr>
          <w:rFonts w:ascii="Consolas" w:hAnsi="Consolas"/>
          <w:sz w:val="20"/>
        </w:rPr>
        <w:t>1</w:t>
      </w:r>
      <w:r>
        <w:rPr>
          <w:rFonts w:ascii="Calibri" w:hAnsi="Calibri"/>
          <w:sz w:val="22"/>
        </w:rPr>
        <w:t xml:space="preserve">, separando a mensagem de erro para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e a sequência de tokens para </w:t>
      </w:r>
      <w:r>
        <w:rPr>
          <w:rFonts w:ascii="Consolas" w:hAnsi="Consolas"/>
          <w:sz w:val="20"/>
        </w:rPr>
        <w:t>stdout</w:t>
      </w:r>
      <w:r>
        <w:rPr>
          <w:rFonts w:ascii="Calibri" w:hAnsi="Calibri"/>
          <w:sz w:val="22"/>
        </w:rPr>
        <w:t>, conforme boa prática de CLIs.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3. Analisador léxico (AnalisadorLexico)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 classe </w:t>
      </w:r>
      <w:r>
        <w:rPr>
          <w:rFonts w:ascii="Consolas" w:hAnsi="Consolas"/>
          <w:sz w:val="20"/>
        </w:rPr>
        <w:t>AnalisadorLexico</w:t>
      </w:r>
      <w:r>
        <w:rPr>
          <w:rFonts w:ascii="Calibri" w:hAnsi="Calibri"/>
          <w:sz w:val="22"/>
        </w:rPr>
        <w:t xml:space="preserve"> mantém internamente um ponteiro de posição (</w:t>
      </w:r>
      <w:r>
        <w:rPr>
          <w:rFonts w:ascii="Consolas" w:hAnsi="Consolas"/>
          <w:sz w:val="20"/>
        </w:rPr>
        <w:t>_pos</w:t>
      </w:r>
      <w:r>
        <w:rPr>
          <w:rFonts w:ascii="Calibri" w:hAnsi="Calibri"/>
          <w:sz w:val="22"/>
        </w:rPr>
        <w:t>) sobre a string de entrada. Duas interfaces públicas foram implementadas, conforme o enunciado descreve as duas opções válidas: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proximo_token()</w:t>
      </w:r>
      <w:r>
        <w:rPr>
          <w:rFonts w:ascii="Calibri" w:hAnsi="Calibri"/>
          <w:sz w:val="22"/>
        </w:rPr>
        <w:t xml:space="preserve"> — retorna um token por vez; retorna </w:t>
      </w:r>
      <w:r>
        <w:rPr>
          <w:rFonts w:ascii="Consolas" w:hAnsi="Consolas"/>
          <w:sz w:val="20"/>
        </w:rPr>
        <w:t>EOF</w:t>
      </w:r>
      <w:r>
        <w:rPr>
          <w:rFonts w:ascii="Calibri" w:hAnsi="Calibri"/>
          <w:sz w:val="22"/>
        </w:rPr>
        <w:t xml:space="preserve"> ao esgotar a entrada.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tokenizar()</w:t>
      </w:r>
      <w:r>
        <w:rPr>
          <w:rFonts w:ascii="Calibri" w:hAnsi="Calibri"/>
          <w:sz w:val="22"/>
        </w:rPr>
        <w:t xml:space="preserve"> — retorna todos os tokens em lista (sem EOF).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Descarte de espaços em branco: os quatro tipos citados no enunciado são ignorados — espaço (</w:t>
      </w:r>
      <w:r>
        <w:rPr>
          <w:rFonts w:ascii="Consolas" w:hAnsi="Consolas"/>
          <w:sz w:val="20"/>
        </w:rPr>
        <w:t>0x20</w:t>
      </w:r>
      <w:r>
        <w:rPr>
          <w:rFonts w:ascii="Calibri" w:hAnsi="Calibri"/>
          <w:sz w:val="22"/>
        </w:rPr>
        <w:t>), tabulação (</w:t>
      </w:r>
      <w:r>
        <w:rPr>
          <w:rFonts w:ascii="Consolas" w:hAnsi="Consolas"/>
          <w:sz w:val="20"/>
        </w:rPr>
        <w:t>0x09</w:t>
      </w:r>
      <w:r>
        <w:rPr>
          <w:rFonts w:ascii="Calibri" w:hAnsi="Calibri"/>
          <w:sz w:val="22"/>
        </w:rPr>
        <w:t>), nova linha (</w:t>
      </w:r>
      <w:r>
        <w:rPr>
          <w:rFonts w:ascii="Consolas" w:hAnsi="Consolas"/>
          <w:sz w:val="20"/>
        </w:rPr>
        <w:t>0x0A</w:t>
      </w:r>
      <w:r>
        <w:rPr>
          <w:rFonts w:ascii="Calibri" w:hAnsi="Calibri"/>
          <w:sz w:val="22"/>
        </w:rPr>
        <w:t>) e retorno do carro (</w:t>
      </w:r>
      <w:r>
        <w:rPr>
          <w:rFonts w:ascii="Consolas" w:hAnsi="Consolas"/>
          <w:sz w:val="20"/>
        </w:rPr>
        <w:t>0x0D</w:t>
      </w:r>
      <w:r>
        <w:rPr>
          <w:rFonts w:ascii="Calibri" w:hAnsi="Calibri"/>
          <w:sz w:val="22"/>
        </w:rPr>
        <w:t>).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Agrupamento de números: ao encontrar um dígito, o lexer avança enquanto houver dígitos consecutivos, reunindo todos em um único token </w:t>
      </w:r>
      <w:r>
        <w:rPr>
          <w:rFonts w:ascii="Consolas" w:hAnsi="Consolas"/>
          <w:sz w:val="20"/>
        </w:rPr>
        <w:t>NUMERO</w:t>
      </w:r>
      <w:r>
        <w:rPr>
          <w:rFonts w:ascii="Calibri" w:hAnsi="Calibri"/>
          <w:sz w:val="22"/>
        </w:rPr>
        <w:t xml:space="preserve"> com o lexema completo.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Caracteres simples: parênteses e operadores são reconhecidos com lookup direto em dicionário, resultando em O(1) por token.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4. Extensão opcional: comentários de linha (#)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enunciado menciona explicitamente que os grupos podem adicionar suporte a comentários. Foi implementado o comentário de linha iniciado por </w:t>
      </w:r>
      <w:r>
        <w:rPr>
          <w:rFonts w:ascii="Consolas" w:hAnsi="Consolas"/>
          <w:sz w:val="20"/>
        </w:rPr>
        <w:t>#</w:t>
      </w:r>
      <w:r>
        <w:rPr>
          <w:rFonts w:ascii="Calibri" w:hAnsi="Calibri"/>
          <w:sz w:val="22"/>
        </w:rPr>
        <w:t xml:space="preserve">: tudo da </w:t>
      </w:r>
      <w:r>
        <w:rPr>
          <w:rFonts w:ascii="Consolas" w:hAnsi="Consolas"/>
          <w:sz w:val="20"/>
        </w:rPr>
        <w:t>#</w:t>
      </w:r>
      <w:r>
        <w:rPr>
          <w:rFonts w:ascii="Calibri" w:hAnsi="Calibri"/>
          <w:sz w:val="22"/>
        </w:rPr>
        <w:t xml:space="preserve"> até o fim da linha (inclusive a ausência de </w:t>
      </w:r>
      <w:r>
        <w:rPr>
          <w:rFonts w:ascii="Consolas" w:hAnsi="Consolas"/>
          <w:sz w:val="20"/>
        </w:rPr>
        <w:t>\n</w:t>
      </w:r>
      <w:r>
        <w:rPr>
          <w:rFonts w:ascii="Calibri" w:hAnsi="Calibri"/>
          <w:sz w:val="22"/>
        </w:rPr>
        <w:t xml:space="preserve"> no final do arquivo) é descartado silenciosamente.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Exemplo de uso: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# calcula (6 * 7)</w:t>
      </w:r>
      <w:r>
        <w:br/>
      </w:r>
      <w:r>
        <w:rPr>
          <w:rFonts w:ascii="Consolas" w:hAnsi="Consolas"/>
          <w:sz w:val="19"/>
        </w:rPr>
        <w:t>(6 * 7)   # resultado: 42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5. Ponto de entrada (main)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script aceita um argumento de linha de comando com o caminho do arquivo de entrada: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python lexer.py exemplos/valido1.ec1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Erros de arquivo não encontrado e erros léxicos são reportados no </w:t>
      </w:r>
      <w:r>
        <w:rPr>
          <w:rFonts w:ascii="Consolas" w:hAnsi="Consolas"/>
          <w:sz w:val="20"/>
        </w:rPr>
        <w:t>stderr</w:t>
      </w:r>
      <w:r>
        <w:rPr>
          <w:rFonts w:ascii="Calibri" w:hAnsi="Calibri"/>
          <w:sz w:val="22"/>
        </w:rPr>
        <w:t xml:space="preserve"> com código de saída </w:t>
      </w:r>
      <w:r>
        <w:rPr>
          <w:rFonts w:ascii="Consolas" w:hAnsi="Consolas"/>
          <w:sz w:val="20"/>
        </w:rPr>
        <w:t>1</w:t>
      </w:r>
      <w:r>
        <w:rPr>
          <w:rFonts w:ascii="Calibri" w:hAnsi="Calibri"/>
          <w:sz w:val="22"/>
        </w:rPr>
        <w:t xml:space="preserve">. A sequência de tokens vai para o </w:t>
      </w:r>
      <w:r>
        <w:rPr>
          <w:rFonts w:ascii="Consolas" w:hAnsi="Consolas"/>
          <w:sz w:val="20"/>
        </w:rPr>
        <w:t>stdout</w:t>
      </w:r>
      <w:r>
        <w:rPr>
          <w:rFonts w:ascii="Calibri" w:hAnsi="Calibri"/>
          <w:sz w:val="22"/>
        </w:rPr>
        <w:t>, facilitando redirecionamento e uso em pipelines de testes.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6. Suite de testes (43 casos)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Todos os testes foram escritos com o módulo </w:t>
      </w:r>
      <w:r>
        <w:rPr>
          <w:rFonts w:ascii="Consolas" w:hAnsi="Consolas"/>
          <w:sz w:val="20"/>
        </w:rPr>
        <w:t>unittest</w:t>
      </w:r>
      <w:r>
        <w:rPr>
          <w:rFonts w:ascii="Calibri" w:hAnsi="Calibri"/>
          <w:sz w:val="22"/>
        </w:rPr>
        <w:t xml:space="preserve"> da biblioteca padrão do Python, sem dependências externas. Execução: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python tests/test_lexer.py</w:t>
      </w:r>
    </w:p>
    <w:p>
      <w:pPr>
        <w:spacing w:after="120"/>
        <w:jc w:val="both"/>
      </w:pPr>
      <w:r>
        <w:rPr>
          <w:rFonts w:ascii="Calibri" w:hAnsi="Calibri"/>
          <w:sz w:val="22"/>
        </w:rPr>
        <w:t>Resultado: 43 testes, 0 falhas.</w:t>
      </w:r>
    </w:p>
    <w:p>
      <w:pPr>
        <w:spacing w:after="120"/>
        <w:jc w:val="both"/>
      </w:pPr>
      <w:r>
        <w:rPr>
          <w:rFonts w:ascii="Calibri" w:hAnsi="Calibri"/>
          <w:sz w:val="22"/>
        </w:rPr>
        <w:t>Distribuição por categoria: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Categoria</w:t>
            </w:r>
          </w:p>
        </w:tc>
        <w:tc>
          <w:tcPr>
            <w:tcW w:type="dxa" w:w="4419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Casos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Números (tipo, lexema, posição)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5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Operadores (+, -, *, /)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Parênteses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Expressões completas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6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Espaços em branco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8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Comentários (extensão #)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Erros léxicos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7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Token EOF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2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Representação str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3</w:t>
            </w:r>
          </w:p>
        </w:tc>
      </w:tr>
      <w:tr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Total</w:t>
            </w:r>
          </w:p>
        </w:tc>
        <w:tc>
          <w:tcPr>
            <w:tcW w:type="dxa" w:w="4419"/>
            <w:vAlign w:val="center"/>
          </w:tcPr>
          <w:p>
            <w:r/>
            <w:r>
              <w:rPr>
                <w:rFonts w:ascii="Calibri" w:hAnsi="Calibri"/>
                <w:sz w:val="22"/>
              </w:rPr>
              <w:t>43</w:t>
            </w:r>
          </w:p>
        </w:tc>
      </w:tr>
    </w:tbl>
    <w:p/>
    <w:p>
      <w:pPr>
        <w:spacing w:after="120"/>
        <w:jc w:val="both"/>
      </w:pPr>
      <w:r>
        <w:rPr>
          <w:rFonts w:ascii="Calibri" w:hAnsi="Calibri"/>
          <w:sz w:val="22"/>
        </w:rPr>
        <w:t>Destaques: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test_exemplo_do_enunciado</w:t>
      </w:r>
      <w:r>
        <w:rPr>
          <w:rFonts w:ascii="Calibri" w:hAnsi="Calibri"/>
          <w:sz w:val="22"/>
        </w:rPr>
        <w:t xml:space="preserve"> verifica token por token (tipo, lexema e posição) contra o exemplo literal do enunciado, garantindo conformidade total.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</w:r>
      <w:r>
        <w:rPr>
          <w:rFonts w:ascii="Consolas" w:hAnsi="Consolas"/>
          <w:sz w:val="20"/>
        </w:rPr>
        <w:t>test_posicao_com_espacos</w:t>
      </w:r>
      <w:r>
        <w:rPr>
          <w:rFonts w:ascii="Calibri" w:hAnsi="Calibri"/>
          <w:sz w:val="22"/>
        </w:rPr>
        <w:t xml:space="preserve"> verifica que as posições são do caractere de início do token na string original, não do token na sequência de tokens.</w:t>
      </w:r>
    </w:p>
    <w:p>
      <w:pPr>
        <w:pStyle w:val="ListBullet"/>
        <w:spacing w:after="60"/>
      </w:pPr>
      <w:r>
        <w:rPr>
          <w:rFonts w:ascii="Calibri" w:hAnsi="Calibri"/>
          <w:sz w:val="22"/>
        </w:rPr>
        <w:t xml:space="preserve">Todos os testes de erro verificam não apenas que o 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 é levantado, mas também que a posição reportada é a correta.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7. Arquivos de exemplo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Quatro arquivos </w:t>
      </w:r>
      <w:r>
        <w:rPr>
          <w:rFonts w:ascii="Consolas" w:hAnsi="Consolas"/>
          <w:sz w:val="20"/>
        </w:rPr>
        <w:t>.ec1</w:t>
      </w:r>
      <w:r>
        <w:rPr>
          <w:rFonts w:ascii="Calibri" w:hAnsi="Calibri"/>
          <w:sz w:val="22"/>
        </w:rPr>
        <w:t xml:space="preserve"> foram criados em </w:t>
      </w:r>
      <w:r>
        <w:rPr>
          <w:rFonts w:ascii="Consolas" w:hAnsi="Consolas"/>
          <w:sz w:val="20"/>
        </w:rPr>
        <w:t>exemplos/</w:t>
      </w:r>
      <w:r>
        <w:rPr>
          <w:rFonts w:ascii="Calibri" w:hAnsi="Calibri"/>
          <w:sz w:val="22"/>
        </w:rPr>
        <w:t>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Arquivo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Conteúdo</w:t>
            </w:r>
          </w:p>
        </w:tc>
        <w:tc>
          <w:tcPr>
            <w:tcW w:type="dxa" w:w="2946"/>
            <w:shd w:val="clear" w:color="auto" w:fill="1F3A5F"/>
            <w:vAlign w:val="center"/>
          </w:tcPr>
          <w:p>
            <w:r/>
            <w:r>
              <w:rPr>
                <w:rFonts w:ascii="Calibri" w:hAnsi="Calibri"/>
                <w:b/>
                <w:color w:val="FFFFFF"/>
                <w:sz w:val="22"/>
              </w:rPr>
              <w:t>Resultado esperado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valido1.ec1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(33 + (912 * 11))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9 tokens válidos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valido2.ec1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((427 / 7) + (11 * (231 + 5)))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17 tokens válidos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valido3.ec1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Expressão aninhada com comentário e indentação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13 tokens válidos</w:t>
            </w:r>
          </w:p>
        </w:tc>
      </w:tr>
      <w:tr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invalido.ec1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(12 x 5)</w:t>
            </w:r>
          </w:p>
        </w:tc>
        <w:tc>
          <w:tcPr>
            <w:tcW w:type="dxa" w:w="2946"/>
            <w:vAlign w:val="center"/>
          </w:tcPr>
          <w:p>
            <w:r/>
            <w:r>
              <w:rPr>
                <w:rFonts w:ascii="Calibri" w:hAnsi="Calibri"/>
                <w:sz w:val="22"/>
              </w:rPr>
              <w:t>Erro léxico na posição 4</w:t>
            </w:r>
          </w:p>
        </w:tc>
      </w:tr>
    </w:tbl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Estrutura de arquivos entregue</w:t>
      </w:r>
    </w:p>
    <w:p>
      <w:pPr>
        <w:spacing w:before="80" w:after="160"/>
        <w:ind w:left="283"/>
        <w:shd w:val="clear" w:color="auto" w:fill="F4F4F4"/>
      </w:pPr>
      <w:r>
        <w:rPr>
          <w:rFonts w:ascii="Consolas" w:hAnsi="Consolas"/>
          <w:sz w:val="19"/>
        </w:rPr>
        <w:t>ec1_lexer/</w:t>
      </w:r>
      <w:r>
        <w:br/>
      </w:r>
      <w:r>
        <w:rPr>
          <w:rFonts w:ascii="Consolas" w:hAnsi="Consolas"/>
          <w:sz w:val="19"/>
        </w:rPr>
        <w:t>├── lexer.py              ← implementação principal</w:t>
      </w:r>
      <w:r>
        <w:br/>
      </w:r>
      <w:r>
        <w:rPr>
          <w:rFonts w:ascii="Consolas" w:hAnsi="Consolas"/>
          <w:sz w:val="19"/>
        </w:rPr>
        <w:t>├── tests/</w:t>
      </w:r>
      <w:r>
        <w:br/>
      </w:r>
      <w:r>
        <w:rPr>
          <w:rFonts w:ascii="Consolas" w:hAnsi="Consolas"/>
          <w:sz w:val="19"/>
        </w:rPr>
        <w:t>│   └── test_lexer.py     ← 43 testes automatizados</w:t>
      </w:r>
      <w:r>
        <w:br/>
      </w:r>
      <w:r>
        <w:rPr>
          <w:rFonts w:ascii="Consolas" w:hAnsi="Consolas"/>
          <w:sz w:val="19"/>
        </w:rPr>
        <w:t>├── exemplos/</w:t>
      </w:r>
      <w:r>
        <w:br/>
      </w:r>
      <w:r>
        <w:rPr>
          <w:rFonts w:ascii="Consolas" w:hAnsi="Consolas"/>
          <w:sz w:val="19"/>
        </w:rPr>
        <w:t>│   ├── valido1.ec1</w:t>
      </w:r>
      <w:r>
        <w:br/>
      </w:r>
      <w:r>
        <w:rPr>
          <w:rFonts w:ascii="Consolas" w:hAnsi="Consolas"/>
          <w:sz w:val="19"/>
        </w:rPr>
        <w:t>│   ├── valido2.ec1</w:t>
      </w:r>
      <w:r>
        <w:br/>
      </w:r>
      <w:r>
        <w:rPr>
          <w:rFonts w:ascii="Consolas" w:hAnsi="Consolas"/>
          <w:sz w:val="19"/>
        </w:rPr>
        <w:t>│   ├── valido3.ec1</w:t>
      </w:r>
      <w:r>
        <w:br/>
      </w:r>
      <w:r>
        <w:rPr>
          <w:rFonts w:ascii="Consolas" w:hAnsi="Consolas"/>
          <w:sz w:val="19"/>
        </w:rPr>
        <w:t>│   └── invalido.ec1</w:t>
      </w:r>
      <w:r>
        <w:br/>
      </w:r>
      <w:r>
        <w:rPr>
          <w:rFonts w:ascii="Consolas" w:hAnsi="Consolas"/>
          <w:sz w:val="19"/>
        </w:rPr>
        <w:t>├── README.md             ← instruções de uso e execução</w:t>
      </w:r>
      <w:r>
        <w:br/>
      </w:r>
      <w:r>
        <w:rPr>
          <w:rFonts w:ascii="Consolas" w:hAnsi="Consolas"/>
          <w:sz w:val="19"/>
        </w:rPr>
        <w:t>├── PLANO.md              ← plano das próximas etapas</w:t>
      </w:r>
      <w:r>
        <w:br/>
      </w:r>
      <w:r>
        <w:rPr>
          <w:rFonts w:ascii="Consolas" w:hAnsi="Consolas"/>
          <w:sz w:val="19"/>
        </w:rPr>
        <w:t>└── RELATORIO.md          ← este arquivo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8"/>
        </w:rPr>
        <w:t>Decisões de projeto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dataclass para Token?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Fornece </w:t>
      </w:r>
      <w:r>
        <w:rPr>
          <w:rFonts w:ascii="Consolas" w:hAnsi="Consolas"/>
          <w:sz w:val="20"/>
        </w:rPr>
        <w:t>__eq__</w:t>
      </w:r>
      <w:r>
        <w:rPr>
          <w:rFonts w:ascii="Calibri" w:hAnsi="Calibri"/>
          <w:sz w:val="22"/>
        </w:rPr>
        <w:t xml:space="preserve"> automático por valor, o que permite comparações diretas nos testes (</w:t>
      </w:r>
      <w:r>
        <w:rPr>
          <w:rFonts w:ascii="Consolas" w:hAnsi="Consolas"/>
          <w:sz w:val="20"/>
        </w:rPr>
        <w:t>self.assertEqual(toks, esperado)</w:t>
      </w:r>
      <w:r>
        <w:rPr>
          <w:rFonts w:ascii="Calibri" w:hAnsi="Calibri"/>
          <w:sz w:val="22"/>
        </w:rPr>
        <w:t>) sem código extra.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separar cada operador em tipo próprio em vez de um tipo genérico OPERADOR?</w:t>
      </w:r>
    </w:p>
    <w:p>
      <w:pPr>
        <w:spacing w:after="120"/>
        <w:jc w:val="both"/>
      </w:pPr>
      <w:r>
        <w:rPr>
          <w:rFonts w:ascii="Calibri" w:hAnsi="Calibri"/>
          <w:sz w:val="22"/>
        </w:rPr>
        <w:t>O enunciado recomenda explicitamente esta abordagem para facilitar as etapas seguintes do compilador (análise sintática e geração de código), que precisarão distinguir os operadores.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Por que frozenset para ESPACOS e dict para CHAR_SIMPLES?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Ambos oferecem lookup O(1). O </w:t>
      </w:r>
      <w:r>
        <w:rPr>
          <w:rFonts w:ascii="Consolas" w:hAnsi="Consolas"/>
          <w:sz w:val="20"/>
        </w:rPr>
        <w:t>frozenset</w:t>
      </w:r>
      <w:r>
        <w:rPr>
          <w:rFonts w:ascii="Calibri" w:hAnsi="Calibri"/>
          <w:sz w:val="22"/>
        </w:rPr>
        <w:t xml:space="preserve"> deixa claro que o conjunto é imutável; o </w:t>
      </w:r>
      <w:r>
        <w:rPr>
          <w:rFonts w:ascii="Consolas" w:hAnsi="Consolas"/>
          <w:sz w:val="20"/>
        </w:rPr>
        <w:t>dict</w:t>
      </w:r>
      <w:r>
        <w:rPr>
          <w:rFonts w:ascii="Calibri" w:hAnsi="Calibri"/>
          <w:sz w:val="22"/>
        </w:rPr>
        <w:t xml:space="preserve"> mapeia diretamente do caractere para o tipo, eliminando um bloco de </w:t>
      </w:r>
      <w:r>
        <w:rPr>
          <w:rFonts w:ascii="Consolas" w:hAnsi="Consolas"/>
          <w:sz w:val="20"/>
        </w:rPr>
        <w:t>if/elif</w:t>
      </w:r>
      <w:r>
        <w:rPr>
          <w:rFonts w:ascii="Calibri" w:hAnsi="Calibri"/>
          <w:sz w:val="22"/>
        </w:rPr>
        <w:t>.</w:t>
      </w:r>
    </w:p>
    <w:p>
      <w:pPr>
        <w:spacing w:before="280" w:after="120"/>
      </w:pPr>
      <w:r>
        <w:rPr>
          <w:rFonts w:ascii="Calibri" w:hAnsi="Calibri"/>
          <w:b/>
          <w:color w:val="1F3A5F"/>
          <w:sz w:val="24"/>
        </w:rPr>
        <w:t>Tratamento de erro: parar no primeiro erro vs. continuar</w:t>
      </w:r>
    </w:p>
    <w:p>
      <w:pPr>
        <w:spacing w:after="120"/>
        <w:jc w:val="both"/>
      </w:pPr>
      <w:r>
        <w:rPr>
          <w:rFonts w:ascii="Calibri" w:hAnsi="Calibri"/>
          <w:sz w:val="22"/>
        </w:rPr>
        <w:t xml:space="preserve">O enunciado apresenta as duas opções. Foi escolhida a abordagem de parar no primeiro erro, que é mais simples de implementar e suficiente para esta etapa. A interface </w:t>
      </w:r>
      <w:r>
        <w:rPr>
          <w:rFonts w:ascii="Consolas" w:hAnsi="Consolas"/>
          <w:sz w:val="20"/>
        </w:rPr>
        <w:t>proximo_token()</w:t>
      </w:r>
      <w:r>
        <w:rPr>
          <w:rFonts w:ascii="Calibri" w:hAnsi="Calibri"/>
          <w:sz w:val="22"/>
        </w:rPr>
        <w:t xml:space="preserve"> levanta </w:t>
      </w:r>
      <w:r>
        <w:rPr>
          <w:rFonts w:ascii="Consolas" w:hAnsi="Consolas"/>
          <w:sz w:val="20"/>
        </w:rPr>
        <w:t>ErroLexico</w:t>
      </w:r>
      <w:r>
        <w:rPr>
          <w:rFonts w:ascii="Calibri" w:hAnsi="Calibri"/>
          <w:sz w:val="22"/>
        </w:rPr>
        <w:t xml:space="preserve"> imediatamente, o que permite que um eventual analisador sintático futuro decida como tratar a situação.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