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Crítica textual, ecdótica y edición de textos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Historia de la lengua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Teoría literaria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Historia de la literatura medieval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Literatura hispánica medieval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Historiografía medieval castellana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Español de América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Historia del libro y la lectura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Estudios sobre la traducción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Literatura latina medieval en el ámbito hispánico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Crítica genética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Codicología y bibliografía material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Lírica medieval románica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Humanidades digitales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Humanismo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Quattrocento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