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mbria" w:hAnsi="Cambria"/>
          <w:b/>
          <w:sz w:val="24"/>
        </w:rPr>
        <w:t>III - DO MERITO</w:t>
      </w:r>
    </w:p>
    <w:p>
      <w:pPr>
        <w:spacing w:line="360" w:lineRule="auto" w:after="120"/>
        <w:jc w:val="both"/>
      </w:pPr>
      <w:r>
        <w:rPr>
          <w:rFonts w:ascii="Cambria" w:hAnsi="Cambria"/>
          <w:sz w:val="24"/>
        </w:rPr>
        <w:t>Bloco de teste sintetico. As secoes anteriores (qualificacao, preliminares, merito comum) seriam preenchidas pelo redator-replica-nao-contratado a partir do `_analise.json` do caso real. Aqui isolamos apenas a injecao da secao III.X para validar o pipeline pericial.</w:t>
      </w:r>
    </w:p>
    <w:p>
      <w:pPr>
        <w:spacing w:before="240" w:after="120"/>
        <w:jc w:val="center"/>
      </w:pPr>
      <w:r>
        <w:rPr>
          <w:rFonts w:ascii="Cambria" w:hAnsi="Cambria"/>
          <w:b/>
          <w:sz w:val="24"/>
        </w:rPr>
        <w:t>Dos contratos digitais</w:t>
      </w:r>
    </w:p>
    <w:p>
      <w:pPr>
        <w:spacing w:line="360" w:lineRule="auto" w:after="120"/>
        <w:jc w:val="both"/>
      </w:pPr>
      <w:r>
        <w:rPr>
          <w:rFonts w:ascii="Cambria" w:hAnsi="Cambria"/>
          <w:sz w:val="24"/>
        </w:rPr>
        <w:t>A parte autora desconhece totalmente os supostos contratos digitais apresentados pelo banco reu, jamais tendo manifestado vontade de contratar emprestimo consignado, sequer acessado plataforma digital do banco para tal fim.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Contrato</w:t>
            </w:r>
          </w:p>
        </w:tc>
        <w:tc>
          <w:tcPr>
            <w:tcW w:type="dxa" w:w="1881"/>
          </w:tcPr>
          <w:p>
            <w:r>
              <w:t>Data alegada</w:t>
            </w:r>
          </w:p>
        </w:tc>
        <w:tc>
          <w:tcPr>
            <w:tcW w:type="dxa" w:w="1881"/>
          </w:tcPr>
          <w:p>
            <w:r>
              <w:t>Valor liberado</w:t>
            </w:r>
          </w:p>
        </w:tc>
        <w:tc>
          <w:tcPr>
            <w:tcW w:type="dxa" w:w="1881"/>
          </w:tcPr>
          <w:p>
            <w:r>
              <w:t>Localização nos autos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</w:tr>
      <w:tr>
        <w:tc>
          <w:tcPr>
            <w:tcW w:type="dxa" w:w="1881"/>
          </w:tcPr>
          <w:p>
            <w:r>
              <w:t>901301 61082 (ADE 57130823)</w:t>
            </w:r>
          </w:p>
        </w:tc>
        <w:tc>
          <w:tcPr>
            <w:tcW w:type="dxa" w:w="1881"/>
          </w:tcPr>
          <w:p>
            <w:r>
              <w:t>2023-12-19</w:t>
            </w:r>
          </w:p>
        </w:tc>
        <w:tc>
          <w:tcPr>
            <w:tcW w:type="dxa" w:w="1881"/>
          </w:tcPr>
          <w:p>
            <w:r>
              <w:t>R$ 9.195,86</w:t>
            </w:r>
          </w:p>
        </w:tc>
        <w:tc>
          <w:tcPr>
            <w:tcW w:type="dxa" w:w="1881"/>
          </w:tcPr>
          <w:p>
            <w:r>
              <w:t>Ev18.3 - paginas 239-249</w:t>
            </w:r>
          </w:p>
        </w:tc>
        <w:tc>
          <w:tcPr>
            <w:tcW w:type="dxa" w:w="1881"/>
          </w:tcPr>
          <w:p>
            <w:r>
              <w:t>ATIVO</w:t>
            </w:r>
          </w:p>
        </w:tc>
      </w:tr>
      <w:tr>
        <w:tc>
          <w:tcPr>
            <w:tcW w:type="dxa" w:w="1881"/>
          </w:tcPr>
          <w:p>
            <w:r>
              <w:t>901301 61362 (ADE 57130824)</w:t>
            </w:r>
          </w:p>
        </w:tc>
        <w:tc>
          <w:tcPr>
            <w:tcW w:type="dxa" w:w="1881"/>
          </w:tcPr>
          <w:p>
            <w:r>
              <w:t>2023-12-19</w:t>
            </w:r>
          </w:p>
        </w:tc>
        <w:tc>
          <w:tcPr>
            <w:tcW w:type="dxa" w:w="1881"/>
          </w:tcPr>
          <w:p>
            <w:r>
              <w:t>R$ 6.500,00</w:t>
            </w:r>
          </w:p>
        </w:tc>
        <w:tc>
          <w:tcPr>
            <w:tcW w:type="dxa" w:w="1881"/>
          </w:tcPr>
          <w:p>
            <w:r>
              <w:t>Ev18.4 - paginas 250-260</w:t>
            </w:r>
          </w:p>
        </w:tc>
        <w:tc>
          <w:tcPr>
            <w:tcW w:type="dxa" w:w="1881"/>
          </w:tcPr>
          <w:p>
            <w:r>
              <w:t>ATIVO</w:t>
            </w:r>
          </w:p>
        </w:tc>
      </w:tr>
    </w:tbl>
    <w:p>
      <w:pPr>
        <w:spacing w:before="240" w:after="120"/>
        <w:jc w:val="left"/>
      </w:pPr>
      <w:r>
        <w:rPr>
          <w:rFonts w:ascii="Cambria" w:hAnsi="Cambria"/>
          <w:b/>
          <w:sz w:val="24"/>
        </w:rPr>
        <w:t>Da moldura técnica geral da contratação digital</w:t>
      </w:r>
    </w:p>
    <w:p>
      <w:pPr>
        <w:spacing w:line="360" w:lineRule="auto" w:before="120" w:after="120"/>
        <w:jc w:val="both"/>
      </w:pPr>
      <w:r>
        <w:rPr>
          <w:rFonts w:ascii="Cambria" w:hAnsi="Cambria"/>
          <w:b/>
          <w:sz w:val="24"/>
          <w:highlight w:val="yellow"/>
        </w:rPr>
        <w:t>&gt;&gt;&gt; [INSERIR MANUALMENTE — PILOTO FIXO — Lei 14.063/2020 (3 tipos de assinatura eletrônica) + MP 2.200-2/2001 (assinatura digital ICP-Brasil e equivalentes) + Resolução CMN 5.057/2022 (correspondentes bancários e contratação eletrônica). Bloco doutrinário padrão do escritório — copiar do acervo.] &lt;&lt;&lt;</w:t>
      </w:r>
    </w:p>
    <w:p/>
    <w:p/>
    <w:p>
      <w:pPr>
        <w:spacing w:before="240" w:after="120"/>
        <w:jc w:val="left"/>
      </w:pPr>
      <w:r>
        <w:rPr>
          <w:rFonts w:ascii="Cambria" w:hAnsi="Cambria"/>
          <w:b/>
          <w:sz w:val="24"/>
        </w:rPr>
        <w:t>Da régua biométrica — 11 requisitos de selfie e liveness</w:t>
      </w:r>
    </w:p>
    <w:p>
      <w:pPr>
        <w:spacing w:line="360" w:lineRule="auto" w:before="120" w:after="120"/>
        <w:jc w:val="both"/>
      </w:pPr>
      <w:r>
        <w:rPr>
          <w:rFonts w:ascii="Cambria" w:hAnsi="Cambria"/>
          <w:b/>
          <w:sz w:val="24"/>
          <w:highlight w:val="yellow"/>
        </w:rPr>
        <w:t>&gt;&gt;&gt; [INSERIR MANUALMENTE — PILOTO FIXO — 11 requisitos da Nota Técnica do INSS (IN 138/2022 e IN 162/2024) + ISO/IEC 30107-3 (liveness) + IEEE Std 2790-2020. Bloco doutrinário padrão — copiar do acervo.] &lt;&lt;&lt;</w:t>
      </w:r>
    </w:p>
    <w:p/>
    <w:p/>
    <w:p>
      <w:pPr>
        <w:spacing w:before="240" w:after="120"/>
        <w:jc w:val="left"/>
      </w:pPr>
      <w:r>
        <w:rPr>
          <w:rFonts w:ascii="Cambria" w:hAnsi="Cambria"/>
          <w:b/>
          <w:sz w:val="24"/>
        </w:rPr>
        <w:t>Da régua da assinatura digital — Validador ITI</w:t>
      </w:r>
    </w:p>
    <w:p>
      <w:pPr>
        <w:spacing w:line="360" w:lineRule="auto" w:before="120" w:after="120"/>
        <w:jc w:val="both"/>
      </w:pPr>
      <w:r>
        <w:rPr>
          <w:rFonts w:ascii="Cambria" w:hAnsi="Cambria"/>
          <w:b/>
          <w:sz w:val="24"/>
          <w:highlight w:val="yellow"/>
        </w:rPr>
        <w:t>&gt;&gt;&gt; [INSERIR MANUALMENTE — PILOTO FIXO — Validador oficial do ITI (validar.iti.gov.br), MP 2.200-2/2001 art. 10 §1º, Lei 14.063/2020. Bloco doutrinário padrão — copiar do acervo. ANEXAR: print do validador para cada contrato impugnado, demonstrando assinatura INVÁLIDA.] &lt;&lt;&lt;</w:t>
      </w:r>
    </w:p>
    <w:p/>
    <w:p/>
    <w:p>
      <w:pPr>
        <w:spacing w:before="240" w:after="120"/>
        <w:jc w:val="left"/>
      </w:pPr>
      <w:r>
        <w:rPr>
          <w:rFonts w:ascii="Cambria" w:hAnsi="Cambria"/>
          <w:b/>
          <w:sz w:val="24"/>
        </w:rPr>
        <w:t>Das inconsistências individuais por contrato</w:t>
      </w:r>
    </w:p>
    <w:p>
      <w:pPr>
        <w:spacing w:before="240" w:after="120"/>
        <w:jc w:val="left"/>
      </w:pPr>
      <w:r>
        <w:rPr>
          <w:rFonts w:ascii="Cambria" w:hAnsi="Cambria"/>
          <w:b/>
          <w:sz w:val="24"/>
        </w:rPr>
        <w:t>Do contrato nº 901301 61082 (ADE 57130823)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Cód.</w:t>
            </w:r>
          </w:p>
        </w:tc>
        <w:tc>
          <w:tcPr>
            <w:tcW w:type="dxa" w:w="3135"/>
          </w:tcPr>
          <w:p>
            <w:r>
              <w:t>Achado</w:t>
            </w:r>
          </w:p>
        </w:tc>
        <w:tc>
          <w:tcPr>
            <w:tcW w:type="dxa" w:w="3135"/>
          </w:tcPr>
          <w:p>
            <w:r>
              <w:t>Risco</w:t>
            </w:r>
          </w:p>
        </w:tc>
      </w:tr>
      <w:tr>
        <w:tc>
          <w:tcPr>
            <w:tcW w:type="dxa" w:w="3135"/>
          </w:tcPr>
          <w:p>
            <w:r>
              <w:t>A.1</w:t>
            </w:r>
          </w:p>
        </w:tc>
        <w:tc>
          <w:tcPr>
            <w:tcW w:type="dxa" w:w="3135"/>
          </w:tcPr>
          <w:p>
            <w:r>
              <w:t>Do campo de e-mail vazio na CCB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B.1</w:t>
            </w:r>
          </w:p>
        </w:tc>
        <w:tc>
          <w:tcPr>
            <w:tcW w:type="dxa" w:w="3135"/>
          </w:tcPr>
          <w:p>
            <w:r>
              <w:t>Da assinatura inválida no validador ITI</w:t>
            </w:r>
          </w:p>
        </w:tc>
        <w:tc>
          <w:tcPr>
            <w:tcW w:type="dxa" w:w="3135"/>
          </w:tcPr>
          <w:p>
            <w:r>
              <w:t>manual</w:t>
            </w:r>
          </w:p>
        </w:tc>
      </w:tr>
      <w:tr>
        <w:tc>
          <w:tcPr>
            <w:tcW w:type="dxa" w:w="3135"/>
          </w:tcPr>
          <w:p>
            <w:r>
              <w:t>C.3</w:t>
            </w:r>
          </w:p>
        </w:tc>
        <w:tc>
          <w:tcPr>
            <w:tcW w:type="dxa" w:w="3135"/>
          </w:tcPr>
          <w:p>
            <w:r>
              <w:t>Do hash idêntico entre contratos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D.1</w:t>
            </w:r>
          </w:p>
        </w:tc>
        <w:tc>
          <w:tcPr>
            <w:tcW w:type="dxa" w:w="3135"/>
          </w:tcPr>
          <w:p>
            <w:r>
              <w:t>Dos metadados — criação posterior à data alegada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E.1</w:t>
            </w:r>
          </w:p>
        </w:tc>
        <w:tc>
          <w:tcPr>
            <w:tcW w:type="dxa" w:w="3135"/>
          </w:tcPr>
          <w:p>
            <w:r>
              <w:t>Do IP em rede privada (RFC 1918)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G.1</w:t>
            </w:r>
          </w:p>
        </w:tc>
        <w:tc>
          <w:tcPr>
            <w:tcW w:type="dxa" w:w="3135"/>
          </w:tcPr>
          <w:p>
            <w:r>
              <w:t>Da sessão compartilhada entre contratos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H.2</w:t>
            </w:r>
          </w:p>
        </w:tc>
        <w:tc>
          <w:tcPr>
            <w:tcW w:type="dxa" w:w="3135"/>
          </w:tcPr>
          <w:p>
            <w:r>
              <w:t>Da selfie reutilizada entre contratos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I.1</w:t>
            </w:r>
          </w:p>
        </w:tc>
        <w:tc>
          <w:tcPr>
            <w:tcW w:type="dxa" w:w="3135"/>
          </w:tcPr>
          <w:p>
            <w:r>
              <w:t>Do correspondente bancário em cidade distante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L.3</w:t>
            </w:r>
          </w:p>
        </w:tc>
        <w:tc>
          <w:tcPr>
            <w:tcW w:type="dxa" w:w="3135"/>
          </w:tcPr>
          <w:p>
            <w:r>
              <w:t>Do depósito em conta diversa daquela em que recebia o INSS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</w:tbl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A.1 — Do campo de e-mail vazio na CCB.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Campo e-mail vazio na CCB do contrato 901301 61082, em contratacao supostamente digital essa ausencia e injustificavel.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merito-probatorio-digital/inconsistencias-dados-cadastrais]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B.1 — Da assinatura inválida no validador ITI.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Validador ITI requer print externo manual.</w:t>
      </w:r>
    </w:p>
    <w:p>
      <w:pPr>
        <w:spacing w:line="360" w:lineRule="auto" w:after="120"/>
        <w:jc w:val="both"/>
      </w:pPr>
      <w:r>
        <w:rPr>
          <w:rFonts w:ascii="Cambria" w:hAnsi="Cambria"/>
          <w:sz w:val="24"/>
        </w:rPr>
        <w:t>[INSERIR - Imagem: print do validador ITI para o contrato 901301 61082]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merito-probatorio-digital/assinatura-invalida-validador-iti]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C.3 — Do hash idêntico entre contratos.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Hash SHA-256 do termo INSS e do cadastro identico entre os contratos 901301 61082 e 901301 61362, demonstrando que os arquivos foram clonados, e nao gerados em sessoes individualizadas.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merito-probatorio-digital/hash-id-ntico-entre-contratos]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D.1 — Dos metadados — criação posterior à data alegada.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Metadados do PDF revelam software Aspose.PDF for .NET 22.10 e data de criacao 15/01/2024, posterior a data alegada do contrato (19/12/2023), evidenciando que o documento foi gerado posteriormente, nao na sessao de aceite.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merito-probatorio-digital/analise-metadados]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E.1 — Do IP em rede privada (RFC 1918).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IP registrado 10.1.1.1, faixa privada RFC 1918, incompativel com conexao publica de internet domestica e identico ao do contrato 901301 61362.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merito-probatorio-digital/ip-desconhecido]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G.1 — Da sessão compartilhada entre contratos.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Mesma session ID (sess_abc123) compartilhada entre os contratos 901301 61082 e 901301 61362, com aceite registrado no mesmo segundo (14:23:05 do dia 19/12/2023), inviabilizando alegacao de sessoes humanas individualizadas.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merito-probatorio-digital/inconsistencias-trilha-auditoria]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H.2 — Da selfie reutilizada entre contratos.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Selfie do contrato 901301 61082 reutilizada no contrato 901301 61362, mesma imagem facial, mesma roupa e mesma posicao corporea, descaracterizando captura biometrica individualizada.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merito-probatorio-digital/selfie-liveness]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I.1 — Do correspondente bancário em cidade distante.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Correspondente bancario indicado FONTES PROMOTORA, sediada em Florianopolis/SC, distante aproximadamente 3.500 km da residencia da autora em Alagoas, originou os dois contratos no mesmo dia.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merito-probatorio-misto/dados-correspondente-originador]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L.3 — Do depósito em conta diversa daquela em que recebia o INSS.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TED no valor de R$ 4.307,15 destinado ao Bradesco, agencia 3169, conta 1015906-7, conta diversa daquela em que a autora recebia seu beneficio previdenciario (Banco do Brasil, conforme HISCRE nas competencias 10/2023, 11/2023 e 12/2023). A autora nao percebeu o referido deposito dentre os multiplos lancamentos do extrato.</w:t>
      </w:r>
    </w:p>
    <w:p>
      <w:pPr>
        <w:spacing w:line="360" w:lineRule="auto" w:after="120"/>
        <w:jc w:val="both"/>
      </w:pPr>
      <w:r>
        <w:rPr>
          <w:rFonts w:ascii="Cambria" w:hAnsi="Cambria"/>
          <w:sz w:val="24"/>
          <w:highlight w:val="yellow"/>
        </w:rPr>
        <w:t>Aciona-se a tese da compensação: o depósito não é prova de contratação, mas elemento da própria fraude. Em eventual procedência, autoriza-se a compensação dos valores efetivamente creditados para evitar enriquecimento ilícito.</w:t>
      </w:r>
    </w:p>
    <w:p>
      <w:pPr>
        <w:jc w:val="left"/>
      </w:pPr>
      <w:r>
        <w:rPr>
          <w:rFonts w:ascii="Cambria" w:hAnsi="Cambria"/>
          <w:i/>
          <w:sz w:val="20"/>
        </w:rPr>
        <w:t>[piloto: merito-argumentativo/compensacao-valores-tese-nova]</w:t>
      </w:r>
    </w:p>
    <w:p>
      <w:pPr>
        <w:spacing w:before="240" w:after="120"/>
        <w:jc w:val="left"/>
      </w:pPr>
      <w:r>
        <w:rPr>
          <w:rFonts w:ascii="Cambria" w:hAnsi="Cambria"/>
          <w:b/>
          <w:sz w:val="24"/>
        </w:rPr>
        <w:t>Do contrato nº 901301 61362 (ADE 57130824)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Cód.</w:t>
            </w:r>
          </w:p>
        </w:tc>
        <w:tc>
          <w:tcPr>
            <w:tcW w:type="dxa" w:w="3135"/>
          </w:tcPr>
          <w:p>
            <w:r>
              <w:t>Achado</w:t>
            </w:r>
          </w:p>
        </w:tc>
        <w:tc>
          <w:tcPr>
            <w:tcW w:type="dxa" w:w="3135"/>
          </w:tcPr>
          <w:p>
            <w:r>
              <w:t>Risco</w:t>
            </w:r>
          </w:p>
        </w:tc>
      </w:tr>
      <w:tr>
        <w:tc>
          <w:tcPr>
            <w:tcW w:type="dxa" w:w="3135"/>
          </w:tcPr>
          <w:p>
            <w:r>
              <w:t>A.1</w:t>
            </w:r>
          </w:p>
        </w:tc>
        <w:tc>
          <w:tcPr>
            <w:tcW w:type="dxa" w:w="3135"/>
          </w:tcPr>
          <w:p>
            <w:r>
              <w:t>Do campo de e-mail vazio na CCB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C.3</w:t>
            </w:r>
          </w:p>
        </w:tc>
        <w:tc>
          <w:tcPr>
            <w:tcW w:type="dxa" w:w="3135"/>
          </w:tcPr>
          <w:p>
            <w:r>
              <w:t>Do hash idêntico entre contratos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E.1</w:t>
            </w:r>
          </w:p>
        </w:tc>
        <w:tc>
          <w:tcPr>
            <w:tcW w:type="dxa" w:w="3135"/>
          </w:tcPr>
          <w:p>
            <w:r>
              <w:t>Do IP em rede privada (RFC 1918)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G.1</w:t>
            </w:r>
          </w:p>
        </w:tc>
        <w:tc>
          <w:tcPr>
            <w:tcW w:type="dxa" w:w="3135"/>
          </w:tcPr>
          <w:p>
            <w:r>
              <w:t>Da sessão compartilhada entre contratos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H.2</w:t>
            </w:r>
          </w:p>
        </w:tc>
        <w:tc>
          <w:tcPr>
            <w:tcW w:type="dxa" w:w="3135"/>
          </w:tcPr>
          <w:p>
            <w:r>
              <w:t>Da selfie reutilizada entre contratos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  <w:tr>
        <w:tc>
          <w:tcPr>
            <w:tcW w:type="dxa" w:w="3135"/>
          </w:tcPr>
          <w:p>
            <w:r>
              <w:t>I.1</w:t>
            </w:r>
          </w:p>
        </w:tc>
        <w:tc>
          <w:tcPr>
            <w:tcW w:type="dxa" w:w="3135"/>
          </w:tcPr>
          <w:p>
            <w:r>
              <w:t>Do correspondente bancário em cidade distante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</w:tr>
    </w:tbl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A.1 — Do campo de e-mail vazio na CCB.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Campo e-mail vazio na CCB do contrato 901301 61362, identico padrao detectado no contrato 901301 61082.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merito-probatorio-digital/inconsistencias-dados-cadastrais]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C.3 — Do hash idêntico entre contratos.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Hash SHA-256 do termo INSS e do cadastro identico ao contrato 901301 61082, demonstrando clonagem de arquivos.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merito-probatorio-digital/hash-id-ntico-entre-contratos]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E.1 — Do IP em rede privada (RFC 1918).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IP 10.1.1.1, identico ao do contrato 901301 61082, faixa privada RFC 1918.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merito-probatorio-digital/ip-desconhecido]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G.1 — Da sessão compartilhada entre contratos.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Mesma session ID e mesmo horario de aceite (14:23:05) do contrato 901301 61082, padrao incompativel com sessoes humanas distintas.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merito-probatorio-digital/inconsistencias-trilha-auditoria]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H.2 — Da selfie reutilizada entre contratos.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Selfie identica a do contrato 901301 61082.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merito-probatorio-digital/selfie-liveness]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I.1 — Do correspondente bancário em cidade distante.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  <w:highlight w:val="yellow"/>
        </w:rPr>
        <w:t>Mesmo correspondente FONTES PROMOTORA originou ambos os contratos no mesmo dia.</w:t>
      </w:r>
    </w:p>
    <w:p>
      <w:pPr>
        <w:jc w:val="left"/>
      </w:pPr>
      <w:r>
        <w:rPr>
          <w:rFonts w:ascii="Cambria" w:hAnsi="Cambria"/>
          <w:i/>
          <w:sz w:val="20"/>
        </w:rPr>
        <w:t>[piloto: merito-probatorio-misto/dados-correspondente-originador]</w:t>
      </w:r>
    </w:p>
    <w:p>
      <w:pPr>
        <w:spacing w:before="240" w:after="120"/>
        <w:jc w:val="left"/>
      </w:pPr>
      <w:r>
        <w:rPr>
          <w:rFonts w:ascii="Cambria" w:hAnsi="Cambria"/>
          <w:b/>
          <w:sz w:val="24"/>
        </w:rPr>
        <w:t>Da matriz cruzada entre os contratos digitais</w:t>
      </w:r>
    </w:p>
    <w:p>
      <w:pPr>
        <w:spacing w:line="360" w:lineRule="auto" w:after="120"/>
        <w:jc w:val="both"/>
      </w:pPr>
      <w:r>
        <w:rPr>
          <w:rFonts w:ascii="Cambria" w:hAnsi="Cambria"/>
          <w:sz w:val="24"/>
        </w:rPr>
        <w:t>Confrontando os contratos digitais entre si — IP, sessão, correspondente, horário do aceite, hashes SHA-256 e selfie — emergem padrões sistêmicos que reforçam a tese de fraude estruturada e descaracterizam a pretensa individualização técnica das contratações alegada pelo banco.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Campo</w:t>
            </w:r>
          </w:p>
        </w:tc>
        <w:tc>
          <w:tcPr>
            <w:tcW w:type="dxa" w:w="3135"/>
          </w:tcPr>
          <w:p>
            <w:r>
              <w:t>Valor por contrato</w:t>
            </w:r>
          </w:p>
        </w:tc>
        <w:tc>
          <w:tcPr>
            <w:tcW w:type="dxa" w:w="3135"/>
          </w:tcPr>
          <w:p>
            <w:r>
              <w:t>Padrão</w:t>
            </w:r>
          </w:p>
        </w:tc>
      </w:tr>
      <w:tr>
        <w:tc>
          <w:tcPr>
            <w:tcW w:type="dxa" w:w="3135"/>
          </w:tcPr>
          <w:p>
            <w:r>
              <w:t>IP</w:t>
            </w:r>
          </w:p>
        </w:tc>
        <w:tc>
          <w:tcPr>
            <w:tcW w:type="dxa" w:w="3135"/>
          </w:tcPr>
          <w:p>
            <w:r>
              <w:t>901301 61082: 10.1.1.1</w:t>
              <w:br/>
              <w:t>901301 61362: 10.1.1.1</w:t>
            </w:r>
          </w:p>
        </w:tc>
        <w:tc>
          <w:tcPr>
            <w:tcW w:type="dxa" w:w="3135"/>
          </w:tcPr>
          <w:p>
            <w:r>
              <w:t>✓ padrão detectado</w:t>
            </w:r>
          </w:p>
        </w:tc>
      </w:tr>
      <w:tr>
        <w:tc>
          <w:tcPr>
            <w:tcW w:type="dxa" w:w="3135"/>
          </w:tcPr>
          <w:p>
            <w:r>
              <w:t>SESSAO</w:t>
            </w:r>
          </w:p>
        </w:tc>
        <w:tc>
          <w:tcPr>
            <w:tcW w:type="dxa" w:w="3135"/>
          </w:tcPr>
          <w:p>
            <w:r>
              <w:t>901301 61082: sess_abc123</w:t>
              <w:br/>
              <w:t>901301 61362: sess_abc123</w:t>
            </w:r>
          </w:p>
        </w:tc>
        <w:tc>
          <w:tcPr>
            <w:tcW w:type="dxa" w:w="3135"/>
          </w:tcPr>
          <w:p>
            <w:r>
              <w:t>✓ padrão detectado</w:t>
            </w:r>
          </w:p>
        </w:tc>
      </w:tr>
      <w:tr>
        <w:tc>
          <w:tcPr>
            <w:tcW w:type="dxa" w:w="3135"/>
          </w:tcPr>
          <w:p>
            <w:r>
              <w:t>SELFIE_HASH</w:t>
            </w:r>
          </w:p>
        </w:tc>
        <w:tc>
          <w:tcPr>
            <w:tcW w:type="dxa" w:w="3135"/>
          </w:tcPr>
          <w:p>
            <w:r>
              <w:t>901301 61082: selfie_001</w:t>
              <w:br/>
              <w:t>901301 61362: selfie_001</w:t>
            </w:r>
          </w:p>
        </w:tc>
        <w:tc>
          <w:tcPr>
            <w:tcW w:type="dxa" w:w="3135"/>
          </w:tcPr>
          <w:p>
            <w:r>
              <w:t>✓ padrão detectado</w:t>
            </w:r>
          </w:p>
        </w:tc>
      </w:tr>
      <w:tr>
        <w:tc>
          <w:tcPr>
            <w:tcW w:type="dxa" w:w="3135"/>
          </w:tcPr>
          <w:p>
            <w:r>
              <w:t>CORRESPONDENTE</w:t>
            </w:r>
          </w:p>
        </w:tc>
        <w:tc>
          <w:tcPr>
            <w:tcW w:type="dxa" w:w="3135"/>
          </w:tcPr>
          <w:p>
            <w:r>
              <w:t>901301 61082: FONTES PROMOTORA</w:t>
              <w:br/>
              <w:t>901301 61362: FONTES PROMOTORA</w:t>
            </w:r>
          </w:p>
        </w:tc>
        <w:tc>
          <w:tcPr>
            <w:tcW w:type="dxa" w:w="3135"/>
          </w:tcPr>
          <w:p>
            <w:r>
              <w:t>✓ padrão detectado</w:t>
            </w:r>
          </w:p>
        </w:tc>
      </w:tr>
      <w:tr>
        <w:tc>
          <w:tcPr>
            <w:tcW w:type="dxa" w:w="3135"/>
          </w:tcPr>
          <w:p>
            <w:r>
              <w:t>HORARIO_ACEITE</w:t>
            </w:r>
          </w:p>
        </w:tc>
        <w:tc>
          <w:tcPr>
            <w:tcW w:type="dxa" w:w="3135"/>
          </w:tcPr>
          <w:p>
            <w:r>
              <w:t>901301 61082: 14:23:05</w:t>
              <w:br/>
              <w:t>901301 61362: 14:23:05</w:t>
            </w:r>
          </w:p>
        </w:tc>
        <w:tc>
          <w:tcPr>
            <w:tcW w:type="dxa" w:w="3135"/>
          </w:tcPr>
          <w:p>
            <w:r>
              <w:t>✓ padrão detectado</w:t>
            </w:r>
          </w:p>
        </w:tc>
      </w:tr>
      <w:tr>
        <w:tc>
          <w:tcPr>
            <w:tcW w:type="dxa" w:w="3135"/>
          </w:tcPr>
          <w:p>
            <w:r>
              <w:t>HASH_COMPONENTE_TERMO_CADASTRO</w:t>
            </w:r>
          </w:p>
        </w:tc>
        <w:tc>
          <w:tcPr>
            <w:tcW w:type="dxa" w:w="3135"/>
          </w:tcPr>
          <w:p>
            <w:r>
              <w:t>901301 61082: sha256:def456...</w:t>
              <w:br/>
              <w:t>901301 61362: sha256:def456...</w:t>
            </w:r>
          </w:p>
        </w:tc>
        <w:tc>
          <w:tcPr>
            <w:tcW w:type="dxa" w:w="3135"/>
          </w:tcPr>
          <w:p>
            <w:r>
              <w:t>✓ padrão detectado</w:t>
            </w:r>
          </w:p>
        </w:tc>
      </w:tr>
    </w:tbl>
    <w:p>
      <w:pPr>
        <w:spacing w:line="360" w:lineRule="auto" w:after="120"/>
        <w:jc w:val="both"/>
      </w:pPr>
      <w:r>
        <w:rPr>
          <w:rFonts w:ascii="Cambria" w:hAnsi="Cambria"/>
          <w:sz w:val="24"/>
          <w:highlight w:val="yellow"/>
        </w:rPr>
        <w:t>6 padroes sistemicos detectados (IP, sessao, selfie, correspondente, horario, hash) - esquema estruturado, aciona kit-fraude.</w:t>
      </w:r>
    </w:p>
    <w:p>
      <w:pPr>
        <w:spacing w:line="360" w:lineRule="auto" w:after="120"/>
        <w:jc w:val="both"/>
      </w:pPr>
      <w:r>
        <w:rPr>
          <w:rFonts w:ascii="Cambria" w:hAnsi="Cambria"/>
          <w:b/>
          <w:sz w:val="24"/>
        </w:rPr>
        <w:t>O conjunto de padrões sistêmicos acima caracteriza esquema estruturado de fraude.</w:t>
      </w:r>
      <w:r>
        <w:rPr>
          <w:rFonts w:ascii="Cambria" w:hAnsi="Cambria"/>
          <w:sz w:val="24"/>
        </w:rPr>
        <w:t xml:space="preserve"> A reutilização do mesmo IP, da mesma sessão, da mesma selfie e/ou do mesmo correspondente, em contratos celebrados em sequência ou no mesmo dia, é incompatível com fluxo humano legítimo de contratação.</w:t>
      </w:r>
    </w:p>
    <w:p>
      <w:r>
        <w:rPr>
          <w:rFonts w:ascii="Cambria" w:hAnsi="Cambria"/>
          <w:i/>
          <w:sz w:val="20"/>
        </w:rPr>
        <w:t>[piloto: merito-probatorio-digital/kit-fraude]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