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80" w:line="259" w:lineRule="auto" w:before="0"/>
        <w:jc w:val="center"/>
      </w:pPr>
      <w:r>
        <w:rPr>
          <w:rFonts w:ascii="Arial" w:hAnsi="Arial"/>
          <w:b/>
          <w:color w:val="0B1F3A"/>
          <w:sz w:val="36"/>
        </w:rPr>
        <w:t>ATIVIDADE DE PROTOTIPAÇÃO (Startup One)</w:t>
      </w:r>
    </w:p>
    <w:p>
      <w:pPr>
        <w:spacing w:after="100" w:line="259" w:lineRule="auto"/>
      </w:pPr>
      <w:r>
        <w:rPr>
          <w:rFonts w:ascii="Arial" w:hAnsi="Arial"/>
          <w:b/>
          <w:color w:val="1D5D9F"/>
          <w:sz w:val="21"/>
        </w:rPr>
        <w:t>Em uma linha, descreva o seu projeto de startup, incluindo o problema e a solução:</w:t>
      </w:r>
    </w:p>
    <w:p>
      <w:pPr>
        <w:spacing w:after="220" w:line="259" w:lineRule="auto"/>
      </w:pPr>
      <w:r>
        <w:rPr>
          <w:rFonts w:ascii="Arial" w:hAnsi="Arial"/>
          <w:b w:val="0"/>
          <w:color w:val="1E293B"/>
          <w:sz w:val="21"/>
        </w:rPr>
        <w:t>O LogiCash é uma plataforma SaaS mobile-first para transportadoras PME de last-mile que substitui planilhas manuais ao centralizar pré-faturas, conciliar repasses de marketplaces, identificar descontos e divergências e apoiar pagamento de motoristas, fluxo de caixa e margem por rota e cidade.</w:t>
      </w:r>
    </w:p>
    <w:p>
      <w:pPr>
        <w:spacing w:after="100" w:line="259" w:lineRule="auto"/>
      </w:pPr>
      <w:r>
        <w:rPr>
          <w:rFonts w:ascii="Arial" w:hAnsi="Arial"/>
          <w:b/>
          <w:color w:val="1D5D9F"/>
          <w:sz w:val="21"/>
        </w:rPr>
        <w:t>Coloque aqui os prints do seu protótipo e comentários, se julgar necessário.</w:t>
      </w:r>
    </w:p>
    <w:p>
      <w:pPr>
        <w:spacing w:after="220" w:line="259" w:lineRule="auto"/>
      </w:pPr>
      <w:r>
        <w:rPr>
          <w:rFonts w:ascii="Arial" w:hAnsi="Arial"/>
          <w:b w:val="0"/>
          <w:color w:val="1E293B"/>
          <w:sz w:val="21"/>
        </w:rPr>
        <w:t>O protótipo foi construído como um web app mobile em uma moldura de celular 390 x 844 px. As telas abaixo representam o fluxo principal da operação financeira: acesso, dashboard, importação de pré-fatura, conciliação, detalhes de divergências, pagamentos de motoristas, margem, relatórios e menu Mais.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16"/>
        <w:gridCol w:w="4916"/>
      </w:tblGrid>
      <w:tr>
        <w:tc>
          <w:tcPr>
            <w:tcW w:type="dxa" w:w="3960"/>
            <w:vAlign w:val="top"/>
            <w:shd w:fill="F8FAFC"/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0B1F3A"/>
                <w:sz w:val="18"/>
              </w:rPr>
              <w:t>Tela 1 - Login mobile</w:t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Arial" w:hAnsi="Arial"/>
                <w:color w:val="475569"/>
                <w:sz w:val="15"/>
              </w:rPr>
              <w:t>Apresenta o acesso ao LogiCash e posiciona a solução como gestão financeira para transportadoras last-mile.</w:t>
            </w:r>
          </w:p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5628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logi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562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vAlign w:val="top"/>
            <w:shd w:fill="F8FAFC"/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0B1F3A"/>
                <w:sz w:val="18"/>
              </w:rPr>
              <w:t>Tela 2 - Início / Dashboard financeiro</w:t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Arial" w:hAnsi="Arial"/>
                <w:color w:val="475569"/>
                <w:sz w:val="15"/>
              </w:rPr>
              <w:t>Resume o ciclo quinzenal com valor previsto, valor recebido, divergências, pagamentos de motoristas, fluxo de caixa e margem.</w:t>
            </w:r>
          </w:p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5628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inicio-dashboar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562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16"/>
        <w:gridCol w:w="4916"/>
      </w:tblGrid>
      <w:tr>
        <w:tc>
          <w:tcPr>
            <w:tcW w:type="dxa" w:w="3960"/>
            <w:vAlign w:val="top"/>
            <w:shd w:fill="F8FAFC"/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0B1F3A"/>
                <w:sz w:val="18"/>
              </w:rPr>
              <w:t>Tela 3 - Importar pré-fatura</w:t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Arial" w:hAnsi="Arial"/>
                <w:color w:val="475569"/>
                <w:sz w:val="15"/>
              </w:rPr>
              <w:t>Permite selecionar marketplace, ciclo, datas e operação para iniciar a conferência automática da pré-fatura.</w:t>
            </w:r>
          </w:p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56281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importar-prefatur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562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vAlign w:val="top"/>
            <w:shd w:fill="F8FAFC"/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0B1F3A"/>
                <w:sz w:val="18"/>
              </w:rPr>
              <w:t>Tela 4 - Conciliação de repasses</w:t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Arial" w:hAnsi="Arial"/>
                <w:color w:val="475569"/>
                <w:sz w:val="15"/>
              </w:rPr>
              <w:t>Compara valor previsto, valor recebido e diferença por marketplace usando cards adaptados ao mobile.</w:t>
            </w:r>
          </w:p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56281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conciliaca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562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16"/>
        <w:gridCol w:w="4916"/>
      </w:tblGrid>
      <w:tr>
        <w:tc>
          <w:tcPr>
            <w:tcW w:type="dxa" w:w="3960"/>
            <w:vAlign w:val="top"/>
            <w:shd w:fill="F8FAFC"/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0B1F3A"/>
                <w:sz w:val="18"/>
              </w:rPr>
              <w:t>Tela 5 - Detalhes da divergência</w:t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Arial" w:hAnsi="Arial"/>
                <w:color w:val="475569"/>
                <w:sz w:val="15"/>
              </w:rPr>
              <w:t>Mostra descontos por SLA, avaria, devolução, duplicidade e ocorrências contestáveis com evidências.</w:t>
            </w:r>
          </w:p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56281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detalhes-divergenci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562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vAlign w:val="top"/>
            <w:shd w:fill="F8FAFC"/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0B1F3A"/>
                <w:sz w:val="18"/>
              </w:rPr>
              <w:t>Tela 6 - Motoristas</w:t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Arial" w:hAnsi="Arial"/>
                <w:color w:val="475569"/>
                <w:sz w:val="15"/>
              </w:rPr>
              <w:t>Apoia o cálculo e a validação dos pagamentos por entregas, bonificações, descontos e valor líquido.</w:t>
            </w:r>
          </w:p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56281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motorista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562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16"/>
        <w:gridCol w:w="4916"/>
      </w:tblGrid>
      <w:tr>
        <w:tc>
          <w:tcPr>
            <w:tcW w:type="dxa" w:w="3960"/>
            <w:vAlign w:val="top"/>
            <w:shd w:fill="F8FAFC"/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0B1F3A"/>
                <w:sz w:val="18"/>
              </w:rPr>
              <w:t>Tela 7 - Margem</w:t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Arial" w:hAnsi="Arial"/>
                <w:color w:val="475569"/>
                <w:sz w:val="15"/>
              </w:rPr>
              <w:t>Evidencia rentabilidade por rota, cidade e marketplace, sinalizando operações saudáveis, críticas ou com prejuízo.</w:t>
            </w:r>
          </w:p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56281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margem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562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vAlign w:val="top"/>
            <w:shd w:fill="F8FAFC"/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0B1F3A"/>
                <w:sz w:val="18"/>
              </w:rPr>
              <w:t>Tela 8 - Relatórios</w:t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Arial" w:hAnsi="Arial"/>
                <w:color w:val="475569"/>
                <w:sz w:val="15"/>
              </w:rPr>
              <w:t>Centraliza relatórios de conciliação, divergências, pagamento de motoristas, margem e contador.</w:t>
            </w:r>
          </w:p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56281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relatorio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562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16"/>
        <w:gridCol w:w="4916"/>
      </w:tblGrid>
      <w:tr>
        <w:tc>
          <w:tcPr>
            <w:tcW w:type="dxa" w:w="3960"/>
            <w:vAlign w:val="top"/>
            <w:shd w:fill="F8FAFC"/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0B1F3A"/>
                <w:sz w:val="18"/>
              </w:rPr>
              <w:t>Tela 9 - Mais</w:t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Arial" w:hAnsi="Arial"/>
                <w:color w:val="475569"/>
                <w:sz w:val="15"/>
              </w:rPr>
              <w:t>Organiza telas secundárias como divergências, margem, relatórios, configurações e ajuda.</w:t>
            </w:r>
          </w:p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6272" cy="456281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mai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4562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16"/>
            <w:shd w:fill="FFFFFF"/>
          </w:tcPr>
          <w:p>
            <w:r/>
          </w:p>
        </w:tc>
      </w:tr>
    </w:tbl>
    <w:p>
      <w:pPr>
        <w:spacing w:after="100" w:line="259" w:lineRule="auto"/>
      </w:pPr>
      <w:r>
        <w:rPr>
          <w:rFonts w:ascii="Arial" w:hAnsi="Arial"/>
          <w:b/>
          <w:color w:val="1D5D9F"/>
          <w:sz w:val="21"/>
        </w:rPr>
        <w:t>Compartilhe o link navegável do seu protótipo (se possível).</w:t>
      </w:r>
    </w:p>
    <w:p>
      <w:pPr>
        <w:spacing w:after="40" w:line="259" w:lineRule="auto"/>
        <w:jc w:val="left"/>
      </w:pPr>
      <w:r>
        <w:rPr>
          <w:rFonts w:ascii="Calibri" w:hAnsi="Calibri"/>
          <w:sz w:val="21"/>
        </w:rPr>
        <w:t>Protótipo navegável: https://gabrielcarris.github.io/logicash-prototipo-mobile/</w:t>
      </w:r>
    </w:p>
    <w:p>
      <w:pPr>
        <w:spacing w:before="0" w:after="0"/>
        <w:jc w:val="left"/>
      </w:pPr>
      <w:r>
        <w:rPr>
          <w:rFonts w:ascii="Calibri" w:hAnsi="Calibri"/>
          <w:sz w:val="21"/>
        </w:rPr>
        <w:t>Repositório GitHub com telas e documento: https://github.com/gabrielcarris/logicash-prototipo-mobile</w:t>
      </w:r>
    </w:p>
    <w:sectPr w:rsidR="00CD0A58" w:rsidSect="00A36C8B">
      <w:headerReference w:type="default" r:id="rId10"/>
      <w:headerReference w:type="first" r:id="rId11"/>
      <w:pgSz w:w="11906" w:h="16838" w:code="9"/>
      <w:pgMar w:top="792" w:right="1037" w:bottom="720" w:left="103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47EB1" w14:textId="77777777" w:rsidR="00BA7475" w:rsidRDefault="00BA7475">
      <w:pPr>
        <w:spacing w:after="0" w:line="240" w:lineRule="auto"/>
      </w:pPr>
      <w:r>
        <w:separator/>
      </w:r>
    </w:p>
  </w:endnote>
  <w:endnote w:type="continuationSeparator" w:id="0">
    <w:p w14:paraId="4BC7D818" w14:textId="77777777" w:rsidR="00BA7475" w:rsidRDefault="00BA7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D3D10" w14:textId="77777777" w:rsidR="00BA7475" w:rsidRDefault="00BA7475">
      <w:pPr>
        <w:spacing w:after="0" w:line="240" w:lineRule="auto"/>
      </w:pPr>
      <w:r>
        <w:separator/>
      </w:r>
    </w:p>
  </w:footnote>
  <w:footnote w:type="continuationSeparator" w:id="0">
    <w:p w14:paraId="07C43E05" w14:textId="77777777" w:rsidR="00BA7475" w:rsidRDefault="00BA74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9E0EC" w14:textId="6653DEFC" w:rsidR="00480250" w:rsidRDefault="00CD0A58" w:rsidP="008C4DB8">
    <w:pPr>
      <w:pStyle w:val="Cabealho"/>
      <w:tabs>
        <w:tab w:val="clear" w:pos="8504"/>
        <w:tab w:val="right" w:pos="9072"/>
      </w:tabs>
      <w:ind w:firstLine="0"/>
    </w:pPr>
    <w:r>
      <w:fldChar w:fldCharType="begin"/>
    </w:r>
    <w:r>
      <w:instrText xml:space="preserve"> TITLE   \* MERGEFORMAT </w:instrText>
    </w:r>
    <w:r>
      <w:fldChar w:fldCharType="separate"/>
    </w:r>
    <w:proofErr w:type="spellStart"/>
    <w:r>
      <w:t>Template</w:t>
    </w:r>
    <w:proofErr w:type="spellEnd"/>
    <w:r>
      <w:t xml:space="preserve"> para exercícios</w:t>
    </w:r>
    <w:r>
      <w:fldChar w:fldCharType="end"/>
    </w: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FE687E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8D31E" w14:textId="5215EF63" w:rsidR="00CE6C04" w:rsidRDefault="00CE6C04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2E8D87FA" wp14:editId="06A64197">
          <wp:simplePos x="0" y="0"/>
          <wp:positionH relativeFrom="column">
            <wp:posOffset>0</wp:posOffset>
          </wp:positionH>
          <wp:positionV relativeFrom="paragraph">
            <wp:posOffset>180340</wp:posOffset>
          </wp:positionV>
          <wp:extent cx="984250" cy="264795"/>
          <wp:effectExtent l="0" t="0" r="6350" b="0"/>
          <wp:wrapSquare wrapText="bothSides"/>
          <wp:docPr id="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fiap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4250" cy="264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161A6"/>
    <w:multiLevelType w:val="hybridMultilevel"/>
    <w:tmpl w:val="66C2C1EE"/>
    <w:lvl w:ilvl="0" w:tplc="44CCB47E">
      <w:start w:val="1"/>
      <w:numFmt w:val="decimal"/>
      <w:pStyle w:val="SubTtulo-AutoreVerso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0522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A58"/>
    <w:rsid w:val="00045F42"/>
    <w:rsid w:val="000A6F7A"/>
    <w:rsid w:val="00130ED0"/>
    <w:rsid w:val="00160D0D"/>
    <w:rsid w:val="00194F24"/>
    <w:rsid w:val="001C003E"/>
    <w:rsid w:val="001E6E29"/>
    <w:rsid w:val="001F0E76"/>
    <w:rsid w:val="002B026A"/>
    <w:rsid w:val="00377F02"/>
    <w:rsid w:val="003B11C1"/>
    <w:rsid w:val="00480250"/>
    <w:rsid w:val="005E2CD9"/>
    <w:rsid w:val="00821C3C"/>
    <w:rsid w:val="00897FD5"/>
    <w:rsid w:val="008B30D5"/>
    <w:rsid w:val="008C4DB8"/>
    <w:rsid w:val="009025C8"/>
    <w:rsid w:val="00B17C0E"/>
    <w:rsid w:val="00B22D77"/>
    <w:rsid w:val="00B46B6D"/>
    <w:rsid w:val="00BA7475"/>
    <w:rsid w:val="00C23FFE"/>
    <w:rsid w:val="00CC0306"/>
    <w:rsid w:val="00CD0A58"/>
    <w:rsid w:val="00CE6C04"/>
    <w:rsid w:val="00D4532D"/>
    <w:rsid w:val="00D959F7"/>
    <w:rsid w:val="00E25789"/>
    <w:rsid w:val="00EA53AF"/>
    <w:rsid w:val="00FE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3246B0"/>
  <w15:chartTrackingRefBased/>
  <w15:docId w15:val="{0774D592-7E0A-4D7D-9A6E-14401D1B7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ágrafo"/>
    <w:next w:val="Corpodetexto"/>
    <w:qFormat/>
    <w:rsid w:val="00CD0A58"/>
    <w:pPr>
      <w:spacing w:after="120" w:line="360" w:lineRule="auto"/>
      <w:ind w:firstLine="851"/>
      <w:jc w:val="both"/>
    </w:pPr>
    <w:rPr>
      <w:rFonts w:ascii="Arial" w:eastAsia="Calibri" w:hAnsi="Arial" w:cs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ubTtulo-AutoreVerso">
    <w:name w:val="SubTítulo - Autor e Versão"/>
    <w:link w:val="SubTtulo-AutoreVersoChar"/>
    <w:autoRedefine/>
    <w:qFormat/>
    <w:rsid w:val="00C23FFE"/>
    <w:pPr>
      <w:numPr>
        <w:numId w:val="1"/>
      </w:numPr>
      <w:spacing w:after="120" w:line="360" w:lineRule="auto"/>
      <w:ind w:left="0" w:firstLine="709"/>
      <w:jc w:val="both"/>
    </w:pPr>
    <w:rPr>
      <w:rFonts w:ascii="Arial" w:eastAsia="Calibri" w:hAnsi="Arial" w:cs="Times New Roman"/>
      <w:b/>
      <w:bCs/>
      <w:sz w:val="24"/>
      <w:szCs w:val="20"/>
    </w:rPr>
  </w:style>
  <w:style w:type="character" w:customStyle="1" w:styleId="SubTtulo-AutoreVersoChar">
    <w:name w:val="SubTítulo - Autor e Versão Char"/>
    <w:link w:val="SubTtulo-AutoreVerso"/>
    <w:rsid w:val="00C23FFE"/>
    <w:rPr>
      <w:rFonts w:ascii="Arial" w:eastAsia="Calibri" w:hAnsi="Arial" w:cs="Times New Roman"/>
      <w:b/>
      <w:bCs/>
      <w:sz w:val="24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CD0A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D0A58"/>
    <w:rPr>
      <w:rFonts w:ascii="Arial" w:eastAsia="Calibri" w:hAnsi="Arial" w:cs="Times New Roman"/>
      <w:sz w:val="24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CD0A58"/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CD0A58"/>
    <w:rPr>
      <w:rFonts w:ascii="Arial" w:eastAsia="Calibri" w:hAnsi="Arial" w:cs="Times New Roman"/>
      <w:sz w:val="24"/>
    </w:rPr>
  </w:style>
  <w:style w:type="paragraph" w:styleId="PargrafodaLista">
    <w:name w:val="List Paragraph"/>
    <w:basedOn w:val="Normal"/>
    <w:uiPriority w:val="34"/>
    <w:qFormat/>
    <w:rsid w:val="00CD0A58"/>
    <w:pPr>
      <w:ind w:left="720"/>
      <w:contextualSpacing/>
    </w:pPr>
  </w:style>
  <w:style w:type="paragraph" w:styleId="Rodap">
    <w:name w:val="footer"/>
    <w:basedOn w:val="Normal"/>
    <w:link w:val="RodapChar"/>
    <w:uiPriority w:val="99"/>
    <w:unhideWhenUsed/>
    <w:rsid w:val="00CE6C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E6C04"/>
    <w:rPr>
      <w:rFonts w:ascii="Arial" w:eastAsia="Calibri" w:hAnsi="Arial" w:cs="Times New Roman"/>
      <w:sz w:val="24"/>
    </w:rPr>
  </w:style>
  <w:style w:type="character" w:customStyle="1" w:styleId="TtuloTabelasChar">
    <w:name w:val="Título Tabelas Char"/>
    <w:link w:val="TtuloTabelas"/>
    <w:locked/>
    <w:rsid w:val="00FE687E"/>
    <w:rPr>
      <w:rFonts w:ascii="Arial" w:eastAsia="Calibri" w:hAnsi="Arial" w:cs="Times New Roman"/>
      <w:b/>
      <w:color w:val="000000"/>
      <w:sz w:val="18"/>
    </w:rPr>
  </w:style>
  <w:style w:type="paragraph" w:customStyle="1" w:styleId="TtuloTabelas">
    <w:name w:val="Título Tabelas"/>
    <w:basedOn w:val="Normal"/>
    <w:link w:val="TtuloTabelasChar"/>
    <w:rsid w:val="00FE687E"/>
    <w:pPr>
      <w:spacing w:after="0" w:line="240" w:lineRule="auto"/>
      <w:ind w:firstLine="0"/>
      <w:jc w:val="center"/>
    </w:pPr>
    <w:rPr>
      <w:b/>
      <w:color w:val="000000"/>
      <w:sz w:val="18"/>
    </w:rPr>
  </w:style>
  <w:style w:type="character" w:customStyle="1" w:styleId="NormalTabelaChar">
    <w:name w:val="Normal Tabela Char"/>
    <w:link w:val="NormalTabela"/>
    <w:locked/>
    <w:rsid w:val="00FE687E"/>
    <w:rPr>
      <w:rFonts w:ascii="Arial" w:eastAsia="Calibri" w:hAnsi="Arial" w:cs="Times New Roman"/>
      <w:bCs/>
      <w:color w:val="000000"/>
      <w:sz w:val="18"/>
      <w:szCs w:val="20"/>
    </w:rPr>
  </w:style>
  <w:style w:type="paragraph" w:customStyle="1" w:styleId="NormalTabela">
    <w:name w:val="Normal Tabela"/>
    <w:basedOn w:val="SubTtulo-AutoreVerso"/>
    <w:link w:val="NormalTabelaChar"/>
    <w:rsid w:val="00FE687E"/>
    <w:pPr>
      <w:numPr>
        <w:numId w:val="0"/>
      </w:numPr>
      <w:spacing w:after="0" w:line="240" w:lineRule="auto"/>
    </w:pPr>
    <w:rPr>
      <w:b w:val="0"/>
      <w:color w:val="000000"/>
      <w:sz w:val="18"/>
    </w:rPr>
  </w:style>
  <w:style w:type="character" w:customStyle="1" w:styleId="Ttulo-SumriosChar">
    <w:name w:val="Título - Sumários Char"/>
    <w:link w:val="Ttulo-Sumrios"/>
    <w:locked/>
    <w:rsid w:val="00FE687E"/>
    <w:rPr>
      <w:rFonts w:ascii="Arial" w:eastAsia="Calibri" w:hAnsi="Arial" w:cs="Times New Roman"/>
      <w:b/>
      <w:caps/>
      <w:sz w:val="24"/>
    </w:rPr>
  </w:style>
  <w:style w:type="paragraph" w:customStyle="1" w:styleId="Ttulo-Sumrios">
    <w:name w:val="Título - Sumários"/>
    <w:basedOn w:val="SubTtulo-AutoreVerso"/>
    <w:link w:val="Ttulo-SumriosChar"/>
    <w:autoRedefine/>
    <w:qFormat/>
    <w:rsid w:val="00FE687E"/>
    <w:pPr>
      <w:numPr>
        <w:numId w:val="0"/>
      </w:numPr>
      <w:tabs>
        <w:tab w:val="left" w:pos="0"/>
      </w:tabs>
      <w:jc w:val="center"/>
    </w:pPr>
    <w:rPr>
      <w:bCs w:val="0"/>
      <w:caps/>
      <w:szCs w:val="22"/>
    </w:rPr>
  </w:style>
  <w:style w:type="table" w:customStyle="1" w:styleId="Histricoderevises">
    <w:name w:val="Histórico de revisões"/>
    <w:basedOn w:val="Tabelanormal"/>
    <w:uiPriority w:val="99"/>
    <w:rsid w:val="00FE687E"/>
    <w:pPr>
      <w:spacing w:after="0" w:line="240" w:lineRule="auto"/>
    </w:pPr>
    <w:rPr>
      <w:rFonts w:ascii="Arial" w:eastAsia="Calibri" w:hAnsi="Arial" w:cs="Times New Roman"/>
      <w:sz w:val="18"/>
      <w:szCs w:val="20"/>
    </w:rPr>
    <w:tblPr>
      <w:tblStyleRowBandSize w:val="1"/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 w:cs="Arial" w:hint="default"/>
        <w:b/>
        <w:color w:val="FFFFFF" w:themeColor="background1"/>
        <w:sz w:val="18"/>
        <w:szCs w:val="18"/>
      </w:rPr>
      <w:tblPr/>
      <w:tcPr>
        <w:shd w:val="clear" w:color="auto" w:fill="A5A5A5" w:themeFill="accent3"/>
        <w:vAlign w:val="center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FE68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E687E"/>
    <w:rPr>
      <w:rFonts w:ascii="Segoe UI" w:eastAsia="Calibri" w:hAnsi="Segoe UI" w:cs="Segoe UI"/>
      <w:sz w:val="18"/>
      <w:szCs w:val="18"/>
    </w:rPr>
  </w:style>
  <w:style w:type="paragraph" w:styleId="Reviso">
    <w:name w:val="Revision"/>
    <w:hidden/>
    <w:uiPriority w:val="99"/>
    <w:semiHidden/>
    <w:rsid w:val="00EA53AF"/>
    <w:pPr>
      <w:spacing w:after="0" w:line="240" w:lineRule="auto"/>
    </w:pPr>
    <w:rPr>
      <w:rFonts w:ascii="Arial" w:eastAsia="Calibri" w:hAnsi="Arial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9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587DEE977C9143A042F3416864AA9F" ma:contentTypeVersion="4" ma:contentTypeDescription="Crie um novo documento." ma:contentTypeScope="" ma:versionID="865bafc53d0142f77ec2eb2526c9240a">
  <xsd:schema xmlns:xsd="http://www.w3.org/2001/XMLSchema" xmlns:xs="http://www.w3.org/2001/XMLSchema" xmlns:p="http://schemas.microsoft.com/office/2006/metadata/properties" xmlns:ns2="34cf085e-19ad-4e7f-97e3-12854e4d6797" xmlns:ns3="00791995-7579-403d-890a-6e3e017e0c43" targetNamespace="http://schemas.microsoft.com/office/2006/metadata/properties" ma:root="true" ma:fieldsID="5fcdaf5e942acd4d5f735155e5ab2b66" ns2:_="" ns3:_="">
    <xsd:import namespace="34cf085e-19ad-4e7f-97e3-12854e4d6797"/>
    <xsd:import namespace="00791995-7579-403d-890a-6e3e017e0c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f085e-19ad-4e7f-97e3-12854e4d67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791995-7579-403d-890a-6e3e017e0c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38BBC5-8195-4D36-ABE6-88C0A60197B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29B128D-E921-40A0-BC1D-36796DB355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F95FE5-A1FA-49F2-A0C0-B610520BCD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cf085e-19ad-4e7f-97e3-12854e4d6797"/>
    <ds:schemaRef ds:uri="00791995-7579-403d-890a-6e3e017e0c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226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Fazoli Caparelli Silva</dc:creator>
  <cp:keywords/>
  <dc:description/>
  <cp:lastModifiedBy>LEONARDO MATHEUS RUESCAS DE FARIAS</cp:lastModifiedBy>
  <cp:revision>2</cp:revision>
  <dcterms:created xsi:type="dcterms:W3CDTF">2026-05-22T13:21:00Z</dcterms:created>
  <dcterms:modified xsi:type="dcterms:W3CDTF">2026-05-22T13:21:00Z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0x01010086587DEE977C9143A042F3416864AA9F</vt:lpwstr>
  </property>
</Properties>
</file>