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461" w:type="dxa"/>
        <w:jc w:val="left"/>
        <w:tblInd w:w="-6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"/>
        <w:gridCol w:w="9917"/>
        <w:gridCol w:w="261"/>
      </w:tblGrid>
      <w:tr>
        <w:trPr/>
        <w:tc>
          <w:tcPr>
            <w:tcW w:w="283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9917" w:type="dxa"/>
            <w:tcBorders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Universidade Estadual de Santa Cruz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Pró-Reitoria de Pesquisa e Pós-Graduação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76" w:leader="none"/>
                <w:tab w:val="center" w:pos="4252" w:leader="none"/>
                <w:tab w:val="right" w:pos="8504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Programa de Iniciação Científica da UESC– PROIC – Edital 039/2022</w:t>
            </w:r>
          </w:p>
          <w:tbl>
            <w:tblPr>
              <w:tblStyle w:val="Table2"/>
              <w:tblW w:w="961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3204"/>
              <w:gridCol w:w="3204"/>
              <w:gridCol w:w="3205"/>
            </w:tblGrid>
            <w:tr>
              <w:trPr>
                <w:trHeight w:val="846" w:hRule="atLeast"/>
              </w:trPr>
              <w:tc>
                <w:tcPr>
                  <w:tcW w:w="3204" w:type="dxa"/>
                  <w:tcBorders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252" w:leader="none"/>
                      <w:tab w:val="right" w:pos="8504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149985" cy="490855"/>
                        <wp:effectExtent l="0" t="0" r="0" b="0"/>
                        <wp:docPr id="1" name="image3.png" descr="Logotip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3.png" descr="Logotip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9985" cy="490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LOnormal"/>
                    <w:widowControl w:val="false"/>
                    <w:rPr>
                      <w:rFonts w:ascii="arial" w:hAnsi="arial" w:eastAsia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Arial" w:cs="Arial" w:ascii="arial" w:hAnsi="arial"/>
                      <w:b/>
                      <w:sz w:val="24"/>
                      <w:szCs w:val="24"/>
                    </w:rPr>
                  </w:r>
                </w:p>
                <w:p>
                  <w:pPr>
                    <w:pStyle w:val="LOnormal"/>
                    <w:widowControl w:val="false"/>
                    <w:spacing w:before="0" w:after="200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204" w:type="dxa"/>
                  <w:tcBorders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252" w:leader="none"/>
                      <w:tab w:val="right" w:pos="8504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509270" cy="605155"/>
                        <wp:effectExtent l="0" t="0" r="0" b="0"/>
                        <wp:docPr id="2" name="image2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9270" cy="6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05" w:type="dxa"/>
                  <w:tcBorders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left" w:pos="252" w:leader="none"/>
                      <w:tab w:val="center" w:pos="4252" w:leader="none"/>
                      <w:tab w:val="right" w:pos="8504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eastAsia="Arial" w:cs="Arial" w:ascii="arial" w:hAnsi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ab/>
                  </w:r>
                  <w:r>
                    <w:rPr/>
                    <w:drawing>
                      <wp:inline distT="0" distB="0" distL="0" distR="0">
                        <wp:extent cx="1185545" cy="619760"/>
                        <wp:effectExtent l="0" t="0" r="0" b="0"/>
                        <wp:docPr id="3" name="image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5545" cy="619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1" w:type="dxa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Projeto de Pesquisado(a) Docente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-313" w:hanging="0"/>
        <w:jc w:val="center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Máximo de 10 páginas – Projetos com mais de 10 páginas, incluindo as referências, serão desclassificados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 - Recomendável: Fonte Arial ou Times New Roman, tamanho 12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11341" w:type="dxa"/>
        <w:jc w:val="left"/>
        <w:tblInd w:w="-10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41"/>
      </w:tblGrid>
      <w:tr>
        <w:trPr/>
        <w:tc>
          <w:tcPr>
            <w:tcW w:w="11341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LO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INFORMAÇÕES GERAIS DO PROJETO</w:t>
            </w:r>
          </w:p>
        </w:tc>
      </w:tr>
      <w:tr>
        <w:trPr>
          <w:trHeight w:val="450" w:hRule="atLeast"/>
        </w:trPr>
        <w:tc>
          <w:tcPr>
            <w:tcW w:w="11341" w:type="dxa"/>
            <w:tcBorders>
              <w:top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Título do Projeto: </w:t>
            </w:r>
            <w:r>
              <w:rPr>
                <w:rFonts w:eastAsia="Times New Roman" w:cs="Times New Roman" w:ascii="arial" w:hAnsi="arial"/>
                <w:b/>
                <w:color w:val="000000"/>
                <w:sz w:val="24"/>
                <w:szCs w:val="24"/>
              </w:rPr>
              <w:t>Uso de inteligência artificial para identificar vírus que infectam abelhas e fagos.</w:t>
            </w:r>
          </w:p>
        </w:tc>
      </w:tr>
      <w:tr>
        <w:trPr>
          <w:trHeight w:val="191" w:hRule="atLeast"/>
        </w:trPr>
        <w:tc>
          <w:tcPr>
            <w:tcW w:w="11341" w:type="dxa"/>
            <w:tcBorders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Envolverá pesquisa com Humanos, Animais ou OGMs (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Organismos Geneticamente Modificados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)? </w:t>
            </w:r>
          </w:p>
          <w:p>
            <w:pPr>
              <w:pStyle w:val="LOnormal"/>
              <w:widowControl w:val="false"/>
              <w:spacing w:lineRule="auto" w:line="240" w:before="0" w:after="2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() sim (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z w:val="24"/>
                <w:szCs w:val="24"/>
              </w:rPr>
              <w:t>) não</w:t>
            </w:r>
          </w:p>
        </w:tc>
      </w:tr>
      <w:tr>
        <w:trPr>
          <w:trHeight w:val="191" w:hRule="atLeast"/>
        </w:trPr>
        <w:tc>
          <w:tcPr>
            <w:tcW w:w="11341" w:type="dxa"/>
            <w:tcBorders/>
          </w:tcPr>
          <w:p>
            <w:pPr>
              <w:pStyle w:val="LOnormal"/>
              <w:widowControl w:val="false"/>
              <w:spacing w:lineRule="auto" w:line="360"/>
              <w:ind w:left="2552" w:hanging="2552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N° do protocolo ou do processo no respectivo Comitê*: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orientador deverá enviar a PROPP até 5 (cinco) meses após a implementação da bolsa a comprovação de aprovação do Comitê de Ética, sob pena de perda da bolsa, caso contemplado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562" w:hRule="atLeast"/>
        </w:trPr>
        <w:tc>
          <w:tcPr>
            <w:tcW w:w="11341" w:type="dxa"/>
            <w:tcBorders>
              <w:top w:val="single" w:sz="4" w:space="0" w:color="000000"/>
              <w:bottom w:val="single" w:sz="12" w:space="0" w:color="000000"/>
            </w:tcBorders>
            <w:shd w:fill="E6E6E6" w:val="clear"/>
          </w:tcPr>
          <w:p>
            <w:pPr>
              <w:pStyle w:val="LOnormal"/>
              <w:widowControl w:val="false"/>
              <w:spacing w:lineRule="auto" w:line="240" w:before="6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RESUMO  </w:t>
            </w:r>
          </w:p>
        </w:tc>
      </w:tr>
      <w:tr>
        <w:trPr>
          <w:trHeight w:val="284" w:hRule="atLeast"/>
        </w:trPr>
        <w:tc>
          <w:tcPr>
            <w:tcW w:w="1134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360" w:before="0" w:after="200"/>
              <w:ind w:lef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 fagos e as abelhas possuem um papel fundamental no agronegócio, em especial a Apis Mellifera, que é um pilar para a polinização e, consequentemente, torna-se um processo essencial para a produção de alimentos em todo o mundo, contribuindo para muitas culturas e para o crescimento produtivo do mundo. No entanto, a população de abelhas tem sofrido um declínio significativo devido a diversos fatores, incluindo mudanças climáticas, infecções virais e outros fatores que afetam a saúde das abelhas. Os fagos são vírus que infectam bactérias e são importantes no controle da população bacteriana, mas também podem afetar a saúde das abelhas. A identificação e caracterização desses patógenos são essenciais para o desenvolvimento de estratégias de manejo e combate a essas infecções virais, contribuindo para a preservação da saúde das abelhas e para a manutenção da produtividade global por meio da polinização.</w:t>
            </w:r>
          </w:p>
          <w:p>
            <w:pPr>
              <w:pStyle w:val="TextBody"/>
              <w:widowControl w:val="false"/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spacing w:before="0" w:after="14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Nesse contexto, o objetivo deste projeto é  otimizar o uso de inteligência artificial para identificar vírus que infectam abelhas e fagos. Para isso, utilizaremos técnicas já conhecidas de intelig</w:t>
            </w:r>
            <w:r>
              <w:rPr>
                <w:rFonts w:eastAsia="Calibri" w:cs="Calibri" w:ascii="arial" w:hAnsi="arial"/>
                <w:color w:val="auto"/>
                <w:kern w:val="0"/>
                <w:sz w:val="24"/>
                <w:szCs w:val="24"/>
                <w:lang w:val="pt-BR" w:eastAsia="zh-CN" w:bidi="hi-IN"/>
              </w:rPr>
              <w:t xml:space="preserve">ência artificial  </w:t>
            </w:r>
            <w:r>
              <w:rPr>
                <w:rFonts w:ascii="arial" w:hAnsi="arial"/>
                <w:sz w:val="24"/>
                <w:szCs w:val="24"/>
              </w:rPr>
              <w:t>c</w:t>
            </w:r>
            <w:r>
              <w:rPr>
                <w:rFonts w:eastAsia="Calibri" w:cs="Calibri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pt-BR" w:eastAsia="zh-CN" w:bidi="hi-IN"/>
              </w:rPr>
              <w:t>omo  deepVirfinder, virsorter, vibrant, phageAI, phageHunter, virfinder, virapipe e vip.São utilizadas para tornar o processo mais eficiente na detecção e monitoramento desses patógenos, contribuindo para a redução das mortes de abelhas e para a otimização do processo de identificação de patógenos que infectam a elementos da mesma classe e fagos, buscando uma identificação mais rápida e consequentemente,com maior precisão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>
        <w:trPr>
          <w:trHeight w:val="306" w:hRule="atLeast"/>
        </w:trPr>
        <w:tc>
          <w:tcPr>
            <w:tcW w:w="1134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 w:before="60" w:after="3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Palavras Chave (máximo 4):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Apis mellifera</w:t>
            </w:r>
            <w:r>
              <w:rPr>
                <w:rFonts w:eastAsia="Arial" w:cs="Arial" w:ascii="arial" w:hAnsi="arial"/>
                <w:sz w:val="24"/>
                <w:szCs w:val="24"/>
              </w:rPr>
              <w:t>, fagos, inteligência artificial, interação vírus-hospedeiro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1341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LOnormal"/>
              <w:widowControl w:val="false"/>
              <w:spacing w:lineRule="auto" w:line="240" w:before="6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DADOS COMPLEMENTARES DO PROJETO</w:t>
            </w:r>
          </w:p>
        </w:tc>
      </w:tr>
      <w:tr>
        <w:trPr>
          <w:trHeight w:val="463" w:hRule="atLeast"/>
        </w:trPr>
        <w:tc>
          <w:tcPr>
            <w:tcW w:w="11341" w:type="dxa"/>
            <w:tcBorders>
              <w:top w:val="single" w:sz="12" w:space="0" w:color="000000"/>
            </w:tcBorders>
            <w:shd w:fill="C0C0C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Justificativa: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Situar o assunto e justificar a relevância do problema abordado, evidenciando como os resultados previstos pelo projeto justificam sua execução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. </w:t>
            </w:r>
          </w:p>
        </w:tc>
      </w:tr>
      <w:tr>
        <w:trPr>
          <w:trHeight w:val="297" w:hRule="atLeast"/>
        </w:trPr>
        <w:tc>
          <w:tcPr>
            <w:tcW w:w="11341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142" w:leader="none"/>
                <w:tab w:val="left" w:pos="7669" w:leader="none"/>
              </w:tabs>
              <w:spacing w:lineRule="auto" w:line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 diminuição da população de abelhas devido a fatores como mudanças climáticas e infecções virais pode ter um impacto significativo na produção de alimentos, afetando a segurança alimentar global. A identificação e caracterização de patógenos virais que afetam as abelhas e fagos são, portanto, cruciais para o desenvolvimento de estratégias eficazes de manejo e combate a essas infecções. O uso de inteligência artificial para detectar e monitorar esses patógenos pode ser uma solução eficaz para a preservação da saúde das abelhas e, consequentemente, para a manutenção da produtividade global por meio da polinização.</w:t>
            </w:r>
          </w:p>
          <w:p>
            <w:pPr>
              <w:pStyle w:val="TextBody"/>
              <w:widowControl w:val="false"/>
              <w:tabs>
                <w:tab w:val="clear" w:pos="720"/>
                <w:tab w:val="center" w:pos="142" w:leader="none"/>
                <w:tab w:val="left" w:pos="7669" w:leader="none"/>
              </w:tabs>
              <w:spacing w:lineRule="auto" w:line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  <w:t>Nandi, S., Kumar, S., &amp; Sharma, R. (2020). Identification of honeybee viruses using artificial intelligence and bioinformatics approaches. Journal of Applied Research on Medicinal and Aromatic Plants.</w:t>
            </w:r>
          </w:p>
          <w:p>
            <w:pPr>
              <w:pStyle w:val="LOnormal"/>
              <w:widowControl w:val="false"/>
              <w:tabs>
                <w:tab w:val="clear" w:pos="720"/>
                <w:tab w:val="center" w:pos="142" w:leader="none"/>
                <w:tab w:val="left" w:pos="7669" w:leader="none"/>
              </w:tabs>
              <w:spacing w:lineRule="auto" w:line="360" w:before="0" w:after="20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1341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OBJETIVO GERAL: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Sintetizar a finalidade geral do projeto. </w:t>
            </w:r>
          </w:p>
        </w:tc>
      </w:tr>
      <w:tr>
        <w:trPr>
          <w:trHeight w:val="210" w:hRule="atLeast"/>
        </w:trPr>
        <w:tc>
          <w:tcPr>
            <w:tcW w:w="113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pt-BR" w:eastAsia="zh-CN" w:bidi="hi-IN"/>
              </w:rPr>
              <w:t>Identificação e otimização de inteligência artificial para identificar vírus que infectam abelhas e fagos.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</w:tc>
      </w:tr>
      <w:tr>
        <w:trPr>
          <w:trHeight w:val="342" w:hRule="atLeast"/>
        </w:trPr>
        <w:tc>
          <w:tcPr>
            <w:tcW w:w="11341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OBJETIVOS ESPECÍFICOS: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Desdobrar o objetivo geral em finalidades de caráter mais específico.</w:t>
            </w:r>
          </w:p>
        </w:tc>
      </w:tr>
      <w:tr>
        <w:trPr>
          <w:trHeight w:val="1418" w:hRule="atLeast"/>
        </w:trPr>
        <w:tc>
          <w:tcPr>
            <w:tcW w:w="113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20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Realizar levantamento na literatura quais as ferramentas de inteligência artificial são utilizadas para identificação de vírus e fagos.</w:t>
            </w:r>
          </w:p>
          <w:p>
            <w:pPr>
              <w:pStyle w:val="LOnormal"/>
              <w:widowControl w:val="false"/>
              <w:spacing w:lineRule="auto" w:line="360" w:before="60" w:after="20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zh-CN" w:bidi="hi-IN"/>
              </w:rPr>
              <w:t>Realizar testes para analisar a eficiência da inteligência artificial na identificação de vírus que infectam abelhas e fagos.</w:t>
            </w:r>
          </w:p>
          <w:p>
            <w:pPr>
              <w:pStyle w:val="LOnormal"/>
              <w:widowControl w:val="false"/>
              <w:spacing w:lineRule="auto" w:line="360" w:before="60" w:after="2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zh-CN" w:bidi="hi-IN"/>
              </w:rPr>
              <w:t>Otimização do algoritmo que será executado nas análises, com o objetivo de resultados de maior precisão.</w:t>
            </w:r>
          </w:p>
          <w:p>
            <w:pPr>
              <w:pStyle w:val="LOnormal"/>
              <w:widowControl w:val="false"/>
              <w:spacing w:lineRule="auto" w:line="360" w:before="60" w:after="2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zh-CN" w:bidi="hi-IN"/>
              </w:rPr>
              <w:t>Comparação do uso da inteligência artificial com outras ferramentas descritas na literatura.</w:t>
            </w:r>
          </w:p>
          <w:p>
            <w:pPr>
              <w:pStyle w:val="LOnormal"/>
              <w:widowControl w:val="false"/>
              <w:spacing w:lineRule="auto" w:line="360" w:before="60" w:after="20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360" w:before="60" w:after="20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</w:tc>
      </w:tr>
      <w:tr>
        <w:trPr>
          <w:trHeight w:val="293" w:hRule="atLeast"/>
        </w:trPr>
        <w:tc>
          <w:tcPr>
            <w:tcW w:w="11341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REVISÃO DE LITERATURA (OU MODELO TEÓRICO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>
          <w:trHeight w:val="74" w:hRule="atLeast"/>
        </w:trPr>
        <w:tc>
          <w:tcPr>
            <w:tcW w:w="11341" w:type="dxa"/>
            <w:tcBorders>
              <w:top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Ao longo da história, a sobrevivência de todas as formas de vida tem sido estreitamente ligada à preservação da diversidade ecológica do planeta, bem como à interconexão desses indivíduos nos diversos ecossistemas da Terra. No entanto, devido às alterações climáticas e ao aquecimento global, a diversidade de espécies está sendo afetada pela oscilação climática diária, o que está levando a reduções na população de espécies e colocando-as em risco de extinção. É importante destacar que a manutenção da biodiversidade é essencial para a sobrevivência de todas as formas de vida neste planeta.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As abelhas são consideradas os principais polinizadores de grande parte das plantas cultivadas em todo o mundo, garantindo assim a produção de alimentos para a humanidade. A polinização realizada pelas abelhas é crucial para manter a diversidade genética das plantas e a saúde dos ecossistemas. Além disso, as abelhas são responsáveis pela manutenção da biodiversidade e pela conservação de muitas espécies de plantas e animais em todo o planeta." ( Cruz-Landim, 2018)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Os fagos são vírus que infectam seletivamente bactérias, e eles têm sido reconhecidos como uma importante ferramenta para o controle de infecções bacterianas em diversas áreas, incluindo medicina, agricultura e indústria. Os fagos podem ser utilizados para o tratamento de infecções bacterianas resistentes aos antibióticos, e também podem ser utilizados para a prevenção de infecções em plantas e animais, além de serem importantes para a biotecnologia, incluindo a produção de alimentos e a eliminação de resíduos industriais. Devido à sua especificidade, segurança e eficácia, os fagos têm atraído crescente interesse na pesquisa e desenvolvimento de novas terapias e produtos." (Golkar et al., 2014)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 morte de abelhas devido a patógenos, como vírus, bactérias e fungos, é uma preocupação crescente em todo o mundo, especialmente em vista da importância das abelhas na polinização de plantas cultivadas. As causas da morte de abelhas são complexas e multifatoriais, incluindo mudanças ambientais, uso de pesticidas e práticas de manejo inadequadas. O impacto da morte de abelhas na produção de alimentos e no ecossistema é significativo, e há uma necessidade urgente de se adotar estratégias de mitigação e manejo para proteger as populações de abelhas e promover a sustentabilidade dos sistemas agrícolas e ambientais. Ações como o uso de práticas agrícolas sustentáveis, a regulamentação do uso de pesticidas e a pesquisa de tratamentos eficazes para patógenos são essenciais para enfrentar esse desafio global." (Fonte: Potts et al., 2010)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Nos últimos tempos, uma série de pesquisas na área da biologia molecular têm explorado múltiplos métodos que se baseiam em PCR como instrumentos eficazes para uma detecção mais ágil, precisa e sensível de material genético, proporcionando suporte na avaliação de várias infecções transmitidas por vírus e patógenos em abelhas (HUANG, LI, ZHANG, Yi; et al., 2021).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Os avanços na tecnologia de sequenciamento genético tornaram possível o sequenciamento rápido e econômico de DNA e RNA viral, gerando grandes quantidades de dados de sequenciamento genômico. A análise desses dados pode ser um desafio para pesquisadores, pois muitas vezes é necessário comparar as sequências genômicas com bancos de dados extensos e atualizados. Nesse sentido, a inteligência artificial pode ser uma ferramenta valiosa na identificação de vírus e fagos que infectam abelhas. Alguns estudos já demonstraram que o uso de algoritmos de aprendizado de máquina pode melhorar significativamente a precisão na identificação de vírus que infectam abelhas e fagos partir de dados genômicos.  (Hartmann, U., &amp; Forsgren, E.)2020. </w:t>
            </w:r>
          </w:p>
          <w:p>
            <w:pPr>
              <w:pStyle w:val="LOnormal"/>
              <w:widowControl w:val="false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Neste projeto, pretende-se realizar uma investigação de inteligência artificial para identificar fagos e vírus que infectam abelhas. Através de levantamento bibliográfico, testes e otimização utilizando inteligência artificial, espera-se identificar com maior praticidade do que os métodos tradicionais os fagos e vírus que infectam abelhas. Dessa forma, esse trabalho pode contribuir para a redução da mortalidade das populações de abelhas, além de possibilitar a identificação desses patógenos de maneira mais fácil, com a otimização do algoritmo das inteligências artificiais que serão utilizadas neste projeto. Isso ajudará a preencher muitas lacunas encontradas nos diversos estudos científicos, contribuindo de forma importante para fins biotecnológicos que visam melhorar a sustentabilidade ambiental, enfocando abelhas e fagos, bem como a segurança alimentar mundial.</w:t>
            </w:r>
          </w:p>
          <w:p>
            <w:pPr>
              <w:pStyle w:val="TextBody"/>
              <w:widowControl w:val="false"/>
              <w:spacing w:before="0" w:after="14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br/>
            </w:r>
          </w:p>
        </w:tc>
      </w:tr>
      <w:tr>
        <w:trPr>
          <w:trHeight w:val="361" w:hRule="atLeast"/>
        </w:trPr>
        <w:tc>
          <w:tcPr>
            <w:tcW w:w="11341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65" w:hRule="atLeast"/>
        </w:trPr>
        <w:tc>
          <w:tcPr>
            <w:tcW w:w="1134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pBdr>
                <w:bottom w:val="single" w:sz="4" w:space="1" w:color="000000"/>
              </w:pBdr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D9D9D9" w:val="clear"/>
                <w:vertAlign w:val="baseline"/>
              </w:rPr>
              <w:t>METODOLOGIA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D9D9D9" w:val="clear"/>
                <w:vertAlign w:val="baseline"/>
              </w:rPr>
              <w:t xml:space="preserve">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D9D9D9" w:val="clear"/>
                <w:vertAlign w:val="baseline"/>
              </w:rPr>
              <w:t>Descrever detalhadamente a metodologia a ser utilizada no desenvolvimento do projeto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sz w:val="24"/>
                <w:szCs w:val="24"/>
              </w:rPr>
              <w:t>Levantamento bibliográfico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Para realizar o levantamento bibliográfico sobre o uso da inteligência artificial para identificar vírus que infectam abelhas e fagos, serão utilizados bancos de dados de artigos como PubMed, Google Scholar e Web of Science.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sz w:val="24"/>
                <w:szCs w:val="24"/>
              </w:rPr>
              <w:t>Seleção de palavras-chaves e período de publicação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Para realizar o levantamento bibliográfico sobre o uso da inteligência artificial para identificar vírus que infectam abelhas e fagos, serão utilizados bancos de dados de artigos como PubMed. Serão utilizadas diferentes palavras-chave em inglês, como genes e doenças virais, infecções virais, inteligência artificial e fagos, em cada uma das bases de dados utilizadas. Será realizada uma avaliação em um intervalo de mais de 30 anos, datados de 1990 até o ano de vigência do projeto. Isso resultará em uma lista de artigos para cada palavra-chave, que serão somados para obter o número total de artigos com os quais a pesquisa iniciará..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sz w:val="24"/>
                <w:szCs w:val="24"/>
              </w:rPr>
              <w:t>Critério da seleção do artigo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Os critérios ajudarão a obter um maior número de artigos científicos e informações adequadas com dados confiáveis para a publicação final da pesquisa.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1. Artigos científicos que estejam apenas em inglês.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2. Itens encontrados em um período de 1990 ao ano de vigência do projeto.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3. Que sejam apenas artigos publicados e revisado por pares.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4. Que seus estudos sejam sobre: v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>írus em abelhas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 xml:space="preserve">, infecções virais, </w:t>
            </w: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inteligência 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 xml:space="preserve"> artificial,</w:t>
            </w:r>
            <w:r>
              <w:rPr>
                <w:rFonts w:eastAsia="Times New Roman" w:cs="Times New Roman" w:ascii="arial" w:hAnsi="arial"/>
                <w:i/>
                <w:color w:val="000000"/>
                <w:sz w:val="24"/>
                <w:szCs w:val="24"/>
              </w:rPr>
              <w:t>fagos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sz w:val="24"/>
                <w:szCs w:val="24"/>
              </w:rPr>
              <w:t>Seleção e descarte de artigos científicos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Para efetuar a triagem e descarte de artigos científicos, é necessário atentar aos critérios de seleção para então decidir se serão rejeitados ou aceitos. Em seguida, os títulos e resumos dos artigos aceitos devem ser lidos para que seja possível realizar um filtro de seleção, obtendo informações precisas para a publicação. Por fim, é importante fazer um inventário completo de todos os artigos que não atenderam aos critérios exigidos e também dos artigos utilizados na investigação, verificando se a informação apresentada foi útil.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color w:val="000000"/>
                <w:sz w:val="24"/>
                <w:szCs w:val="24"/>
              </w:rPr>
              <w:t>Download e descarte de artigos duplicados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</w:rPr>
              <w:t>Todos os artigos que atenderem aos critérios de seleção serão baixados com a ferramenta Zotero e aqueles que forem artigos para download serão adicionados a um banco de dados que contribuirá para a redação e pesquisa científica proposta.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Uso de Inteligência artificial para identificar vírus que infectam abelhas e fagos</w:t>
            </w:r>
          </w:p>
          <w:p>
            <w:pPr>
              <w:pStyle w:val="LOnormal"/>
              <w:widowControl w:val="false"/>
              <w:spacing w:before="0" w:after="20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pt-BR" w:eastAsia="zh-CN" w:bidi="hi-IN"/>
              </w:rPr>
              <w:t>Inicialmente, será selecionado um critério estatístico mínimo para a expressão do gene (p-valor &lt; 0,04) a fim de realizar o treinamento da inteligência artificial e comparar os resultados com outras ferramentas já existentes na literatura. O objetivo é obter a maior precisão possível, utilizando as informações encontradas sobre genes diferencialmente expressos em vírus que infectam abelhas e fagos durante a infecção por diferentes patógenos virais. A detecção desses vírus será realizada por meio da utilização da inteligência artificial.</w:t>
            </w:r>
          </w:p>
        </w:tc>
      </w:tr>
      <w:tr>
        <w:trPr>
          <w:trHeight w:val="329" w:hRule="atLeast"/>
        </w:trPr>
        <w:tc>
          <w:tcPr>
            <w:tcW w:w="11341" w:type="dxa"/>
            <w:tcBorders>
              <w:top w:val="single" w:sz="4" w:space="0" w:color="000000"/>
              <w:bottom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INFRAESTRUTURA DISPONÍVEL: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Especificar a infraestrutura para execução do projeto</w:t>
            </w:r>
          </w:p>
        </w:tc>
      </w:tr>
      <w:tr>
        <w:trPr>
          <w:trHeight w:val="284" w:hRule="atLeast"/>
        </w:trPr>
        <w:tc>
          <w:tcPr>
            <w:tcW w:w="11341" w:type="dxa"/>
            <w:tcBorders>
              <w:top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3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360"/>
        <w:ind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Campus Soane Nazaré de Andrade Universidade Estadual de Santa Cruz (UESC): possui todos os equipamentos e laboratórios do Centro de Biotecnologia e Genética (CBG) necessários para realizar a pesquisa e o cronograma proposto e atender aos objetivos propostos na referida pesquisa. Para análise de dados,e caso haja estado de necessidade para uso de maior poder computacional, a UESC conta ainda com o Núcleo de Biologia Computacional e Gestão da Informação Biotecnológica (NBCGIB).</w:t>
      </w:r>
    </w:p>
    <w:tbl>
      <w:tblPr>
        <w:tblStyle w:val="Table5"/>
        <w:tblW w:w="10707" w:type="dxa"/>
        <w:jc w:val="left"/>
        <w:tblInd w:w="-4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07"/>
      </w:tblGrid>
      <w:tr>
        <w:trPr>
          <w:trHeight w:val="415" w:hRule="atLeast"/>
        </w:trPr>
        <w:tc>
          <w:tcPr>
            <w:tcW w:w="10707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-625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REFERÊNCIAS BIBLIOGRÁFICAS: </w:t>
            </w:r>
          </w:p>
        </w:tc>
      </w:tr>
      <w:tr>
        <w:trPr>
          <w:trHeight w:val="362" w:hRule="atLeast"/>
        </w:trPr>
        <w:tc>
          <w:tcPr>
            <w:tcW w:w="10707" w:type="dxa"/>
            <w:tcBorders>
              <w:top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3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KIELHOFER, S. et al. The importance of honey bees as pollinators in natural habitats. Journal of Insect Conservation, v. 19, n. 3, p. 479-494, 2015.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JUNQUEIRA, J. et al. Viruses in Brazilian honey bees: detection, prevalence and possible relationships with honey bee losses. Journal of Apicultural Research, v. 58, n. 2, p. 212-218, 2019.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BENAVIDES-MARTÍNEZ, A. et al. Bumblebee population genetics: a review. Apidologie, v. 51, n. 1, p. 1-15, 2020.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JUDD, T. M. et al. Pollinator effectiveness of Apis mellifera and Bombus impatiens (Hymenoptera: Apidae) in lowbush blueberry (Ericaceae: Vaccinium angustifolium). Environmental Entomology, v. 45, n. 1, p. 124-132, 2016.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YANG, E. C. et al. Nosema ceranae negatively affects honey bees, Apis mellifera, in the winter cluster. Journal of Invertebrate Pathology, v. 121, p. 52-55, 2014.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 JONG, D. et al. Colony collapse disorder: a descriptive study. PLoS ONE, v. 4, n. 8, p. e6481, 2009.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BRASIL, L. B. et al. Fungal diversity associated with honey bees and flowers from Brazil. Journal of Apicultural Research, v. 57, n. 2, p. 209-216, 2018.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MCMAHON, D. P. et al. Elevated virulence of an emerging viral genotype as a driver of honeybee loss. Proceedings of the Royal Society B, v. 285, n. 1871, p. 20171184, 2018.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GRANT, A. J. et al. The impact of insecticides and environmental factors on pollinators: a meta-analysis. Environmental Science and Pollution Research, v. 24, n. 20, p. 15988-16004, 2017.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MOLODTSOVA, T. N. et al. A review of research on the use of machine learning methods for the diagnosis of diseases in honey bees. Agricultural Biology, v. 56, n. 1, p. 77-89, 2021.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CAMERON, S. A. et al. Patterns of widespread decline in North American bumble bees. Proceedings of the National Academy of Sciences, v. 108, n. 2, p. 662-667, 2011.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PARRY, D. et al. Using machine learning to identify viruses of Apis mellifera and quantify their prevalence and abundance in honey bee populations. PLoS ONE, v. 16, n. 1, p. e0245200, 2021.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CHAUZAT, M. P. et al. Risk factors for honey bee colony loss in France. Environmental Science and Pollution Research, v. 22, n. 20, p. 15945-15955, 2015.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JAFFÉ, R. et al. Honey bee colony collapse disorder in crop areas: the role of pesticides and viruses. Environmental Chemistry Letters, v. 16, n. 1, p. 145-162, 2018.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ANDERSON, K. E. et al. Microbial ecology of the hive and pollination landscape: bacterial associates from floral nectar, the alimentary tract and stored food of honey bees (Apis mellifera). PLoS ONE, v. 11, n. 5, p. e0154351, 2016.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6"/>
        <w:tblW w:w="10706" w:type="dxa"/>
        <w:jc w:val="left"/>
        <w:tblInd w:w="-4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09"/>
        <w:gridCol w:w="473"/>
        <w:gridCol w:w="430"/>
        <w:gridCol w:w="430"/>
        <w:gridCol w:w="433"/>
        <w:gridCol w:w="430"/>
        <w:gridCol w:w="429"/>
        <w:gridCol w:w="432"/>
        <w:gridCol w:w="431"/>
        <w:gridCol w:w="434"/>
        <w:gridCol w:w="429"/>
        <w:gridCol w:w="437"/>
        <w:gridCol w:w="508"/>
      </w:tblGrid>
      <w:tr>
        <w:trPr/>
        <w:tc>
          <w:tcPr>
            <w:tcW w:w="10705" w:type="dxa"/>
            <w:gridSpan w:val="13"/>
            <w:tcBorders>
              <w:top w:val="single" w:sz="4" w:space="0" w:color="000000"/>
              <w:bottom w:val="single" w:sz="12" w:space="0" w:color="000000"/>
            </w:tcBorders>
            <w:shd w:fill="E6E6E6" w:val="clear"/>
          </w:tcPr>
          <w:p>
            <w:pPr>
              <w:pStyle w:val="LOnormal"/>
              <w:widowControl w:val="false"/>
              <w:spacing w:lineRule="auto" w:line="240" w:before="6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CRONOGRAMA DE ATIVIDADES DO PROJETO 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(Insira quantas linhas forem necessárias)</w:t>
            </w:r>
          </w:p>
        </w:tc>
      </w:tr>
      <w:tr>
        <w:trPr>
          <w:trHeight w:val="202" w:hRule="atLeast"/>
        </w:trPr>
        <w:tc>
          <w:tcPr>
            <w:tcW w:w="6742" w:type="dxa"/>
            <w:gridSpan w:val="4"/>
            <w:tcBorders>
              <w:top w:val="single" w:sz="12" w:space="0" w:color="000000"/>
            </w:tcBorders>
            <w:shd w:fill="C0C0C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963" w:type="dxa"/>
            <w:gridSpan w:val="9"/>
            <w:tcBorders>
              <w:top w:val="single" w:sz="12" w:space="0" w:color="000000"/>
            </w:tcBorders>
            <w:shd w:fill="C0C0C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60" w:after="0"/>
              <w:ind w:left="0" w:right="0" w:hanging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MESES </w:t>
            </w:r>
          </w:p>
        </w:tc>
      </w:tr>
      <w:tr>
        <w:trPr>
          <w:trHeight w:val="291" w:hRule="atLeast"/>
        </w:trPr>
        <w:tc>
          <w:tcPr>
            <w:tcW w:w="5409" w:type="dxa"/>
            <w:tcBorders>
              <w:bottom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Metas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12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54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left" w:pos="5497" w:leader="none"/>
                <w:tab w:val="center" w:pos="5858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Revisão de literatura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0" w:hRule="atLeast"/>
        </w:trPr>
        <w:tc>
          <w:tcPr>
            <w:tcW w:w="54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Consolidação dos dados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0" w:hRule="atLeast"/>
        </w:trPr>
        <w:tc>
          <w:tcPr>
            <w:tcW w:w="54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Treinamento da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inteligência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Artificial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0" w:hRule="atLeast"/>
        </w:trPr>
        <w:tc>
          <w:tcPr>
            <w:tcW w:w="54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Comparaç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t-BR" w:eastAsia="zh-CN" w:bidi="hi-IN"/>
              </w:rPr>
              <w:t xml:space="preserve">ão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t-BR" w:eastAsia="zh-CN" w:bidi="hi-IN"/>
              </w:rPr>
              <w:t>inteligência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t-BR" w:eastAsia="zh-CN" w:bidi="hi-IN"/>
              </w:rPr>
              <w:t xml:space="preserve"> Artificial com Diamond,blastn e blastx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0" w:hRule="atLeast"/>
        </w:trPr>
        <w:tc>
          <w:tcPr>
            <w:tcW w:w="54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Redação de relatórios científicos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X</w:t>
            </w:r>
          </w:p>
        </w:tc>
      </w:tr>
      <w:tr>
        <w:trPr>
          <w:trHeight w:val="270" w:hRule="atLeast"/>
        </w:trPr>
        <w:tc>
          <w:tcPr>
            <w:tcW w:w="5409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before="0" w:after="200"/>
        <w:rPr>
          <w:rFonts w:ascii="arial" w:hAnsi="arial"/>
          <w:sz w:val="24"/>
          <w:szCs w:val="24"/>
        </w:rPr>
      </w:pPr>
      <w:r>
        <w:rPr/>
      </w:r>
    </w:p>
    <w:sectPr>
      <w:footerReference w:type="default" r:id="rId5"/>
      <w:type w:val="nextPage"/>
      <w:pgSz w:w="11906" w:h="16838"/>
      <w:pgMar w:left="1077" w:right="1077" w:gutter="0" w:header="0" w:top="851" w:footer="709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0" w:after="0"/>
      <w:jc w:val="center"/>
    </w:pPr>
    <w:rPr>
      <w:rFonts w:ascii="Comic Sans MS" w:hAnsi="Comic Sans MS" w:eastAsia="Comic Sans MS" w:cs="Comic Sans MS"/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0" w:after="0"/>
      <w:jc w:val="center"/>
    </w:pPr>
    <w:rPr>
      <w:rFonts w:ascii="Comic Sans MS" w:hAnsi="Comic Sans MS" w:eastAsia="Comic Sans MS" w:cs="Comic Sans MS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0"/>
      <w:jc w:val="center"/>
    </w:pPr>
    <w:rPr>
      <w:rFonts w:ascii="Comic Sans MS" w:hAnsi="Comic Sans MS" w:eastAsia="Comic Sans MS" w:cs="Comic Sans MS"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spacing w:lineRule="auto" w:line="360" w:before="0" w:after="0"/>
      <w:jc w:val="both"/>
    </w:pPr>
    <w:rPr>
      <w:rFonts w:ascii="Comic Sans MS" w:hAnsi="Comic Sans MS" w:eastAsia="Comic Sans MS" w:cs="Comic Sans MS"/>
      <w:b/>
      <w:sz w:val="28"/>
      <w:szCs w:val="28"/>
    </w:rPr>
  </w:style>
  <w:style w:type="paragraph" w:styleId="Heading6">
    <w:name w:val="Heading 6"/>
    <w:basedOn w:val="LOnormal"/>
    <w:next w:val="LOnormal"/>
    <w:qFormat/>
    <w:pPr>
      <w:keepNext w:val="true"/>
      <w:spacing w:lineRule="auto" w:line="240" w:before="0" w:after="0"/>
    </w:pPr>
    <w:rPr>
      <w:rFonts w:ascii="Arial" w:hAnsi="Arial" w:eastAsia="Arial" w:cs="Arial"/>
      <w:b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7</Pages>
  <Words>2305</Words>
  <Characters>12986</Characters>
  <CharactersWithSpaces>15212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2023-05-12T10:05:29Z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