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[@UnitedNations1992ConBio]</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[@Navarro2017MonBio;</w:t>
      </w:r>
      <w:r>
        <w:t xml:space="preserve"> </w:t>
      </w:r>
      <w:r>
        <w:t xml:space="preserve">@Gonzalez2023GloBio]</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[@Xu2017OptMon; @Navarro2017MonBio]</w:t>
      </w:r>
      <w:r>
        <w:t xml:space="preserve">. Additional BONs are currently in the</w:t>
      </w:r>
      <w:r>
        <w:t xml:space="preserve"> </w:t>
      </w:r>
      <w:r>
        <w:t xml:space="preserve">development or planification stages, notably in Europe</w:t>
      </w:r>
      <w:r>
        <w:t xml:space="preserve"> </w:t>
      </w:r>
      <w:r>
        <w:t xml:space="preserve">[@Kissling2024ModEff]</w:t>
      </w:r>
      <w:r>
        <w:t xml:space="preserve"> </w:t>
      </w:r>
      <w:r>
        <w:t xml:space="preserve">and</w:t>
      </w:r>
      <w:r>
        <w:t xml:space="preserve"> </w:t>
      </w:r>
      <w:r>
        <w:t xml:space="preserve">in Canada</w:t>
      </w:r>
      <w:r>
        <w:t xml:space="preserve"> </w:t>
      </w:r>
      <w:r>
        <w:t xml:space="preserve">[@Gonzalez2025BioObs; @Simard2024ResSui]</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[@Gonzalez2023GloBio]</w:t>
      </w:r>
      <w:r>
        <w:t xml:space="preserve"> </w:t>
      </w:r>
      <w:r>
        <w:t xml:space="preserve">and guiding actions needed for targets and goals of the</w:t>
      </w:r>
      <w:r>
        <w:t xml:space="preserve"> </w:t>
      </w:r>
      <w:r>
        <w:t xml:space="preserve">Kunming-Montreal Global Biodiversity framework</w:t>
      </w:r>
      <w:r>
        <w:t xml:space="preserve"> </w:t>
      </w:r>
      <w:r>
        <w:t xml:space="preserve">[@CBD2022DecAdoa]</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[@Santana2025LarBio]</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[@Kissling2024ModEff]</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[@Norman2025SitSel]</w:t>
      </w:r>
      <w:r>
        <w:t xml:space="preserve">. Species richness is the most commonly used biodiversity</w:t>
      </w:r>
      <w:r>
        <w:t xml:space="preserve"> </w:t>
      </w:r>
      <w:r>
        <w:t xml:space="preserve">measure in monitoring contexts</w:t>
      </w:r>
      <w:r>
        <w:t xml:space="preserve"> </w:t>
      </w:r>
      <w:r>
        <w:t xml:space="preserve">[@Hillebrand2018BioCha]</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[@Willig2023ProBio]</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[@Hillebrand2018BioCha; @FletcherJr.2025SpeRic; @Aguiar2024UntBio]</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[@Valiente-Banuet2015SpeLos; @Harvey2017BriEco; @McCann2007ProBio]</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[@Jordano2016ChaEco; @Dansereau2025OveDis]</w:t>
      </w:r>
      <w:r>
        <w:t xml:space="preserve">. Interactions</w:t>
      </w:r>
      <w:r>
        <w:t xml:space="preserve"> </w:t>
      </w:r>
      <w:r>
        <w:t xml:space="preserve">mediate community and ecosystem responses to change</w:t>
      </w:r>
      <w:r>
        <w:t xml:space="preserve"> </w:t>
      </w:r>
      <w:r>
        <w:t xml:space="preserve">[@Garzke2019TroInt]</w:t>
      </w:r>
      <w:r>
        <w:t xml:space="preserve"> </w:t>
      </w:r>
      <w:r>
        <w:t xml:space="preserve">and can</w:t>
      </w:r>
      <w:r>
        <w:t xml:space="preserve"> </w:t>
      </w:r>
      <w:r>
        <w:t xml:space="preserve">improve our ability to predict responses to climate change</w:t>
      </w:r>
      <w:r>
        <w:t xml:space="preserve"> </w:t>
      </w:r>
      <w:r>
        <w:t xml:space="preserve">[@Abrego2021AccSpe]</w:t>
      </w:r>
      <w:r>
        <w:t xml:space="preserve">.</w:t>
      </w:r>
      <w:r>
        <w:t xml:space="preserve"> </w:t>
      </w:r>
      <w:r>
        <w:t xml:space="preserve">They have their own spatial and macro-ecological dynamics</w:t>
      </w:r>
      <w:r>
        <w:t xml:space="preserve"> </w:t>
      </w:r>
      <w:r>
        <w:t xml:space="preserve">[@Windsor2023UsiEco;</w:t>
      </w:r>
      <w:r>
        <w:t xml:space="preserve"> </w:t>
      </w:r>
      <w:r>
        <w:t xml:space="preserve">@Mestre2022DisFoo; @Baiser2019EcoRul; @Dansereau2024SpaExp]</w:t>
      </w:r>
      <w:r>
        <w:t xml:space="preserve">, and may be lost (or</w:t>
      </w:r>
      <w:r>
        <w:t xml:space="preserve"> </w:t>
      </w:r>
      <w:r>
        <w:t xml:space="preserve">change) faster than species</w:t>
      </w:r>
      <w:r>
        <w:t xml:space="preserve"> </w:t>
      </w:r>
      <w:r>
        <w:t xml:space="preserve">[@Valiente-Banuet2015SpeLos; @Dore2021RelEff]</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 </w:t>
      </w:r>
      <w:r>
        <w:t xml:space="preserve">[@Hortal2015SevSho;</w:t>
      </w:r>
      <w:r>
        <w:t xml:space="preserve"> </w:t>
      </w:r>
      <w:r>
        <w:t xml:space="preserve">@Poisot2021GloKno]</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[@Dansereau2025OveDis; @Moracho2025RebEco]</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 (e.g. </w:t>
      </w:r>
      <w:r>
        <w:t xml:space="preserve"> </w:t>
      </w:r>
      <w:r>
        <w:t xml:space="preserve">) and how sampling effort affects network</w:t>
      </w:r>
      <w:r>
        <w:t xml:space="preserve"> </w:t>
      </w:r>
      <w:r>
        <w:t xml:space="preserve">properties (e.g. </w:t>
      </w:r>
      <w:r>
        <w:t xml:space="preserve">). Recent empirical</w:t>
      </w:r>
      <w:r>
        <w:t xml:space="preserve"> </w:t>
      </w:r>
      <w:r>
        <w:t xml:space="preserve">[@Caron2024TraMod]</w:t>
      </w:r>
      <w:r>
        <w:t xml:space="preserve"> </w:t>
      </w:r>
      <w:r>
        <w:t xml:space="preserve">and theoretical</w:t>
      </w:r>
      <w:r>
        <w:t xml:space="preserve"> </w:t>
      </w:r>
      <w:r>
        <w:t xml:space="preserve">[@Poisot2023GuiPre]</w:t>
      </w:r>
      <w:r>
        <w:t xml:space="preserve"> </w:t>
      </w:r>
      <w:r>
        <w:t xml:space="preserve">results have established</w:t>
      </w:r>
      <w:r>
        <w:t xml:space="preserve"> </w:t>
      </w:r>
      <w:r>
        <w:t xml:space="preserve">that knowing the network structure (i.e. network properties) does not always</w:t>
      </w:r>
      <w:r>
        <w:t xml:space="preserve"> </w:t>
      </w:r>
      <w:r>
        <w:t xml:space="preserve">allow to know the list of interactions (and vice versa), therefore justifying</w:t>
      </w:r>
      <w:r>
        <w:t xml:space="preserve"> </w:t>
      </w:r>
      <w:r>
        <w:t xml:space="preserve">the need to sample interactions as their own biological entities. A central</w:t>
      </w:r>
      <w:r>
        <w:t xml:space="preserve"> </w:t>
      </w:r>
      <w:r>
        <w:t xml:space="preserve">challenge to do so is that the sampling effort required to document interactions</w:t>
      </w:r>
      <w:r>
        <w:t xml:space="preserve"> </w:t>
      </w:r>
      <w:r>
        <w:t xml:space="preserve">is much higher than for species (e.g. 500% vs 64% in</w:t>
      </w:r>
      <w:r>
        <w:t xml:space="preserve"> </w:t>
      </w:r>
      <w:r>
        <w:t xml:space="preserve">). Moreover, evaluating sampling</w:t>
      </w:r>
      <w:r>
        <w:t xml:space="preserve"> </w:t>
      </w:r>
      <w:r>
        <w:t xml:space="preserve">completeness for interactions is more complex than for species, as it requires</w:t>
      </w:r>
      <w:r>
        <w:t xml:space="preserve"> </w:t>
      </w:r>
      <w:r>
        <w:t xml:space="preserve">assessing the proportion of forbidden links (i.e. links that cannot occur) due</w:t>
      </w:r>
      <w:r>
        <w:t xml:space="preserve"> </w:t>
      </w:r>
      <w:r>
        <w:t xml:space="preserve">to life history or morphological restrictions, which in turn requires knowledge</w:t>
      </w:r>
      <w:r>
        <w:t xml:space="preserve"> </w:t>
      </w:r>
      <w:r>
        <w:t xml:space="preserve">of species natural history and traits</w:t>
      </w:r>
      <w:r>
        <w:t xml:space="preserve"> </w:t>
      </w:r>
      <w:r>
        <w:t xml:space="preserve">[@Jordano2016SamNet]</w:t>
      </w:r>
      <w:r>
        <w:t xml:space="preserve">. While some</w:t>
      </w:r>
      <w:r>
        <w:t xml:space="preserve"> </w:t>
      </w:r>
      <w:r>
        <w:t xml:space="preserve">quantitative network properties such as connectance are less affected by</w:t>
      </w:r>
      <w:r>
        <w:t xml:space="preserve"> </w:t>
      </w:r>
      <w:r>
        <w:t xml:space="preserve">sampling completeness, network composition and binary measurements derived from</w:t>
      </w:r>
      <w:r>
        <w:t xml:space="preserve"> </w:t>
      </w:r>
      <w:r>
        <w:t xml:space="preserve">it will vary widely if interactions are missed (e.g. number of links,</w:t>
      </w:r>
      <w:r>
        <w:t xml:space="preserve"> </w:t>
      </w:r>
      <w:r>
        <w:t xml:space="preserve"> </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 (to measure the effect</w:t>
      </w:r>
      <w:r>
        <w:t xml:space="preserve"> </w:t>
      </w:r>
      <w:r>
        <w:t xml:space="preserve">on network composition and properties,</w:t>
      </w:r>
      <w:r>
        <w:t xml:space="preserve"> </w:t>
      </w:r>
      <w:r>
        <w:t xml:space="preserve"> </w:t>
      </w:r>
      <w:r>
        <w:t xml:space="preserve">), focused on the effect of scale</w:t>
      </w:r>
      <w:r>
        <w:t xml:space="preserve"> </w:t>
      </w:r>
      <w:r>
        <w:t xml:space="preserve">(showing that many network structure metrics are robust across spatial scales,</w:t>
      </w:r>
      <w:r>
        <w:t xml:space="preserve"> </w:t>
      </w:r>
      <w:r>
        <w:t xml:space="preserve">), or assessed the ability to capture regional</w:t>
      </w:r>
      <w:r>
        <w:t xml:space="preserve"> </w:t>
      </w:r>
      <w:r>
        <w:t xml:space="preserve">properties (showing that sampling larger to smaller lakes better captures</w:t>
      </w:r>
      <w:r>
        <w:t xml:space="preserve"> </w:t>
      </w:r>
      <w:r>
        <w:t xml:space="preserve">regional metaweb properties,</w:t>
      </w:r>
      <w:r>
        <w:t xml:space="preserve"> </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[@Poisot2015SpeWhy; @Cirtwill2019QuaFra;</w:t>
      </w:r>
      <w:r>
        <w:t xml:space="preserve"> </w:t>
      </w:r>
      <w:r>
        <w:t xml:space="preserve">@Catchen2023MisLin]</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[@deAguiar2019RevBia]</w:t>
      </w:r>
      <w:r>
        <w:t xml:space="preserve">,</w:t>
      </w:r>
      <w:r>
        <w:t xml:space="preserve"> </w:t>
      </w:r>
      <w:r>
        <w:t xml:space="preserve">determine optimal sampling frequency for monitoring</w:t>
      </w:r>
      <w:r>
        <w:t xml:space="preserve"> </w:t>
      </w:r>
      <w:r>
        <w:t xml:space="preserve">[@Daugaard2024DepFor]</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[@Ficetola2018OptMon]</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@Catchen2023MisLin</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@Catchen2023MisLin</w:t>
      </w:r>
      <w:r>
        <w:t xml:space="preserve"> </w:t>
      </w:r>
      <w:r>
        <w:t xml:space="preserve">(building on</w:t>
      </w:r>
      <w:r>
        <w:t xml:space="preserve"> </w:t>
      </w:r>
      <w:r>
        <w:t xml:space="preserve">) to</w:t>
      </w:r>
      <w:r>
        <w:t xml:space="preserve"> </w:t>
      </w:r>
      <w:r>
        <w:t xml:space="preserve">simulate interaction realization and detection while accounting for spatial</w:t>
      </w:r>
      <w:r>
        <w:t xml:space="preserve"> </w:t>
      </w:r>
      <w:r>
        <w:t xml:space="preserve">variation in species occurrences, implemented in</w:t>
      </w:r>
      <w:r>
        <w:t xml:space="preserve"> </w:t>
      </w:r>
      <w:r>
        <w:rPr>
          <w:rStyle w:val="VerbatimChar"/>
        </w:rPr>
        <w:t xml:space="preserve">SpeciesInteractionSamplers.jl</w:t>
      </w:r>
      <w:r>
        <w:t xml:space="preserve">. This model broadly captures the different</w:t>
      </w:r>
      <w:r>
        <w:t xml:space="preserve"> </w:t>
      </w:r>
      <w:r>
        <w:t xml:space="preserve">processes involved into turning a</w:t>
      </w:r>
      <w:r>
        <w:t xml:space="preserve"> </w:t>
      </w:r>
      <w:r>
        <w:rPr>
          <w:i/>
          <w:iCs/>
        </w:rPr>
        <w:t xml:space="preserve">potential</w:t>
      </w:r>
      <w:r>
        <w:t xml:space="preserve"> </w:t>
      </w:r>
      <w:r>
        <w:t xml:space="preserve">interaction (i.e. a biologically</w:t>
      </w:r>
      <w:r>
        <w:t xml:space="preserve"> </w:t>
      </w:r>
      <w:r>
        <w:t xml:space="preserve">feasible interaction) into a</w:t>
      </w:r>
      <w:r>
        <w:t xml:space="preserve"> </w:t>
      </w:r>
      <w:r>
        <w:rPr>
          <w:i/>
          <w:iCs/>
        </w:rPr>
        <w:t xml:space="preserve">realized</w:t>
      </w:r>
      <w:r>
        <w:t xml:space="preserve"> </w:t>
      </w:r>
      <w:r>
        <w:t xml:space="preserve">one (i.e. an interaction that took place</w:t>
      </w:r>
      <w:r>
        <w:t xml:space="preserve"> </w:t>
      </w:r>
      <w:r>
        <w:t xml:space="preserve">at a specified location), as outlined in</w:t>
      </w:r>
      <w:r>
        <w:t xml:space="preserve"> </w:t>
      </w:r>
      <w:r>
        <w:t xml:space="preserve">@Morales-Castilla2015InfBio</w:t>
      </w:r>
      <w:r>
        <w:t xml:space="preserve">. To this</w:t>
      </w:r>
      <w:r>
        <w:t xml:space="preserve"> </w:t>
      </w:r>
      <w:r>
        <w:t xml:space="preserve">generative model, we added the design of Biodiversity Observation Networks and</w:t>
      </w:r>
      <w:r>
        <w:t xml:space="preserve"> </w:t>
      </w:r>
      <w:r>
        <w:t xml:space="preserve">the evaluation of sampling efficiency between and across simulations for species</w:t>
      </w:r>
      <w:r>
        <w:t xml:space="preserve"> </w:t>
      </w:r>
      <w:r>
        <w:t xml:space="preserve">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 </w:t>
      </w:r>
      <w:r>
        <w:t xml:space="preserve">). NLMs are used to generate landscapes</w:t>
      </w:r>
      <w:r>
        <w:t xml:space="preserve"> </w:t>
      </w:r>
      <w:r>
        <w:t xml:space="preserve">replicating realistic spatially-autocorrelated distributions and representing</w:t>
      </w:r>
      <w:r>
        <w:t xml:space="preserve"> </w:t>
      </w:r>
      <w:r>
        <w:t xml:space="preserve">useful baselines to explore ecological processes in a spatial context</w:t>
      </w:r>
      <w:r>
        <w:t xml:space="preserve"> </w:t>
      </w:r>
      <w:r>
        <w:t xml:space="preserve">[@Hesselbarth2024ComMet]</w:t>
      </w:r>
      <w:r>
        <w:t xml:space="preserve">. NLMs have been used to generate realistic landscapes</w:t>
      </w:r>
      <w:r>
        <w:t xml:space="preserve"> </w:t>
      </w:r>
      <w:r>
        <w:t xml:space="preserve">in contexts relating to biodiversity distribution and preservation, for instance</w:t>
      </w:r>
      <w:r>
        <w:t xml:space="preserve"> </w:t>
      </w:r>
      <w:r>
        <w:t xml:space="preserve">to compare avian diversity between conservation approaches in coffee-growing</w:t>
      </w:r>
      <w:r>
        <w:t xml:space="preserve"> </w:t>
      </w:r>
      <w:r>
        <w:t xml:space="preserve">landscapes</w:t>
      </w:r>
      <w:r>
        <w:t xml:space="preserve"> </w:t>
      </w:r>
      <w:r>
        <w:t xml:space="preserve">[@Valente2022LanLan]</w:t>
      </w:r>
      <w:r>
        <w:t xml:space="preserve"> </w:t>
      </w:r>
      <w:r>
        <w:t xml:space="preserve">or to assess the potential of a suggested</w:t>
      </w:r>
      <w:r>
        <w:t xml:space="preserve"> </w:t>
      </w:r>
      <w:r>
        <w:t xml:space="preserve">umbrella species in an ecotone</w:t>
      </w:r>
      <w:r>
        <w:t xml:space="preserve"> </w:t>
      </w:r>
      <w:r>
        <w:t xml:space="preserve">[@Duchardt2023UsiNeu]</w:t>
      </w:r>
      <w:r>
        <w:t xml:space="preserve">. NLMs have also been used</w:t>
      </w:r>
      <w:r>
        <w:t xml:space="preserve"> </w:t>
      </w:r>
      <w:r>
        <w:t xml:space="preserve">with species interactions, for example to evaluate the effect of landscape</w:t>
      </w:r>
      <w:r>
        <w:t xml:space="preserve"> </w:t>
      </w:r>
      <w:r>
        <w:t xml:space="preserve">structure in cross-species disease transmission between interacting species</w:t>
      </w:r>
      <w:r>
        <w:t xml:space="preserve"> </w:t>
      </w:r>
      <w:r>
        <w:t xml:space="preserve">[@Forero-Munoz2025SpaLan]</w:t>
      </w:r>
      <w:r>
        <w:t xml:space="preserve">. Here, we generated species ranges following the</w:t>
      </w:r>
      <w:r>
        <w:t xml:space="preserve"> </w:t>
      </w:r>
      <w:r>
        <w:t xml:space="preserve">implementation in SpeciesInteractionSamplers.jl</w:t>
      </w:r>
      <w:r>
        <w:t xml:space="preserve"> </w:t>
      </w:r>
      <w:r>
        <w:t xml:space="preserve">[@Catchen2023MisLin]</w:t>
      </w:r>
      <w:r>
        <w:t xml:space="preserve">, which 1)</w:t>
      </w:r>
      <w:r>
        <w:t xml:space="preserve"> </w:t>
      </w:r>
      <w:r>
        <w:t xml:space="preserve">uses the Diamond-Square algorithm (</w:t>
      </w:r>
      <w:r>
        <w:t xml:space="preserve">; also</w:t>
      </w:r>
      <w:r>
        <w:t xml:space="preserve"> </w:t>
      </w:r>
      <w:r>
        <w:t xml:space="preserve">used similarly and described by</w:t>
      </w:r>
      <w:r>
        <w:t xml:space="preserve"> </w:t>
      </w:r>
      <w:r>
        <w:t xml:space="preserve">) to</w:t>
      </w:r>
      <w:r>
        <w:t xml:space="preserve"> </w:t>
      </w:r>
      <w:r>
        <w:t xml:space="preserve">generate a probabilistic spatially-autocorrelated range for a species (default</w:t>
      </w:r>
      <w:r>
        <w:t xml:space="preserve"> </w:t>
      </w:r>
      <w:r>
        <w:t xml:space="preserve">autocorrelation parameter h=0.85); 2) draws a threshold based on a Beta</w:t>
      </w:r>
      <w:r>
        <w:t xml:space="preserve"> </w:t>
      </w:r>
      <w:r>
        <w:t xml:space="preserve">distribution (default</w:t>
      </w:r>
      <w:r>
        <w:t xml:space="preserve"> </w:t>
      </w:r>
      <m:oMath>
        <m:r>
          <m:t>α</m:t>
        </m:r>
      </m:oMath>
      <w:r>
        <w:t xml:space="preserve"> </w:t>
      </w:r>
      <w:r>
        <w:t xml:space="preserve">= 10,</w:t>
      </w:r>
      <w:r>
        <w:t xml:space="preserve"> </w:t>
      </w:r>
      <m:oMath>
        <m:r>
          <m:t>β</m:t>
        </m:r>
      </m:oMath>
      <w:r>
        <w:t xml:space="preserve"> </w:t>
      </w:r>
      <w:r>
        <w:t xml:space="preserve">= 10); 3) converts the</w:t>
      </w:r>
      <w:r>
        <w:t xml:space="preserve"> </w:t>
      </w:r>
      <w:r>
        <w:t xml:space="preserve">probabilistic range into a binary one, considering all sites with values higher</w:t>
      </w:r>
      <w:r>
        <w:t xml:space="preserve"> </w:t>
      </w:r>
      <w:r>
        <w:t xml:space="preserve">than the threshold as presence and those with lower values as absence, and 4)</w:t>
      </w:r>
      <w:r>
        <w:t xml:space="preserve"> </w:t>
      </w:r>
      <w:r>
        <w:t xml:space="preserve">repeating the process independently for all species (here 75 species). In the</w:t>
      </w:r>
      <w:r>
        <w:t xml:space="preserve"> </w:t>
      </w:r>
      <w:r>
        <w:t xml:space="preserve">end, this process generates communities of known composition and species</w:t>
      </w:r>
      <w:r>
        <w:t xml:space="preserve"> </w:t>
      </w:r>
      <w:r>
        <w:t xml:space="preserve">richness at every site in the simulated landscape.</w:t>
      </w:r>
    </w:p>
    <w:p>
      <w:pPr>
        <w:pStyle w:val="BodyText"/>
      </w:pPr>
      <w:r>
        <w:t xml:space="preserve">Next, using the spatio-temporal model presented by</w:t>
      </w:r>
      <w:r>
        <w:t xml:space="preserve"> </w:t>
      </w:r>
      <w:r>
        <w:t xml:space="preserve">@Catchen2023MisLin</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[@Williams2000SimRul]</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[@Williams2000SimRul;</w:t>
      </w:r>
      <w:r>
        <w:t xml:space="preserve"> </w:t>
      </w:r>
      <w:r>
        <w:t xml:space="preserve">@Gravel2013InfFoo; @Delmas2019AnaEco]</w:t>
      </w:r>
      <w:r>
        <w:t xml:space="preserve">. It is widely used as a generative model,</w:t>
      </w:r>
      <w:r>
        <w:t xml:space="preserve"> </w:t>
      </w:r>
      <w:r>
        <w:t xml:space="preserve">including in the context of investigating interaction sampling</w:t>
      </w:r>
      <w:r>
        <w:t xml:space="preserve"> </w:t>
      </w:r>
      <w:r>
        <w:t xml:space="preserve">[@Poisot2012DisSpe; @Wood2015EffSpa]</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[@Catchen2023MisLin]</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[@Catchen2023MisLin;</w:t>
      </w:r>
      <w:r>
        <w:t xml:space="preserve"> </w:t>
      </w:r>
      <w:r>
        <w:t xml:space="preserve">@Canard2012EmeStr]</w:t>
      </w:r>
      <w:r>
        <w:t xml:space="preserve">. The neutral model introduced by</w:t>
      </w:r>
      <w:r>
        <w:t xml:space="preserve"> </w:t>
      </w:r>
      <w:r>
        <w:t xml:space="preserve">@Catchen2023MisLin</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 the variance is controlled by a parameter</w:t>
      </w:r>
      <w:r>
        <w:t xml:space="preserve"> </w:t>
      </w:r>
      <m:oMath>
        <m:r>
          <m:t>σ</m:t>
        </m:r>
      </m:oMath>
      <w:r>
        <w:t xml:space="preserve">).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they draw realized interactions from a Poisson distribution</w:t>
      </w:r>
      <w:r>
        <w:t xml:space="preserve"> </w:t>
      </w:r>
      <w:r>
        <w:t xml:space="preserve">parametrized on the interaction rate (see</w:t>
      </w:r>
      <w:r>
        <w:t xml:space="preserve"> </w:t>
      </w:r>
      <w:r>
        <w:t xml:space="preserve"> </w:t>
      </w:r>
      <w:r>
        <w:t xml:space="preserve">for full details).</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@Catchen2023MisLin</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 (e.g. China BON,</w:t>
      </w:r>
      <w:r>
        <w:t xml:space="preserve"> </w:t>
      </w:r>
      <w:r>
        <w:t xml:space="preserve"> </w:t>
      </w:r>
      <w:r>
        <w:t xml:space="preserve">) and subnational ones (Québec and Alberta in</w:t>
      </w:r>
      <w:r>
        <w:t xml:space="preserve"> </w:t>
      </w:r>
      <w:r>
        <w:t xml:space="preserve">Canada,</w:t>
      </w:r>
      <w:r>
        <w:t xml:space="preserve"> </w:t>
      </w:r>
      <w:r>
        <w:t xml:space="preserve"> </w:t>
      </w:r>
      <w:r>
        <w:t xml:space="preserve">).</w:t>
      </w:r>
      <w:r>
        <w:t xml:space="preserve"> </w:t>
      </w:r>
      <w:r>
        <w:t xml:space="preserve">@Norman2025SitSel</w:t>
      </w:r>
      <w:r>
        <w:t xml:space="preserve"> </w:t>
      </w:r>
      <w:r>
        <w:t xml:space="preserve">presented an overview</w:t>
      </w:r>
      <w:r>
        <w:t xml:space="preserve"> </w:t>
      </w:r>
      <w:r>
        <w:t xml:space="preserve">of the design and site selection process accounting for ecological monitoring</w:t>
      </w:r>
      <w:r>
        <w:t xml:space="preserve"> </w:t>
      </w:r>
      <w:r>
        <w:t xml:space="preserve">goals. The design process uses a site selection algorithm to designate candidate</w:t>
      </w:r>
      <w:r>
        <w:t xml:space="preserve"> </w:t>
      </w:r>
      <w:r>
        <w:t xml:space="preserve">sites for the monitoring network. Key features of the site selection algorithms</w:t>
      </w:r>
      <w:r>
        <w:t xml:space="preserve"> </w:t>
      </w:r>
      <w:r>
        <w:t xml:space="preserve">include the ability to balance sites across space for equal representation (see</w:t>
      </w:r>
      <w:r>
        <w:t xml:space="preserve"> </w:t>
      </w:r>
      <w:r>
        <w:t xml:space="preserve"> </w:t>
      </w:r>
      <w:r>
        <w:t xml:space="preserve"> </w:t>
      </w:r>
      <w:r>
        <w:t xml:space="preserve">for reviews), to stratify across regions or populations, to include auxiliary</w:t>
      </w:r>
      <w:r>
        <w:t xml:space="preserve"> </w:t>
      </w:r>
      <w:r>
        <w:t xml:space="preserve">site information (environmental or biological) to weight inclusion probability,</w:t>
      </w:r>
      <w:r>
        <w:t xml:space="preserve"> </w:t>
      </w:r>
      <w:r>
        <w:t xml:space="preserve">and to produce master samples including current monitoring site or from which to</w:t>
      </w:r>
      <w:r>
        <w:t xml:space="preserve"> </w:t>
      </w:r>
      <w:r>
        <w:t xml:space="preserve">select a subset of sites for a specific monitoring project</w:t>
      </w:r>
      <w:r>
        <w:t xml:space="preserve"> </w:t>
      </w:r>
      <w:r>
        <w:t xml:space="preserve">[@vanDam-Bates2018UsiBal; @Robertson2024WelSam]</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[@Robertson2013BasBal]</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[@Lewis1994SeqAlg]</w:t>
      </w:r>
      <w:r>
        <w:t xml:space="preserve"> </w:t>
      </w:r>
      <w:r>
        <w:t xml:space="preserve">can be used to optimize sampling given</w:t>
      </w:r>
      <w:r>
        <w:t xml:space="preserve"> </w:t>
      </w:r>
      <w:r>
        <w:t xml:space="preserve">information on element uncertainty</w:t>
      </w:r>
      <w:r>
        <w:t xml:space="preserve"> </w:t>
      </w:r>
      <w:r>
        <w:t xml:space="preserve">[@Settles2009ActLea]</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[@Lange2023ActLea]</w:t>
      </w:r>
      <w:r>
        <w:t xml:space="preserve"> </w:t>
      </w:r>
      <w:r>
        <w:t xml:space="preserve">and minimizing</w:t>
      </w:r>
      <w:r>
        <w:t xml:space="preserve"> </w:t>
      </w:r>
      <w:r>
        <w:t xml:space="preserve">field data collection costs based on distances between samples</w:t>
      </w:r>
      <w:r>
        <w:t xml:space="preserve"> </w:t>
      </w:r>
      <w:r>
        <w:t xml:space="preserve">[@Malek2019OptFie]</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[@Williams2000SimRul; @Dunne2002NetStr; @Dunne2004NetStr;</w:t>
      </w:r>
      <w:r>
        <w:t xml:space="preserve"> </w:t>
      </w:r>
      <w:r>
        <w:t xml:space="preserve">@Smith-Ramesh2017GloSyn]</w:t>
      </w:r>
      <w:r>
        <w:t xml:space="preserve"> </w:t>
      </w:r>
      <w:r>
        <w:t xml:space="preserve">commonly used for reference</w:t>
      </w:r>
      <w:r>
        <w:t xml:space="preserve"> </w:t>
      </w:r>
      <w:r>
        <w:t xml:space="preserve">[@Williams2008SucIts;</w:t>
      </w:r>
      <w:r>
        <w:t xml:space="preserve"> </w:t>
      </w:r>
      <w:r>
        <w:t xml:space="preserve">@Baiser2010ConDet; @Wood2015EffSpa]</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@Thompson2017DisGov</w:t>
      </w:r>
      <w:r>
        <w:t xml:space="preserve">. We used the following parameters for the spatio-temporal</w:t>
      </w:r>
      <w:r>
        <w:t xml:space="preserve"> </w:t>
      </w:r>
      <w:r>
        <w:t xml:space="preserve">model implemented in SpeciesInteractionSamplers.jl</w:t>
      </w:r>
      <w:r>
        <w:t xml:space="preserve"> </w:t>
      </w:r>
      <w:r>
        <w:t xml:space="preserve">[@Catchen2023MisLin]</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[@Catchen2023MisLin]</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@Catchen2023MisLin</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[@Bezanson2017JulFre]</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[@Dansereau2026GabNet]</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[@Kermorvant2019SpaBal]</w:t>
      </w:r>
      <w:r>
        <w:t xml:space="preserve">. We used the</w:t>
      </w:r>
      <w:r>
        <w:t xml:space="preserve"> </w:t>
      </w:r>
      <w:r>
        <w:t xml:space="preserve">Balanced Acceptance Sampling algorithm</w:t>
      </w:r>
      <w:r>
        <w:t xml:space="preserve"> </w:t>
      </w:r>
      <w:r>
        <w:t xml:space="preserve">[@Robertson2013BasBal;</w:t>
      </w:r>
      <w:r>
        <w:t xml:space="preserve"> </w:t>
      </w:r>
      <w:r>
        <w:t xml:space="preserve">@Robertson2017ModBal]</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 (e.g. </w:t>
      </w:r>
      <w:r>
        <w:t xml:space="preserve">,</w:t>
      </w:r>
      <w:r>
        <w:t xml:space="preserve"> </w:t>
      </w:r>
      <w:r>
        <w:t xml:space="preserve">because it is at the 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w:t>
      </w:r>
      <w:r>
        <w:t xml:space="preserve">). Hence, we also investigated</w:t>
      </w:r>
      <w:r>
        <w:t xml:space="preserve"> </w:t>
      </w:r>
      <w:r>
        <w:t xml:space="preserve">sampling efficiency from a focal species perspective, by simulating a virtual</w:t>
      </w:r>
      <w:r>
        <w:t xml:space="preserve"> </w:t>
      </w:r>
      <w:r>
        <w:t xml:space="preserve">observer that would aim to sample all the interactions of a focal species (here</w:t>
      </w:r>
      <w:r>
        <w:t xml:space="preserve"> </w:t>
      </w:r>
      <w:r>
        <w:t xml:space="preserve">known from the metaweb), but might have different information on how to optimize</w:t>
      </w:r>
      <w:r>
        <w:t xml:space="preserve"> </w:t>
      </w:r>
      <w:r>
        <w:t xml:space="preserve">the sampling design.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(as it was previously shown as</w:t>
      </w:r>
      <w:r>
        <w:t xml:space="preserve"> </w:t>
      </w:r>
      <w:r>
        <w:t xml:space="preserve">an efficient strategy for sampling and conservation,</w:t>
      </w:r>
      <w:r>
        <w:t xml:space="preserve"> </w:t>
      </w:r>
      <w:r>
        <w:t xml:space="preserve"> </w:t>
      </w:r>
      <w:r>
        <w:t xml:space="preserve">). We</w:t>
      </w:r>
      <w:r>
        <w:t xml:space="preserve"> </w:t>
      </w:r>
      <w:r>
        <w:t xml:space="preserve">then generated BONs of 1 to 500 sites (at interval increments of 10 sites) using</w:t>
      </w:r>
      <w:r>
        <w:t xml:space="preserve"> </w:t>
      </w:r>
      <w:r>
        <w:t xml:space="preserve">the three balanced strategies (Balanced Sampling, Balanced Within Range,</w:t>
      </w:r>
      <w:r>
        <w:t xml:space="preserve"> </w:t>
      </w:r>
      <w:r>
        <w:t xml:space="preserve">Weighted Sampling) and four optimization targets for the Targeted Sampling</w:t>
      </w:r>
      <w:r>
        <w:t xml:space="preserve"> </w:t>
      </w:r>
      <w:r>
        <w:t xml:space="preserve">strategy (focal species range, probabilistic range, species richness, realized</w:t>
      </w:r>
      <w:r>
        <w:t xml:space="preserve"> </w:t>
      </w:r>
      <w:r>
        <w:t xml:space="preserve">interactions), with 50 replicates for every number of sites. For each BON</w:t>
      </w:r>
      <w:r>
        <w:t xml:space="preserve"> </w:t>
      </w:r>
      <w:r>
        <w:t xml:space="preserve">generated, we extracted the number of unique realized interactions sampled</w:t>
      </w:r>
      <w:r>
        <w:t xml:space="preserve"> </w:t>
      </w:r>
      <w:r>
        <w:t xml:space="preserve">across all sites for the focal species. We then performed a grid search across</w:t>
      </w:r>
      <w:r>
        <w:t xml:space="preserve"> </w:t>
      </w:r>
      <w:r>
        <w:t xml:space="preserve">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 curve</w:t>
      </w:r>
      <w:r>
        <w:t xml:space="preserve"> </w:t>
      </w:r>
      <w:r>
        <w:t xml:space="preserve">with the best fit to the simulation’s results. To do so, we extracted the median</w:t>
      </w:r>
      <w:r>
        <w:t xml:space="preserve"> </w:t>
      </w:r>
      <w:r>
        <w:t xml:space="preserve">result (proportion of sampled interactions) across replicates for every number</w:t>
      </w:r>
      <w:r>
        <w:t xml:space="preserve"> </w:t>
      </w:r>
      <w:r>
        <w:t xml:space="preserve">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[@Gibbons2010NonSta]</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targets for 200 independent simulations. The comparison value is based on the</w:t>
            </w:r>
            <w:r>
              <w:t xml:space="preserve"> </w:t>
            </w:r>
            <w:r>
              <w:t xml:space="preserve">number of sites required to document 80% of the focal species’ interactions</w:t>
            </w:r>
            <w:r>
              <w:t xml:space="preserve"> </w:t>
            </w:r>
            <w:r>
              <w:t xml:space="preserve">(</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 indicate that</w:t>
            </w:r>
            <w:r>
              <w:t xml:space="preserve"> </w:t>
            </w:r>
            <w:r>
              <w:t xml:space="preserve">the compared option led to a more efficient sampling than its reference (faster</w:t>
            </w:r>
            <w:r>
              <w:t xml:space="preserve"> </w:t>
            </w:r>
            <w:r>
              <w:t xml:space="preserve">documentation of interactions), while positive values (in green) indicate it</w:t>
            </w:r>
            <w:r>
              <w:t xml:space="preserve"> </w:t>
            </w:r>
            <w:r>
              <w:t xml:space="preserve">required a higher sampling effort. Equal values (in pink) have overlapping</w:t>
            </w:r>
            <w:r>
              <w:t xml:space="preserve"> </w:t>
            </w:r>
            <w:r>
              <w:t xml:space="preserve">confidence intervals. The reference is the same on the two subpanels (Targeted</w:t>
            </w:r>
            <w:r>
              <w:t xml:space="preserve"> </w:t>
            </w:r>
            <w:r>
              <w:t xml:space="preserve">Sampling using the focal species range) and was chosen to simplify the number of</w:t>
            </w:r>
            <w:r>
              <w:t xml:space="preserve"> </w:t>
            </w:r>
            <w:r>
              <w:t xml:space="preserve">comparisons displayed. All one-by-one comparisons are available in Supp.</w:t>
            </w:r>
            <w:r>
              <w:t xml:space="preserve"> </w:t>
            </w:r>
            <w:r>
              <w:t xml:space="preserve">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[@Brown2001IntEst</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[@Chacoff2012EvaSam]</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 (e.g. focusing on interactions for a</w:t>
      </w:r>
      <w:r>
        <w:t xml:space="preserve"> </w:t>
      </w:r>
      <w:r>
        <w:t xml:space="preserve">keystone or high degree species,</w:t>
      </w:r>
      <w:r>
        <w:t xml:space="preserve"> </w:t>
      </w:r>
      <w:r>
        <w:t xml:space="preserve">) can yield</w:t>
      </w:r>
      <w:r>
        <w:t xml:space="preserve"> </w:t>
      </w:r>
      <w:r>
        <w:t xml:space="preserve">relevant results while relying on attainable levels of information (Figures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 representative</w:t>
      </w:r>
      <w:r>
        <w:t xml:space="preserve"> </w:t>
      </w:r>
      <w:r>
        <w:t xml:space="preserve">example in</w:t>
      </w:r>
      <w:r>
        <w:t xml:space="preserve"> </w:t>
      </w:r>
      <w:hyperlink w:anchor="fig-samplers">
        <w:r>
          <w:rPr>
            <w:rStyle w:val="Hyperlink"/>
          </w:rPr>
          <w:t xml:space="preserve">Figure 3</w:t>
        </w:r>
      </w:hyperlink>
      <w:r>
        <w:t xml:space="preserve">, we showed how Targeted Sampling and Balanced Within</w:t>
      </w:r>
      <w:r>
        <w:t xml:space="preserve"> </w:t>
      </w:r>
      <w:r>
        <w:t xml:space="preserve">Range outperform spatially-balanced designs to monitor interactions for a focal</w:t>
      </w:r>
      <w:r>
        <w:t xml:space="preserve"> </w:t>
      </w:r>
      <w:r>
        <w:t xml:space="preserve">species, while only relying on an attainable level of information (the species</w:t>
      </w:r>
      <w:r>
        <w:t xml:space="preserve"> </w:t>
      </w:r>
      <w:r>
        <w:t xml:space="preserve">range). Two emerging questions that follow up on this result are: 1) what</w:t>
      </w:r>
      <w:r>
        <w:t xml:space="preserve"> </w:t>
      </w:r>
      <w:r>
        <w:t xml:space="preserve">information is most efficient to target sites in sampling designs; and 2) how</w:t>
      </w:r>
      <w:r>
        <w:t xml:space="preserve"> </w:t>
      </w:r>
      <w:r>
        <w:t xml:space="preserve">precisely do we need to estimate such information to expect efficiency</w:t>
      </w:r>
      <w:r>
        <w:t xml:space="preserve"> </w:t>
      </w:r>
      <w:r>
        <w:t xml:space="preserve">improvements? Our simulation studies offer insights into both, as we detail next</w:t>
      </w:r>
      <w:r>
        <w:t xml:space="preserve"> </w:t>
      </w:r>
      <w:r>
        <w:t xml:space="preserve">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[@Norman2025SitSel]</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[@Norman2025SitSel]</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[@Willig2023ProBio]</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[@RejiChacko2025SpeLos]</w:t>
      </w:r>
      <w:r>
        <w:t xml:space="preserve"> </w:t>
      </w:r>
      <w:r>
        <w:t xml:space="preserve">and would echo similar</w:t>
      </w:r>
      <w:r>
        <w:t xml:space="preserve"> </w:t>
      </w:r>
      <w:r>
        <w:t xml:space="preserve">calls for integration of abundances and processes into conservation</w:t>
      </w:r>
      <w:r>
        <w:t xml:space="preserve"> </w:t>
      </w:r>
      <w:r>
        <w:t xml:space="preserve">[@FletcherJr.2025SpeRic; @Dornelas2023LooBac; @Tobias2025BioCon]</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@Gonzalez2025BioObs]</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[@Dansereau2025OveDis; @Buxton2021KeyInf]</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 (e.g. using conformal predictions along with species</w:t>
      </w:r>
      <w:r>
        <w:t xml:space="preserve"> </w:t>
      </w:r>
      <w:r>
        <w:t xml:space="preserve">distribution models,</w:t>
      </w:r>
      <w:r>
        <w:t xml:space="preserve"> </w:t>
      </w:r>
      <w:r>
        <w:t xml:space="preserve">) and expect similar</w:t>
      </w:r>
      <w:r>
        <w:t xml:space="preserve"> </w:t>
      </w:r>
      <w:r>
        <w:t xml:space="preserve">monitoring efficiency. On the opposite side, in terms of range size, our</w:t>
      </w:r>
      <w:r>
        <w:t xml:space="preserve"> </w:t>
      </w:r>
      <w:r>
        <w:t xml:space="preserve">overestimation test case is more analogous to a model focusing on the potential</w:t>
      </w:r>
      <w:r>
        <w:t xml:space="preserve"> </w:t>
      </w:r>
      <w:r>
        <w:t xml:space="preserve">distribution 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2026-05-07T15:42:03Z</dcterms:created>
  <dcterms:modified xsi:type="dcterms:W3CDTF">2026-05-07T15:42:03Z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