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  <Override PartName="/word/media/rId50.png" ContentType="image/png"/>
  <Override PartName="/word/media/rId37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Network monitoring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3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3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explored network sampling using simulations to generate networks, species</w:t>
      </w:r>
      <w:r>
        <w:t xml:space="preserve"> </w:t>
      </w:r>
      <w:r>
        <w:t xml:space="preserve">ranges, and biodiversity observations networks (BONs). We used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 </w:t>
      </w:r>
      <w:r>
        <w:t xml:space="preserve">to generate networks, species ranges, and</w:t>
      </w:r>
      <w:r>
        <w:t xml:space="preserve"> </w:t>
      </w:r>
      <w:r>
        <w:t xml:space="preserve">interaction realization and detection, following the approach introduced by</w:t>
      </w:r>
      <w:r>
        <w:t xml:space="preserve"> </w:t>
      </w:r>
      <w:r>
        <w:t xml:space="preserve">Catchen et al. (2023)</w:t>
      </w:r>
      <w:r>
        <w:t xml:space="preserve">.</w:t>
      </w:r>
    </w:p>
    <w:bookmarkStart w:id="21" w:name="evaluating-metaweb-sampling"/>
    <w:p>
      <w:pPr>
        <w:pStyle w:val="Heading2"/>
      </w:pPr>
      <w:r>
        <w:t xml:space="preserve">Evaluating metaweb sampling</w:t>
      </w:r>
    </w:p>
    <w:p>
      <w:pPr>
        <w:pStyle w:val="FirstParagraph"/>
      </w:pPr>
      <w:r>
        <w:t xml:space="preserve">Our first idea was to investigate the efficiency of sampling networks across</w:t>
      </w:r>
      <w:r>
        <w:t xml:space="preserve"> </w:t>
      </w:r>
      <w:r>
        <w:t xml:space="preserve">space to document a metaweb of interactions. Additionally, we aimed to compare</w:t>
      </w:r>
      <w:r>
        <w:t xml:space="preserve"> </w:t>
      </w:r>
      <w:r>
        <w:t xml:space="preserve">this efficiency with the efficiency at which we can document species richness.</w:t>
      </w:r>
    </w:p>
    <w:p>
      <w:pPr>
        <w:pStyle w:val="BodyText"/>
      </w:pPr>
      <w:r>
        <w:t xml:space="preserve">Our first step was to simulate networks with variation across space. To do so,</w:t>
      </w:r>
      <w:r>
        <w:t xml:space="preserve"> </w:t>
      </w:r>
      <w:r>
        <w:t xml:space="preserve">we generated autocorrelated ranges (100 x 100 pixels) representing the</w:t>
      </w:r>
      <w:r>
        <w:t xml:space="preserve"> </w:t>
      </w:r>
      <w:r>
        <w:t xml:space="preserve">distribution of 75 species (an arbitrary number) and generated a metaweb using</w:t>
      </w:r>
      <w:r>
        <w:t xml:space="preserve"> </w:t>
      </w:r>
      <w:r>
        <w:t xml:space="preserve">the niche model with a connectance of 0.2 to define the feasible interactions</w:t>
      </w:r>
      <w:r>
        <w:t xml:space="preserve"> </w:t>
      </w:r>
      <w:r>
        <w:t xml:space="preserve">between the species. Combining the species ranges and the metaweb information,</w:t>
      </w:r>
      <w:r>
        <w:t xml:space="preserve"> </w:t>
      </w:r>
      <w:r>
        <w:t xml:space="preserve">we obtained the list of</w:t>
      </w:r>
      <w:r>
        <w:t xml:space="preserve"> </w:t>
      </w:r>
      <w:r>
        <w:rPr>
          <w:b/>
          <w:bCs/>
        </w:rPr>
        <w:t xml:space="preserve">possible interactions</w:t>
      </w:r>
      <w:r>
        <w:t xml:space="preserve"> </w:t>
      </w:r>
      <w:r>
        <w:t xml:space="preserve">in our landscape and for every</w:t>
      </w:r>
      <w:r>
        <w:t xml:space="preserve"> </w:t>
      </w:r>
      <w:r>
        <w:t xml:space="preserve">pixel in the landscape, based only on the co-occurrence of species with feasible</w:t>
      </w:r>
      <w:r>
        <w:t xml:space="preserve"> </w:t>
      </w:r>
      <w:r>
        <w:t xml:space="preserve">interactions. Next, we incorporated a consideration for species abundances,</w:t>
      </w:r>
      <w:r>
        <w:t xml:space="preserve"> </w:t>
      </w:r>
      <w:r>
        <w:t xml:space="preserve">which influence both interaction realization and detection. For example, rare</w:t>
      </w:r>
      <w:r>
        <w:t xml:space="preserve"> </w:t>
      </w:r>
      <w:r>
        <w:t xml:space="preserve">and low-abundance species are less likely to interact in a location because they</w:t>
      </w:r>
      <w:r>
        <w:t xml:space="preserve"> </w:t>
      </w:r>
      <w:r>
        <w:t xml:space="preserve">are less likely to encounter one another, especially compared to abundant</w:t>
      </w:r>
      <w:r>
        <w:t xml:space="preserve"> </w:t>
      </w:r>
      <w:r>
        <w:t xml:space="preserve">species, potentially leading to neutrally forbidden links</w:t>
      </w:r>
      <w:r>
        <w:t xml:space="preserve"> </w:t>
      </w:r>
      <w:r>
        <w:t xml:space="preserve">(Catchen et al. 2023; Canard et al. 2012)</w:t>
      </w:r>
      <w:r>
        <w:t xml:space="preserve">. We set an abundance profile for our set of species following</w:t>
      </w:r>
      <w:r>
        <w:t xml:space="preserve"> </w:t>
      </w:r>
      <w:r>
        <w:t xml:space="preserve">a Normalized Log Normal distribution, then drew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 </w:t>
      </w:r>
      <w:r>
        <w:t xml:space="preserve">at</w:t>
      </w:r>
      <w:r>
        <w:t xml:space="preserve"> </w:t>
      </w:r>
      <w:r>
        <w:t xml:space="preserve">each location given the abundance of species. Finally, we defined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conditioning the detection of realized interactions</w:t>
      </w:r>
      <w:r>
        <w:t xml:space="preserve"> </w:t>
      </w:r>
      <w:r>
        <w:t xml:space="preserve">on the abundance distribution (even if an interaction is realized in a location,</w:t>
      </w:r>
      <w:r>
        <w:t xml:space="preserve"> </w:t>
      </w:r>
      <w:r>
        <w:t xml:space="preserve">we need to be there at that moment to detect, which is again less likely for low</w:t>
      </w:r>
      <w:r>
        <w:t xml:space="preserve"> </w:t>
      </w:r>
      <w:r>
        <w:t xml:space="preserve">probability events;</w:t>
      </w:r>
      <w:r>
        <w:t xml:space="preserve"> </w:t>
      </w:r>
      <w:r>
        <w:t xml:space="preserve">Catchen et al. (2023)</w:t>
      </w:r>
      <w:r>
        <w:t xml:space="preserve">).</w:t>
      </w:r>
    </w:p>
    <w:p>
      <w:pPr>
        <w:pStyle w:val="BodyText"/>
      </w:pPr>
      <w:r>
        <w:t xml:space="preserve">Next, we generated spatially balanced Biodiversity Observation Networks (BONs)</w:t>
      </w:r>
      <w:r>
        <w:t xml:space="preserve"> </w:t>
      </w:r>
      <w:r>
        <w:t xml:space="preserve">across our landscape, defining sites where to sample species and interactions.</w:t>
      </w:r>
      <w:r>
        <w:t xml:space="preserve"> </w:t>
      </w:r>
      <w:r>
        <w:t xml:space="preserve">We tested all number of sites between 1 and 100 and used the</w:t>
      </w:r>
      <w:r>
        <w:t xml:space="preserve"> </w:t>
      </w:r>
      <w:r>
        <w:rPr>
          <w:rStyle w:val="VerbatimChar"/>
        </w:rPr>
        <w:t xml:space="preserve">BalancedAcceptance</w:t>
      </w:r>
      <w:r>
        <w:t xml:space="preserve"> </w:t>
      </w:r>
      <w:r>
        <w:t xml:space="preserve">method to ensure spatial balance, aiming to distribute</w:t>
      </w:r>
      <w:r>
        <w:t xml:space="preserve"> </w:t>
      </w:r>
      <w:r>
        <w:t xml:space="preserve">sampling evenly across space (for a given number of sampling sites). We then</w:t>
      </w:r>
      <w:r>
        <w:t xml:space="preserve"> </w:t>
      </w:r>
      <w:r>
        <w:t xml:space="preserve">evaluated the sampling efficiency of each BON in terms of overall species</w:t>
      </w:r>
      <w:r>
        <w:t xml:space="preserve"> </w:t>
      </w:r>
      <w:r>
        <w:t xml:space="preserve">richness and compared to the generated metaweb for a each interaction type. For</w:t>
      </w:r>
      <w:r>
        <w:t xml:space="preserve"> </w:t>
      </w:r>
      <w:r>
        <w:t xml:space="preserve">species richness, we assumed we sampled all species present in a sampled</w:t>
      </w:r>
      <w:r>
        <w:t xml:space="preserve"> </w:t>
      </w:r>
      <w:r>
        <w:t xml:space="preserve">location, combined this information across all sampled sites to determine the</w:t>
      </w:r>
      <w:r>
        <w:t xml:space="preserve"> </w:t>
      </w:r>
      <w:r>
        <w:t xml:space="preserve">number of species encountered through sampling, and compared the result with the</w:t>
      </w:r>
      <w:r>
        <w:t xml:space="preserve"> </w:t>
      </w:r>
      <w:r>
        <w:t xml:space="preserve">total species richness in the landscape (75 species). For interactions, we</w:t>
      </w:r>
      <w:r>
        <w:t xml:space="preserve"> </w:t>
      </w:r>
      <w:r>
        <w:t xml:space="preserve">aggregated each interaction type separately (possible, realized and detected)</w:t>
      </w:r>
      <w:r>
        <w:t xml:space="preserve"> </w:t>
      </w:r>
      <w:r>
        <w:t xml:space="preserve">for a given BON and evaluated the proportion of the metaweb recovered through</w:t>
      </w:r>
      <w:r>
        <w:t xml:space="preserve"> </w:t>
      </w:r>
      <w:r>
        <w:t xml:space="preserve">sampling (and therefore for a given number of site). Since some interactions</w:t>
      </w:r>
      <w:r>
        <w:t xml:space="preserve"> </w:t>
      </w:r>
      <w:r>
        <w:t xml:space="preserve">might never be observed in the simulated landscapes (e.g. interacting species</w:t>
      </w:r>
      <w:r>
        <w:t xml:space="preserve"> </w:t>
      </w:r>
      <w:r>
        <w:t xml:space="preserve">who never co-occur), we also measured the proportion of sampled interactions</w:t>
      </w:r>
      <w:r>
        <w:t xml:space="preserve"> </w:t>
      </w:r>
      <w:r>
        <w:t xml:space="preserve">compared to the number of interactions actually present in the landscape</w:t>
      </w:r>
      <w:r>
        <w:t xml:space="preserve"> </w:t>
      </w:r>
      <w:r>
        <w:t xml:space="preserve">(instead of the metaweb) for each interaction type.</w:t>
      </w:r>
    </w:p>
    <w:p>
      <w:pPr>
        <w:pStyle w:val="BodyText"/>
      </w:pPr>
      <w:r>
        <w:t xml:space="preserve">We ran simulations with 100 fully-independent replicates (different metaweb,</w:t>
      </w:r>
      <w:r>
        <w:t xml:space="preserve"> </w:t>
      </w:r>
      <w:r>
        <w:t xml:space="preserve">species ranges, abundance distribution, realized interactions) for each number</w:t>
      </w:r>
      <w:r>
        <w:t xml:space="preserve"> </w:t>
      </w:r>
      <w:r>
        <w:t xml:space="preserve">of site in a BON and for the two interaction references, yielding 20,000</w:t>
      </w:r>
      <w:r>
        <w:t xml:space="preserve"> </w:t>
      </w:r>
      <w:r>
        <w:t xml:space="preserve">simulations in total. Prior exploratory simulations showed the number of sites</w:t>
      </w:r>
      <w:r>
        <w:t xml:space="preserve"> </w:t>
      </w:r>
      <w:r>
        <w:t xml:space="preserve">in the 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</w:t>
      </w:r>
    </w:p>
    <w:bookmarkEnd w:id="21"/>
    <w:bookmarkStart w:id="22" w:name="X284ae417685f8d50c3f8379f3193f04cf7b3c7c"/>
    <w:p>
      <w:pPr>
        <w:pStyle w:val="Heading2"/>
      </w:pPr>
      <w:r>
        <w:t xml:space="preserve">Focal sampling on single-species &amp; optimization</w:t>
      </w:r>
    </w:p>
    <w:p>
      <w:pPr>
        <w:pStyle w:val="FirstParagraph"/>
      </w:pPr>
      <w:r>
        <w:t xml:space="preserve">In complement to the metaweb sampling approach, we also investigated the</w:t>
      </w:r>
      <w:r>
        <w:t xml:space="preserve"> </w:t>
      </w:r>
      <w:r>
        <w:t xml:space="preserve">sampling efficiency on a single-species basis. We simulated a focal sampling</w:t>
      </w:r>
      <w:r>
        <w:t xml:space="preserve"> </w:t>
      </w:r>
      <w:r>
        <w:t xml:space="preserve">where an observer would target one species and aim to retrieve all of its</w:t>
      </w:r>
      <w:r>
        <w:t xml:space="preserve"> </w:t>
      </w:r>
      <w:r>
        <w:t xml:space="preserve">interactions (here known from the metaweb), but might have different information</w:t>
      </w:r>
      <w:r>
        <w:t xml:space="preserve"> </w:t>
      </w:r>
      <w:r>
        <w:t xml:space="preserve">to optimize its sampling. Observation network design and efficiency needs to be</w:t>
      </w:r>
      <w:r>
        <w:t xml:space="preserve"> </w:t>
      </w:r>
      <w:r>
        <w:t xml:space="preserve">evaluated beyond spatial balance, and also regarding their efficiency at meeting</w:t>
      </w:r>
      <w:r>
        <w:t xml:space="preserve"> </w:t>
      </w:r>
      <w:r>
        <w:t xml:space="preserve">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</w:t>
      </w:r>
      <w:r>
        <w:t xml:space="preserve"> </w:t>
      </w:r>
      <w:r>
        <w:t xml:space="preserve">focal sampling exploration is to represent a simplified case with a clear</w:t>
      </w:r>
      <w:r>
        <w:t xml:space="preserve"> </w:t>
      </w:r>
      <w:r>
        <w:t xml:space="preserve">objective (retrieving a species’ interactions) and where we do have prior</w:t>
      </w:r>
      <w:r>
        <w:t xml:space="preserve"> </w:t>
      </w:r>
      <w:r>
        <w:t xml:space="preserve">knowledge about the system, either through empirical data or model predictions,</w:t>
      </w:r>
      <w:r>
        <w:t xml:space="preserve"> </w:t>
      </w:r>
      <w:r>
        <w:t xml:space="preserve">which can be used to optimize 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three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location of realized interactions for the focal species (to</w:t>
      </w:r>
      <w:r>
        <w:t xml:space="preserve"> </w:t>
      </w:r>
      <w:r>
        <w:t xml:space="preserve">represent a best-case scenario) and one with species richness across the</w:t>
      </w:r>
      <w:r>
        <w:t xml:space="preserve"> </w:t>
      </w:r>
      <w:r>
        <w:t xml:space="preserve">landscape (to represent a holistic level of information for the system).</w:t>
      </w:r>
    </w:p>
    <w:p>
      <w:pPr>
        <w:pStyle w:val="BodyText"/>
      </w:pPr>
      <w:r>
        <w:t xml:space="preserve">Using the approach described in the previous section, we generated a single*</w:t>
      </w:r>
      <w:r>
        <w:t xml:space="preserve"> </w:t>
      </w:r>
      <w:r>
        <w:t xml:space="preserve">set of metaweb, species ranges, and locations for realized interactions</w:t>
      </w:r>
      <w:r>
        <w:t xml:space="preserve"> </w:t>
      </w:r>
      <w:r>
        <w:t xml:space="preserve">(*counter-verified with 10 separate sets, which yielded conceptually similar</w:t>
      </w:r>
      <w:r>
        <w:t xml:space="preserve"> </w:t>
      </w:r>
      <w:r>
        <w:t xml:space="preserve">results). We selected the species with the highest degree (number of</w:t>
      </w:r>
      <w:r>
        <w:t xml:space="preserve"> </w:t>
      </w:r>
      <w:r>
        <w:t xml:space="preserve">interactions) in the metaweb as the focal species for the simulation. We then</w:t>
      </w:r>
      <w:r>
        <w:t xml:space="preserve"> </w:t>
      </w:r>
      <w:r>
        <w:t xml:space="preserve">generated BONs of 1 to 500 sites (at interval increments of 5 sites) using the</w:t>
      </w:r>
      <w:r>
        <w:t xml:space="preserve"> </w:t>
      </w:r>
      <w:r>
        <w:t xml:space="preserve">three possible algorithms and optimization layers, with 100 replicates for every</w:t>
      </w:r>
      <w:r>
        <w:t xml:space="preserve"> </w:t>
      </w:r>
      <w:r>
        <w:t xml:space="preserve">number of sites. For each BON generated, we extracted the number of unique</w:t>
      </w:r>
      <w:r>
        <w:t xml:space="preserve"> </w:t>
      </w:r>
      <w:r>
        <w:t xml:space="preserve">realized interactions sampled across all sites (essentially the monitored degree</w:t>
      </w:r>
      <w:r>
        <w:t xml:space="preserve"> </w:t>
      </w:r>
      <w:r>
        <w:t xml:space="preserve">for the focal species)</w:t>
      </w:r>
    </w:p>
    <w:bookmarkEnd w:id="22"/>
    <w:bookmarkStart w:id="26" w:name="efficiency"/>
    <w:p>
      <w:pPr>
        <w:pStyle w:val="Heading2"/>
      </w:pPr>
      <w:r>
        <w:t xml:space="preserve">Efficiency</w:t>
      </w:r>
    </w:p>
    <w:p>
      <w:pPr>
        <w:pStyle w:val="FirstParagraph"/>
      </w:pPr>
      <w:r>
        <w:t xml:space="preserve">Next, we aimed to verify whether our results were constant when replicating</w:t>
      </w:r>
      <w:r>
        <w:t xml:space="preserve"> </w:t>
      </w:r>
      <w:r>
        <w:t xml:space="preserve">simulations with different simulated metawebs and species ranges. We ran 100</w:t>
      </w:r>
      <w:r>
        <w:t xml:space="preserve"> </w:t>
      </w:r>
      <w:r>
        <w:t xml:space="preserve">independent simulations, each with 50 replicates for every number of sites (once</w:t>
      </w:r>
      <w:r>
        <w:t xml:space="preserve"> </w:t>
      </w:r>
      <w:r>
        <w:t xml:space="preserve">again from 1 to 500 sites at interval increments of 5 sites). However, doing so</w:t>
      </w:r>
      <w:r>
        <w:t xml:space="preserve"> </w:t>
      </w:r>
      <w:r>
        <w:t xml:space="preserve">raised the issue of how to describe and compare the efficiency of the simulated</w:t>
      </w:r>
      <w:r>
        <w:t xml:space="preserve"> </w:t>
      </w:r>
      <w:r>
        <w:t xml:space="preserve">monitoring across samplers, optimization layers or focal species degree, given</w:t>
      </w:r>
      <w:r>
        <w:t xml:space="preserve"> </w:t>
      </w:r>
      <w:r>
        <w:t xml:space="preserve">how the generated metawebs and landscapes might vary between independent</w:t>
      </w:r>
      <w:r>
        <w:t xml:space="preserve"> </w:t>
      </w:r>
      <w:r>
        <w:t xml:space="preserve">simulations, and especially how to describe the relationship between the number</w:t>
      </w:r>
      <w:r>
        <w:t xml:space="preserve"> </w:t>
      </w:r>
      <w:r>
        <w:t xml:space="preserve">of monitoring sites and the proportion of monitored interactions.</w:t>
      </w:r>
    </w:p>
    <w:p>
      <w:pPr>
        <w:pStyle w:val="BodyText"/>
      </w:pPr>
      <w:r>
        <w:t xml:space="preserve">Since the exact proportion of monitored interactions is known in our</w:t>
      </w:r>
      <w:r>
        <w:t xml:space="preserve"> </w:t>
      </w:r>
      <w:r>
        <w:t xml:space="preserve">simulations, we used the following single-parameter equation which generates</w:t>
      </w:r>
      <w:r>
        <w:t xml:space="preserve"> </w:t>
      </w:r>
      <w:r>
        <w:t xml:space="preserve">similar efficiency curves:</w:t>
      </w:r>
    </w:p>
    <w:p>
      <w:pPr>
        <w:pStyle w:val="BodyText"/>
      </w:pPr>
      <w:bookmarkStart w:id="23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identify the curve</w:t>
      </w:r>
      <w:r>
        <w:t xml:space="preserve"> </w:t>
      </w:r>
      <w:r>
        <w:t xml:space="preserve">yielding the best fit with the simulation’s result. Upon exploratory analysis,</w:t>
      </w:r>
      <w:r>
        <w:t xml:space="preserve"> </w:t>
      </w:r>
      <w:r>
        <w:t xml:space="preserve">we observed that searching for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an exponential scale allowed for</w:t>
      </w:r>
      <w:r>
        <w:t xml:space="preserve"> </w:t>
      </w:r>
      <w:r>
        <w:t xml:space="preserve">more gradual control over the curve shape, and therefore we searched we searched</w:t>
      </w:r>
      <w:r>
        <w:t xml:space="preserve"> </w:t>
      </w:r>
      <w:r>
        <w:t xml:space="preserve">directly for values of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(effectively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). We</w:t>
      </w:r>
      <w:r>
        <w:t xml:space="preserve"> </w:t>
      </w:r>
      <w:r>
        <w:t xml:space="preserve">performed a grid search of 10,000 evenly spaced values between -5 and 15 (limits</w:t>
      </w:r>
      <w:r>
        <w:t xml:space="preserve"> </w:t>
      </w:r>
      <w:r>
        <w:t xml:space="preserve">chosen to go beyond the fitted values), and selected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</w:t>
      </w:r>
      <w:r>
        <w:t xml:space="preserve"> </w:t>
      </w:r>
      <w:r>
        <w:t xml:space="preserve">the curve minimizing the sum of squared errors to the values from the</w:t>
      </w:r>
      <w:r>
        <w:t xml:space="preserve"> </w:t>
      </w:r>
      <w:r>
        <w:t xml:space="preserve">simulation.</w:t>
      </w:r>
    </w:p>
    <w:p>
      <w:pPr>
        <w:pStyle w:val="BodyText"/>
      </w:pPr>
      <w:r>
        <w:t xml:space="preserve">To compare the efficiency curves within a given simulation (i.e., between</w:t>
      </w:r>
      <w:r>
        <w:t xml:space="preserve"> </w:t>
      </w:r>
      <w:r>
        <w:t xml:space="preserve">samplers and optimization layers for a given metaweb and set of species ranges),</w:t>
      </w:r>
      <w:r>
        <w:t xml:space="preserve"> </w:t>
      </w:r>
      <w:r>
        <w:t xml:space="preserve">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 maximum number</w:t>
      </w:r>
      <w:r>
        <w:t xml:space="preserve"> </w:t>
      </w:r>
      <w:r>
        <w:t xml:space="preserve">of sampling sites in the landscape (10,000), which takes the form:</w:t>
      </w:r>
    </w:p>
    <w:p>
      <w:pPr>
        <w:pStyle w:val="BodyText"/>
      </w:pPr>
      <w:bookmarkStart w:id="24" w:name="eq-eff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4"/>
    </w:p>
    <w:p>
      <w:pPr>
        <w:pStyle w:val="FirstParagraph"/>
      </w:pPr>
      <w:r>
        <w:t xml:space="preserve">Using @eq-eff-int, we can compute the difference in efficiency between two</w:t>
      </w:r>
      <w:r>
        <w:t xml:space="preserve"> </w:t>
      </w:r>
      <w:r>
        <w:t xml:space="preserve">curves as the difference of integrals:</w:t>
      </w:r>
    </w:p>
    <w:p>
      <w:pPr>
        <w:pStyle w:val="BodyText"/>
      </w:pPr>
      <w:bookmarkStart w:id="25" w:name="eq-eff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5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compared all samplers and optimization</w:t>
      </w:r>
      <w:r>
        <w:t xml:space="preserve"> </w:t>
      </w:r>
      <w:r>
        <w:t xml:space="preserve">layers individually within each independent simulation, given that the</w:t>
      </w:r>
      <w:r>
        <w:t xml:space="preserve"> </w:t>
      </w:r>
      <w:r>
        <w:t xml:space="preserve">monitoring context is different in each one (different metawebs and species</w:t>
      </w:r>
      <w:r>
        <w:t xml:space="preserve"> </w:t>
      </w:r>
      <w:r>
        <w:t xml:space="preserve">ranges).</w:t>
      </w:r>
    </w:p>
    <w:bookmarkEnd w:id="26"/>
    <w:bookmarkEnd w:id="27"/>
    <w:bookmarkStart w:id="55" w:name="results"/>
    <w:p>
      <w:pPr>
        <w:pStyle w:val="Heading1"/>
      </w:pPr>
      <w:r>
        <w:t xml:space="preserve">Results</w:t>
      </w:r>
    </w:p>
    <w:bookmarkStart w:id="32" w:name="Xc4fd32d1ca8025e921502406324645eb2fb3a23"/>
    <w:p>
      <w:pPr>
        <w:pStyle w:val="Heading3"/>
      </w:pPr>
      <w:r>
        <w:t xml:space="preserve">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1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ons"/>
          <w:p>
            <w:pPr>
              <w:pStyle w:val="Compact"/>
              <w:jc w:val="center"/>
            </w:pPr>
            <w:r>
              <w:drawing>
                <wp:inline>
                  <wp:extent cx="5334000" cy="3429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29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central line indicates indicates the median proportion for a</w:t>
            </w:r>
            <w:r>
              <w:t xml:space="preserve"> </w:t>
            </w:r>
            <w:r>
              <w:t xml:space="preserve">given number of sites while the shaded bands delimit the 5th and 95th percentile</w:t>
            </w:r>
            <w:r>
              <w:t xml:space="preserve"> </w:t>
            </w:r>
            <w:r>
              <w:t xml:space="preserve">across replicates. The global reference (left) uses total species richness and</w:t>
            </w:r>
            <w:r>
              <w:t xml:space="preserve"> </w:t>
            </w:r>
            <w:r>
              <w:t xml:space="preserve">the total number of interactions in the metaweb as the maximum reference to</w:t>
            </w:r>
            <w:r>
              <w:t xml:space="preserve"> </w:t>
            </w:r>
            <w:r>
              <w:t xml:space="preserve">calculate the proportion while the per-element reference (right) uses the</w:t>
            </w:r>
            <w:r>
              <w:t xml:space="preserve"> </w:t>
            </w:r>
            <w:r>
              <w:t xml:space="preserve">maximum number of an interaction actually present in the simulated</w:t>
            </w:r>
            <w:r>
              <w:t xml:space="preserve"> </w:t>
            </w:r>
            <w:r>
              <w:t xml:space="preserve">landscape.</w:t>
            </w:r>
          </w:p>
          <w:bookmarkEnd w:id="31"/>
        </w:tc>
      </w:tr>
    </w:tbl>
    <w:bookmarkEnd w:id="32"/>
    <w:bookmarkStart w:id="41" w:name="X935160382210f6ad5da5b1dacc31f4e1409c972"/>
    <w:p>
      <w:pPr>
        <w:pStyle w:val="Heading3"/>
      </w:pPr>
      <w:r>
        <w:t xml:space="preserve">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sampl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ocal_samplers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Efficiency of three sampler algorithms at sampling realized interactions for a</w:t>
            </w:r>
            <w:r>
              <w:t xml:space="preserve"> </w:t>
            </w:r>
            <w:r>
              <w:t xml:space="preserve">given focal species within Biodiversity Observation Networks (BONs). The central</w:t>
            </w:r>
            <w:r>
              <w:t xml:space="preserve"> </w:t>
            </w:r>
            <w:r>
              <w:t xml:space="preserve">line indicates indicates the median proportion for a given number of sites while</w:t>
            </w:r>
            <w:r>
              <w:t xml:space="preserve"> </w:t>
            </w:r>
            <w:r>
              <w:t xml:space="preserve">the shaded bands delimit the 5th and 95th percentile across replicates. The</w:t>
            </w:r>
            <w:r>
              <w:t xml:space="preserve"> </w:t>
            </w:r>
            <w:r>
              <w:t xml:space="preserve">right panels illustrate examples of BONs of 50 sites (coloured points) generated</w:t>
            </w:r>
            <w:r>
              <w:t xml:space="preserve"> </w:t>
            </w:r>
            <w:r>
              <w:t xml:space="preserve">by each sampler over the focal species range (present at pixels in</w:t>
            </w:r>
            <w:r>
              <w:t xml:space="preserve"> </w:t>
            </w:r>
            <w:r>
              <w:t xml:space="preserve">yellow).</w:t>
            </w:r>
          </w:p>
          <w:bookmarkEnd w:id="36"/>
        </w:tc>
      </w:tr>
    </w:tbl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layer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focal_optimized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three optimization layers at sampling realized interactions for</w:t>
            </w:r>
            <w:r>
              <w:t xml:space="preserve"> </w:t>
            </w:r>
            <w:r>
              <w:t xml:space="preserve">a given focal species within Biodiversity Observation Networks (BONs). The</w:t>
            </w:r>
            <w:r>
              <w:t xml:space="preserve"> </w:t>
            </w:r>
            <w:r>
              <w:t xml:space="preserve">central line indicates indicates the median proportion for a given number of</w:t>
            </w:r>
            <w:r>
              <w:t xml:space="preserve"> </w:t>
            </w:r>
            <w:r>
              <w:t xml:space="preserve">sites while the shaded bands delimit the 5th and 95th percentile across</w:t>
            </w:r>
            <w:r>
              <w:t xml:space="preserve"> </w:t>
            </w:r>
            <w:r>
              <w:t xml:space="preserve">replicates. The right panels illustrate examples of BONs of 50 sites (coloured</w:t>
            </w:r>
            <w:r>
              <w:t xml:space="preserve"> </w:t>
            </w:r>
            <w:r>
              <w:t xml:space="preserve">points) generated by each sampler over the focal species range (present at</w:t>
            </w:r>
            <w:r>
              <w:t xml:space="preserve"> </w:t>
            </w:r>
            <w:r>
              <w:t xml:space="preserve">pixels in yellow).</w:t>
            </w:r>
          </w:p>
          <w:bookmarkEnd w:id="40"/>
        </w:tc>
      </w:tr>
    </w:tbl>
    <w:bookmarkEnd w:id="41"/>
    <w:bookmarkStart w:id="54" w:name="Xb441debb6dd27ffae69fc9bf237d56a135abaac"/>
    <w:p>
      <w:pPr>
        <w:pStyle w:val="Heading3"/>
      </w:pPr>
      <w:r>
        <w:t xml:space="preserve">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, but also</w:t>
      </w:r>
      <w:r>
        <w:t xml:space="preserve"> </w:t>
      </w:r>
      <w:r>
        <w:t xml:space="preserve">highlighted a wide range of outcomes in efficiency between simulations. Among</w:t>
      </w:r>
      <w:r>
        <w:t xml:space="preserve"> </w:t>
      </w:r>
      <w:r>
        <w:t xml:space="preserve">samplers, the median efficiency parameter indicated a better performance (lower</w:t>
      </w:r>
      <w:r>
        <w:t xml:space="preserve"> </w:t>
      </w:r>
      <w:r>
        <w:t xml:space="preserve">parameter value) for Uncertainty Sampling, followed by Weighted Balanced</w:t>
      </w:r>
      <w:r>
        <w:t xml:space="preserve"> </w:t>
      </w:r>
      <w:r>
        <w:t xml:space="preserve">Acceptance and 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</w:t>
      </w:r>
      <w:r>
        <w:t xml:space="preserve"> </w:t>
      </w:r>
      <w:r>
        <w:t xml:space="preserve">spanned a similar range across the possible sampler options with all simulations</w:t>
      </w:r>
      <w:r>
        <w:t xml:space="preserve"> </w:t>
      </w:r>
      <w:r>
        <w:t xml:space="preserve">combined. Among optimization layers, optimizing on the focal species range</w:t>
      </w:r>
      <w:r>
        <w:t xml:space="preserve"> </w:t>
      </w:r>
      <w:r>
        <w:t xml:space="preserve">performed better than on the probabilistic range, followed by species richness,</w:t>
      </w:r>
      <w:r>
        <w:t xml:space="preserve"> </w:t>
      </w:r>
      <w:r>
        <w:t xml:space="preserve">although 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</w:t>
            </w:r>
            <w:r>
              <w:t xml:space="preserve"> </w:t>
            </w:r>
            <w:r>
              <w:t xml:space="preserve">data.</w:t>
            </w:r>
          </w:p>
          <w:bookmarkEnd w:id="45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samplers">
        <w:r>
          <w:rPr>
            <w:rStyle w:val="Hyperlink"/>
          </w:rPr>
          <w:t xml:space="preserve">Figure 2</w:t>
        </w:r>
      </w:hyperlink>
      <w:r>
        <w:t xml:space="preserve">, </w:t>
      </w:r>
      <w:hyperlink w:anchor="fig-layers">
        <w:r>
          <w:rPr>
            <w:rStyle w:val="Hyperlink"/>
          </w:rPr>
          <w:t xml:space="preserve">Figure 3</w:t>
        </w:r>
      </w:hyperlink>
      <w:r>
        <w:t xml:space="preserve">). Uncertainty</w:t>
      </w:r>
      <w:r>
        <w:t xml:space="preserve"> </w:t>
      </w:r>
      <w:r>
        <w:t xml:space="preserve">Sampling was more efficient than Weighted Balanced Acceptance in 98 of 100</w:t>
      </w:r>
      <w:r>
        <w:t xml:space="preserve"> </w:t>
      </w:r>
      <w:r>
        <w:t xml:space="preserve">simulations, and 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eff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49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</w:t>
            </w:r>
            <w:r>
              <w:t xml:space="preserve"> </w:t>
            </w:r>
            <w:r>
              <w:t xml:space="preserve">species.</w:t>
            </w:r>
          </w:p>
          <w:bookmarkEnd w:id="53"/>
        </w:tc>
      </w:tr>
    </w:tbl>
    <w:bookmarkEnd w:id="54"/>
    <w:bookmarkEnd w:id="55"/>
    <w:bookmarkStart w:id="5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</w:t>
      </w:r>
    </w:p>
    <w:p>
      <w:pPr>
        <w:pStyle w:val="Compact"/>
        <w:numPr>
          <w:ilvl w:val="0"/>
          <w:numId w:val="1004"/>
        </w:numPr>
      </w:pPr>
      <w:r>
        <w:t xml:space="preserve">Not as high as species richness and not as simple as co-occurrence of</w:t>
      </w:r>
      <w:r>
        <w:t xml:space="preserve"> </w:t>
      </w:r>
      <w:r>
        <w:t xml:space="preserve">interacting species</w:t>
      </w:r>
    </w:p>
    <w:p>
      <w:pPr>
        <w:pStyle w:val="Compact"/>
        <w:numPr>
          <w:ilvl w:val="0"/>
          <w:numId w:val="1004"/>
        </w:numPr>
      </w:pPr>
      <w:r>
        <w:t xml:space="preserve">Expectations should be much lower given abundances, and our simulations</w:t>
      </w:r>
      <w:r>
        <w:t xml:space="preserve"> </w:t>
      </w:r>
      <w:r>
        <w:t xml:space="preserve">highlight a way this could happen</w:t>
      </w:r>
    </w:p>
    <w:p>
      <w:pPr>
        <w:pStyle w:val="Compact"/>
        <w:numPr>
          <w:ilvl w:val="0"/>
          <w:numId w:val="1004"/>
        </w:numPr>
      </w:pPr>
      <w:r>
        <w:t xml:space="preserve">This means we can apply motoring to species interactions, with limits.</w:t>
      </w:r>
    </w:p>
    <w:p>
      <w:pPr>
        <w:pStyle w:val="FirstParagraph"/>
      </w:pPr>
      <w:r>
        <w:t xml:space="preserve">We can improve coverage with the right optimization method. But to do so, we</w:t>
      </w:r>
      <w:r>
        <w:t xml:space="preserve"> </w:t>
      </w:r>
      <w:r>
        <w:t xml:space="preserve">need a clear and attainable sampling or monitoring objective.</w:t>
      </w:r>
    </w:p>
    <w:p>
      <w:pPr>
        <w:pStyle w:val="Compact"/>
        <w:numPr>
          <w:ilvl w:val="0"/>
          <w:numId w:val="1005"/>
        </w:numPr>
      </w:pPr>
      <w:r>
        <w:t xml:space="preserve">Again, we come back to a single species perspective as most attainable and</w:t>
      </w:r>
      <w:r>
        <w:t xml:space="preserve"> </w:t>
      </w:r>
      <w:r>
        <w:t xml:space="preserve">understandable level of information while yielding relevant results.</w:t>
      </w:r>
    </w:p>
    <w:p>
      <w:pPr>
        <w:pStyle w:val="Compact"/>
        <w:numPr>
          <w:ilvl w:val="0"/>
          <w:numId w:val="1005"/>
        </w:numPr>
      </w:pPr>
      <w:r>
        <w:t xml:space="preserve">Optimizing on species range is an efficient strategy to retrieve its</w:t>
      </w:r>
      <w:r>
        <w:t xml:space="preserve"> </w:t>
      </w:r>
      <w:r>
        <w:t xml:space="preserve">interactions (most attainable information), better than optimization based</w:t>
      </w:r>
      <w:r>
        <w:t xml:space="preserve"> </w:t>
      </w:r>
      <w:r>
        <w:t xml:space="preserve">on species or interaction richness and surpassed only by knowledge of it’s</w:t>
      </w:r>
      <w:r>
        <w:t xml:space="preserve"> </w:t>
      </w:r>
      <w:r>
        <w:t xml:space="preserve">realized interactions</w:t>
      </w:r>
    </w:p>
    <w:p>
      <w:pPr>
        <w:pStyle w:val="FirstParagraph"/>
      </w:pPr>
      <w:r>
        <w:t xml:space="preserve">Our results offer insights into defining realistic expectations for interaction</w:t>
      </w:r>
      <w:r>
        <w:t xml:space="preserve"> </w:t>
      </w:r>
      <w:r>
        <w:t xml:space="preserve">monitoring. With the right target and optimization strategy, available</w:t>
      </w:r>
      <w:r>
        <w:t xml:space="preserve"> </w:t>
      </w:r>
      <w:r>
        <w:t xml:space="preserve">information, such as species ranges, can guide observation network designs to</w:t>
      </w:r>
      <w:r>
        <w:t xml:space="preserve"> </w:t>
      </w:r>
      <w:r>
        <w:t xml:space="preserve">monitor species interactions with a reasonable number of sites.</w:t>
      </w:r>
    </w:p>
    <w:bookmarkEnd w:id="56"/>
    <w:bookmarkStart w:id="64" w:name="references"/>
    <w:p>
      <w:pPr>
        <w:pStyle w:val="Heading1"/>
      </w:pPr>
      <w:r>
        <w:t xml:space="preserve">References</w:t>
      </w:r>
    </w:p>
    <w:bookmarkStart w:id="63" w:name="refs"/>
    <w:bookmarkStart w:id="58" w:name="ref-Canard2012EmeStr"/>
    <w:p>
      <w:pPr>
        <w:pStyle w:val="Bibliography"/>
      </w:pPr>
      <w:r>
        <w:t xml:space="preserve">Canard, Elsa, Nicolas Mouquet, Lucile Marescot, Kevin J. Gaston, Dominique Gravel, and David Mouillot. 2012.</w:t>
      </w:r>
      <w:r>
        <w:t xml:space="preserve"> </w:t>
      </w:r>
      <w:r>
        <w:t xml:space="preserve">“Emergence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.”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7 (8): e38295.</w:t>
      </w:r>
      <w:r>
        <w:t xml:space="preserve"> </w:t>
      </w:r>
      <w:hyperlink r:id="rId57">
        <w:r>
          <w:rPr>
            <w:rStyle w:val="Hyperlink"/>
          </w:rPr>
          <w:t xml:space="preserve">https://doi.org/10.1371/journal.pone.0038295</w:t>
        </w:r>
      </w:hyperlink>
      <w:r>
        <w:t xml:space="preserve">.</w:t>
      </w:r>
    </w:p>
    <w:bookmarkEnd w:id="58"/>
    <w:bookmarkStart w:id="60" w:name="ref-Catchen2023MisLin"/>
    <w:p>
      <w:pPr>
        <w:pStyle w:val="Bibliography"/>
      </w:pPr>
      <w:r>
        <w:t xml:space="preserve">Catchen, Michael D., Timothée Poisot, Laura J. Pollock, and Andrew Gonzalez. 2023.</w:t>
      </w:r>
      <w:r>
        <w:t xml:space="preserve"> </w:t>
      </w:r>
      <w:r>
        <w:t xml:space="preserve">“The Missing Link: Discerning True from False Negatives When Sampling Species Interaction Networks.”</w:t>
      </w:r>
      <w:r>
        <w:t xml:space="preserve"> </w:t>
      </w:r>
      <w:r>
        <w:t xml:space="preserve">January 19, 2023.</w:t>
      </w:r>
      <w:r>
        <w:t xml:space="preserve"> </w:t>
      </w:r>
      <w:hyperlink r:id="rId59">
        <w:r>
          <w:rPr>
            <w:rStyle w:val="Hyperlink"/>
          </w:rPr>
          <w:t xml:space="preserve">https://ecoevorxiv.org/repository/view/4929/</w:t>
        </w:r>
      </w:hyperlink>
      <w:r>
        <w:t xml:space="preserve">.</w:t>
      </w:r>
    </w:p>
    <w:bookmarkEnd w:id="60"/>
    <w:bookmarkStart w:id="62" w:name="ref-Norman2025AlgSel"/>
    <w:p>
      <w:pPr>
        <w:pStyle w:val="Bibliography"/>
      </w:pPr>
      <w:r>
        <w:t xml:space="preserve">Norman, Kari E., and Timothée Poisot. 2025.</w:t>
      </w:r>
      <w:r>
        <w:t xml:space="preserve"> </w:t>
      </w:r>
      <w:r>
        <w:t xml:space="preserve">“Algorithm Selection for Optimal Ecological Monitoring Design,”</w:t>
      </w:r>
      <w:r>
        <w:t xml:space="preserve"> </w:t>
      </w:r>
      <w:r>
        <w:t xml:space="preserve">February.</w:t>
      </w:r>
      <w:r>
        <w:t xml:space="preserve"> </w:t>
      </w:r>
      <w:hyperlink r:id="rId61">
        <w:r>
          <w:rPr>
            <w:rStyle w:val="Hyperlink"/>
          </w:rPr>
          <w:t xml:space="preserve">https://ecoevorxiv.org/repository/view/8545/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371/journal.pone.0038295" TargetMode="External" /><Relationship Type="http://schemas.openxmlformats.org/officeDocument/2006/relationships/hyperlink" Id="rId59" Target="https://ecoevorxiv.org/repository/view/4929/" TargetMode="External" /><Relationship Type="http://schemas.openxmlformats.org/officeDocument/2006/relationships/hyperlink" Id="rId61" Target="https://ecoevorxiv.org/repository/view/854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monitoring</dc:title>
  <dc:creator/>
  <dc:language>en-CA</dc:language>
  <cp:keywords>networks, monitoring</cp:keywords>
  <dcterms:created xsi:type="dcterms:W3CDTF">2025-09-06T21:08:52Z</dcterms:created>
  <dcterms:modified xsi:type="dcterms:W3CDTF">2025-09-06T21:08:52Z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ibliographystyle">
    <vt:lpwstr>springer-basic-author-date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lear-hidden-classes">
    <vt:lpwstr>none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