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Our results were consistent even when the total species range was over- or underestimated by 10%, highlighting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 Nations 1992)</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 et al. 2017; Gonzalez et al. 2023)</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 et al. 2017; Navarro et al. 2017)</w:t>
      </w:r>
      <w:r>
        <w:t xml:space="preserve">. Additional BONs are currently in the</w:t>
      </w:r>
      <w:r>
        <w:t xml:space="preserve"> </w:t>
      </w:r>
      <w:r>
        <w:t xml:space="preserve">development or planification stages, notably in Europe</w:t>
      </w:r>
      <w:r>
        <w:t xml:space="preserve"> </w:t>
      </w:r>
      <w:r>
        <w:t xml:space="preserve">(Kissling et al. 2024)</w:t>
      </w:r>
      <w:r>
        <w:t xml:space="preserve"> </w:t>
      </w:r>
      <w:r>
        <w:t xml:space="preserve">and</w:t>
      </w:r>
      <w:r>
        <w:t xml:space="preserve"> </w:t>
      </w:r>
      <w:r>
        <w:t xml:space="preserve">in Canada</w:t>
      </w:r>
      <w:r>
        <w:t xml:space="preserve"> </w:t>
      </w:r>
      <w:r>
        <w:t xml:space="preserve">(Simard 2024; Gonzalez et al. 2025)</w:t>
      </w:r>
      <w:r>
        <w:t xml:space="preserve">, and could eventually be</w:t>
      </w:r>
      <w:r>
        <w:t xml:space="preserve"> </w:t>
      </w:r>
      <w:r>
        <w:t xml:space="preserve">interlinked into the Global Biodiversity Observation System (GBiOS), a globally</w:t>
      </w:r>
      <w:r>
        <w:t xml:space="preserve"> </w:t>
      </w:r>
      <w:r>
        <w:t xml:space="preserve">connected network providing capacity to monitor biodiversity change</w:t>
      </w:r>
      <w:r>
        <w:t xml:space="preserve"> </w:t>
      </w:r>
      <w:r>
        <w:t xml:space="preserve">(Gonzalez et al. 2023)</w:t>
      </w:r>
      <w:r>
        <w:t xml:space="preserve"> </w:t>
      </w:r>
      <w:r>
        <w:t xml:space="preserve">and guiding actions needed for targets and goals of the</w:t>
      </w:r>
      <w:r>
        <w:t xml:space="preserve"> </w:t>
      </w:r>
      <w:r>
        <w:t xml:space="preserve">Kunming-Montreal Global Biodiversity framework</w:t>
      </w:r>
      <w:r>
        <w:t xml:space="preserve"> </w:t>
      </w:r>
      <w:r>
        <w:t xml:space="preserve">(CBD 2022)</w:t>
      </w:r>
      <w:r>
        <w:t xml:space="preserve">.</w:t>
      </w:r>
    </w:p>
    <w:p>
      <w:pPr>
        <w:pStyle w:val="BodyText"/>
      </w:pPr>
      <w:r>
        <w:t xml:space="preserve">Recent work highlighted the need for improved sampling designs in BONs and</w:t>
      </w:r>
      <w:r>
        <w:t xml:space="preserve"> </w:t>
      </w:r>
      <w:r>
        <w:t xml:space="preserve">proper adjustment to monitoring goals. First, current sampling designs over</w:t>
      </w:r>
      <w:r>
        <w:t xml:space="preserve"> </w:t>
      </w:r>
      <w:r>
        <w:t xml:space="preserve">large scales are often too sparse, at too coarse a scale, too infrequent, and</w:t>
      </w:r>
      <w:r>
        <w:t xml:space="preserve"> </w:t>
      </w:r>
      <w:r>
        <w:t xml:space="preserve">without temporal replication</w:t>
      </w:r>
      <w:r>
        <w:t xml:space="preserve"> </w:t>
      </w:r>
      <w:r>
        <w:t xml:space="preserve">(Santana et al. 2025)</w:t>
      </w:r>
      <w:r>
        <w:t xml:space="preserve">. For example, recommendations</w:t>
      </w:r>
      <w:r>
        <w:t xml:space="preserve"> </w:t>
      </w:r>
      <w:r>
        <w:t xml:space="preserve">for more effective spatial sampling designs in Europe included i) stratified</w:t>
      </w:r>
      <w:r>
        <w:t xml:space="preserve"> </w:t>
      </w:r>
      <w:r>
        <w:t xml:space="preserve">random sampling (with stratification across environmental, anthropogenic and</w:t>
      </w:r>
      <w:r>
        <w:t xml:space="preserve"> </w:t>
      </w:r>
      <w:r>
        <w:t xml:space="preserve">political gradients or classes, ii) incorporation of existing monitoring sites,</w:t>
      </w:r>
      <w:r>
        <w:t xml:space="preserve"> </w:t>
      </w:r>
      <w:r>
        <w:t xml:space="preserve">iii) filling of spatial gaps</w:t>
      </w:r>
      <w:r>
        <w:t xml:space="preserve"> </w:t>
      </w:r>
      <w:r>
        <w:t xml:space="preserve">(Kissling et al. 2024)</w:t>
      </w:r>
      <w:r>
        <w:t xml:space="preserve">. Second,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for achieving an ecological monitoring goal</w:t>
      </w:r>
      <w:r>
        <w:t xml:space="preserve"> </w:t>
      </w:r>
      <w:r>
        <w:t xml:space="preserve">(Norman and Poisot 2025)</w:t>
      </w:r>
      <w:r>
        <w:t xml:space="preserve">. Species richness is the most commonly used biodiversity</w:t>
      </w:r>
      <w:r>
        <w:t xml:space="preserve"> </w:t>
      </w:r>
      <w:r>
        <w:t xml:space="preserve">measure in monitoring contexts</w:t>
      </w:r>
      <w:r>
        <w:t xml:space="preserve"> </w:t>
      </w:r>
      <w:r>
        <w:t xml:space="preserve">(Hillebrand et al. 2018)</w:t>
      </w:r>
      <w:r>
        <w:t xml:space="preserve">, including in discussions</w:t>
      </w:r>
      <w:r>
        <w:t xml:space="preserve"> </w:t>
      </w:r>
      <w:r>
        <w:t xml:space="preserve">over sampling designs. On one hand, maximizing richness can efficiently capture</w:t>
      </w:r>
      <w:r>
        <w:t xml:space="preserve"> </w:t>
      </w:r>
      <w:r>
        <w:t xml:space="preserve">functional and phylogenetic diversity in conservation networks</w:t>
      </w:r>
      <w:r>
        <w:t xml:space="preserve"> </w:t>
      </w:r>
      <w:r>
        <w:t xml:space="preserve">(Willig et al. 2023)</w:t>
      </w:r>
      <w:r>
        <w:t xml:space="preserve">. On the other hand, the use of species richness to measure</w:t>
      </w:r>
      <w:r>
        <w:t xml:space="preserve"> </w:t>
      </w:r>
      <w:r>
        <w:t xml:space="preserve">biodiversity change and guide biological conservation has also been criticized,</w:t>
      </w:r>
      <w:r>
        <w:t xml:space="preserve"> </w:t>
      </w:r>
      <w:r>
        <w:t xml:space="preserve">mainly since trends in species richness do not properly capture local changes,</w:t>
      </w:r>
      <w:r>
        <w:t xml:space="preserve"> </w:t>
      </w:r>
      <w:r>
        <w:t xml:space="preserve">neglecting species identities and functional roles, and do not providing</w:t>
      </w:r>
      <w:r>
        <w:t xml:space="preserve"> </w:t>
      </w:r>
      <w:r>
        <w:t xml:space="preserve">information on persistence of biodiversity and ecosystem services</w:t>
      </w:r>
      <w:r>
        <w:t xml:space="preserve"> </w:t>
      </w:r>
      <w:r>
        <w:t xml:space="preserve">(Hillebrand et al. 2018; Aguiar et al. 2024; Fletcher Jr. et al. 2025)</w:t>
      </w:r>
      <w:r>
        <w:t xml:space="preserve">. Thus, there</w:t>
      </w:r>
      <w:r>
        <w:t xml:space="preserve"> </w:t>
      </w:r>
      <w:r>
        <w:t xml:space="preserve">is a need to better adjust BON sampling designs to biodiversity facets beyond</w:t>
      </w:r>
      <w:r>
        <w:t xml:space="preserve"> </w:t>
      </w:r>
      <w:r>
        <w:t xml:space="preserve">species richness.</w:t>
      </w:r>
    </w:p>
    <w:p>
      <w:pPr>
        <w:pStyle w:val="BodyText"/>
      </w:pPr>
      <w:r>
        <w:t xml:space="preserve">Species interactions are a central component of biodiversity</w:t>
      </w:r>
      <w:r>
        <w:t xml:space="preserve"> </w:t>
      </w:r>
      <w:r>
        <w:t xml:space="preserve">(McCann 2007; Valiente-Banuet et al. 2015; Harvey et al. 2017)</w:t>
      </w:r>
      <w:r>
        <w:t xml:space="preserve">, critical for</w:t>
      </w:r>
      <w:r>
        <w:t xml:space="preserve"> </w:t>
      </w:r>
      <w:r>
        <w:t xml:space="preserve">ecosystem functioning and health, yet are undervalued in biodiversity monitoring</w:t>
      </w:r>
      <w:r>
        <w:t xml:space="preserve"> </w:t>
      </w:r>
      <w:r>
        <w:t xml:space="preserve">and conservation</w:t>
      </w:r>
      <w:r>
        <w:t xml:space="preserve"> </w:t>
      </w:r>
      <w:r>
        <w:t xml:space="preserve">(Jordano 2016a; Dansereau et al. 2025)</w:t>
      </w:r>
      <w:r>
        <w:t xml:space="preserve">. Interactions</w:t>
      </w:r>
      <w:r>
        <w:t xml:space="preserve"> </w:t>
      </w:r>
      <w:r>
        <w:t xml:space="preserve">mediate community and ecosystem responses to change</w:t>
      </w:r>
      <w:r>
        <w:t xml:space="preserve"> </w:t>
      </w:r>
      <w:r>
        <w:t xml:space="preserve">(Garzke et al. 2019)</w:t>
      </w:r>
      <w:r>
        <w:t xml:space="preserve"> </w:t>
      </w:r>
      <w:r>
        <w:t xml:space="preserve">and can</w:t>
      </w:r>
      <w:r>
        <w:t xml:space="preserve"> </w:t>
      </w:r>
      <w:r>
        <w:t xml:space="preserve">improve our ability to predict responses to climate change</w:t>
      </w:r>
      <w:r>
        <w:t xml:space="preserve"> </w:t>
      </w:r>
      <w:r>
        <w:t xml:space="preserve">(Abrego et al. 2021)</w:t>
      </w:r>
      <w:r>
        <w:t xml:space="preserve">.</w:t>
      </w:r>
      <w:r>
        <w:t xml:space="preserve"> </w:t>
      </w:r>
      <w:r>
        <w:t xml:space="preserve">They have their own spatial and macro-ecological dynamics</w:t>
      </w:r>
      <w:r>
        <w:t xml:space="preserve"> </w:t>
      </w:r>
      <w:r>
        <w:t xml:space="preserve">(Baiser et al. 2019; Mestre et al. 2022; Windsor et al. 2023; Dansereau et al. 2024)</w:t>
      </w:r>
      <w:r>
        <w:t xml:space="preserve">, and may be lost (or</w:t>
      </w:r>
      <w:r>
        <w:t xml:space="preserve"> </w:t>
      </w:r>
      <w:r>
        <w:t xml:space="preserve">change) faster than species</w:t>
      </w:r>
      <w:r>
        <w:t xml:space="preserve"> </w:t>
      </w:r>
      <w:r>
        <w:t xml:space="preserve">(Valiente-Banuet et al. 2015; Doré et al. 2021)</w:t>
      </w:r>
      <w:r>
        <w:t xml:space="preserve">.</w:t>
      </w:r>
      <w:r>
        <w:t xml:space="preserve"> </w:t>
      </w:r>
      <w:r>
        <w:t xml:space="preserve">Despite a lack of data at global scales and uneven data availability across</w:t>
      </w:r>
      <w:r>
        <w:t xml:space="preserve"> </w:t>
      </w:r>
      <w:r>
        <w:t xml:space="preserve">different interaction types and environments</w:t>
      </w:r>
      <w:r>
        <w:t xml:space="preserve">(Hortal et al. 2015; Poisot et al. 2021)</w:t>
      </w:r>
      <w:r>
        <w:t xml:space="preserve">, we now have sufficient conceptual tools to support the added</w:t>
      </w:r>
      <w:r>
        <w:t xml:space="preserve"> </w:t>
      </w:r>
      <w:r>
        <w:t xml:space="preserve">value of species interactions in designing efficient management actions</w:t>
      </w:r>
      <w:r>
        <w:t xml:space="preserve"> </w:t>
      </w:r>
      <w:r>
        <w:t xml:space="preserve">(Dansereau et al. 2025; Moracho et al. 2025)</w:t>
      </w:r>
      <w:r>
        <w:t xml:space="preserve">. Therefore, integrating species</w:t>
      </w:r>
      <w:r>
        <w:t xml:space="preserve"> </w:t>
      </w:r>
      <w:r>
        <w:t xml:space="preserve">interactions into existing monitoring programs, such as BONs, is something we</w:t>
      </w:r>
      <w:r>
        <w:t xml:space="preserve"> </w:t>
      </w:r>
      <w:r>
        <w:t xml:space="preserve">need to undertake in the near future.</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 and diversity metrics</w:t>
      </w:r>
      <w:r>
        <w:t xml:space="preserve"> </w:t>
      </w:r>
      <w:r>
        <w:t xml:space="preserve">(e.g. Chacoff et al. 2012; Chiu et al. 2023)</w:t>
      </w:r>
      <w:r>
        <w:t xml:space="preserve"> </w:t>
      </w:r>
      <w:r>
        <w:t xml:space="preserve">and how sampling effort affects network properties</w:t>
      </w:r>
      <w:r>
        <w:t xml:space="preserve"> </w:t>
      </w:r>
      <w:r>
        <w:t xml:space="preserve">(e.g., McLeod et al. 2021)</w:t>
      </w:r>
      <w:r>
        <w:t xml:space="preserve">.</w:t>
      </w:r>
      <w:r>
        <w:t xml:space="preserve"> </w:t>
      </w:r>
      <w:r>
        <w:t xml:space="preserve">Recent empirical</w:t>
      </w:r>
      <w:r>
        <w:t xml:space="preserve"> </w:t>
      </w:r>
      <w:r>
        <w:t xml:space="preserve">(Caron et al. 2024)</w:t>
      </w:r>
      <w:r>
        <w:t xml:space="preserve"> </w:t>
      </w:r>
      <w:r>
        <w:t xml:space="preserve">and theoretical</w:t>
      </w:r>
      <w:r>
        <w:t xml:space="preserve"> </w:t>
      </w:r>
      <w:r>
        <w:t xml:space="preserve">(Poisot 2023)</w:t>
      </w:r>
      <w:r>
        <w:t xml:space="preserve"> </w:t>
      </w:r>
      <w:r>
        <w:t xml:space="preserve">results</w:t>
      </w:r>
      <w:r>
        <w:t xml:space="preserve"> </w:t>
      </w:r>
      <w:r>
        <w:t xml:space="preserve">have established that knowing the network structure (i.e. network properties)</w:t>
      </w:r>
      <w:r>
        <w:t xml:space="preserve"> </w:t>
      </w:r>
      <w:r>
        <w:t xml:space="preserve">does not always allow to know the list of interactions (and vice versa),</w:t>
      </w:r>
      <w:r>
        <w:t xml:space="preserve"> </w:t>
      </w:r>
      <w:r>
        <w:t xml:space="preserve">therefore justifying the need to sample interactions as their own biological</w:t>
      </w:r>
      <w:r>
        <w:t xml:space="preserve"> </w:t>
      </w:r>
      <w:r>
        <w:t xml:space="preserve">entities. A central challenge to do so is that the sampling effort required to</w:t>
      </w:r>
      <w:r>
        <w:t xml:space="preserve"> </w:t>
      </w:r>
      <w:r>
        <w:t xml:space="preserve">document interactions is much higher than for species</w:t>
      </w:r>
      <w:r>
        <w:t xml:space="preserve"> </w:t>
      </w:r>
      <w:r>
        <w:t xml:space="preserve">(e.g. 500% vs 64% in Chacoff et al. 2012)</w:t>
      </w:r>
      <w:r>
        <w:t xml:space="preserve">. Moreover, evaluating sampling completeness for interactions</w:t>
      </w:r>
      <w:r>
        <w:t xml:space="preserve"> </w:t>
      </w:r>
      <w:r>
        <w:t xml:space="preserve">is more complex than for species, as it requires assessing the proportion of</w:t>
      </w:r>
      <w:r>
        <w:t xml:space="preserve"> </w:t>
      </w:r>
      <w:r>
        <w:t xml:space="preserve">forbidden links (i.e. links that cannot occur) due to life history or</w:t>
      </w:r>
      <w:r>
        <w:t xml:space="preserve"> </w:t>
      </w:r>
      <w:r>
        <w:t xml:space="preserve">morphological restrictions, which in turn requires knowledge of species natural</w:t>
      </w:r>
      <w:r>
        <w:t xml:space="preserve"> </w:t>
      </w:r>
      <w:r>
        <w:t xml:space="preserve">history and traits</w:t>
      </w:r>
      <w:r>
        <w:t xml:space="preserve"> </w:t>
      </w:r>
      <w:r>
        <w:t xml:space="preserve">(Jordano 2016b)</w:t>
      </w:r>
      <w:r>
        <w:t xml:space="preserve">. While some quantitative network</w:t>
      </w:r>
      <w:r>
        <w:t xml:space="preserve"> </w:t>
      </w:r>
      <w:r>
        <w:t xml:space="preserve">properties such as connectance are less affected by sampling completeness,</w:t>
      </w:r>
      <w:r>
        <w:t xml:space="preserve"> </w:t>
      </w:r>
      <w:r>
        <w:t xml:space="preserve">network composition and binary measurements derived from it will vary widely if</w:t>
      </w:r>
      <w:r>
        <w:t xml:space="preserve"> </w:t>
      </w:r>
      <w:r>
        <w:t xml:space="preserve">interactions are missed</w:t>
      </w:r>
      <w:r>
        <w:t xml:space="preserve"> </w:t>
      </w:r>
      <w:r>
        <w:t xml:space="preserve">(e.g. number of links, Vizentin-Bugoni et al. 2016; Poisot et al. 2012)</w:t>
      </w:r>
      <w:r>
        <w:t xml:space="preserve">.</w:t>
      </w:r>
    </w:p>
    <w:p>
      <w:pPr>
        <w:pStyle w:val="BodyText"/>
      </w:pPr>
      <w:r>
        <w:t xml:space="preserve">One way to define expectations for interaction monitoring within BONs is to</w:t>
      </w:r>
      <w:r>
        <w:t xml:space="preserve"> </w:t>
      </w:r>
      <w:r>
        <w:t xml:space="preserve">consider variation in local sampling from an explicitly spatial perspective—that</w:t>
      </w:r>
      <w:r>
        <w:t xml:space="preserve"> </w:t>
      </w:r>
      <w:r>
        <w:t xml:space="preserve">is, quantifying sampling effort from specific sites where interactions are</w:t>
      </w:r>
      <w:r>
        <w:t xml:space="preserve"> </w:t>
      </w:r>
      <w:r>
        <w:t xml:space="preserve">sampled—and use such expectations to improve monitoring efficiency. Previous</w:t>
      </w:r>
      <w:r>
        <w:t xml:space="preserve"> </w:t>
      </w:r>
      <w:r>
        <w:t xml:space="preserve">evaluation of sampling effort relating to interactions were not explicitly</w:t>
      </w:r>
      <w:r>
        <w:t xml:space="preserve"> </w:t>
      </w:r>
      <w:r>
        <w:t xml:space="preserve">spatial in a way that directly ties to biodiversity monitoring: they</w:t>
      </w:r>
      <w:r>
        <w:t xml:space="preserve"> </w:t>
      </w:r>
      <w:r>
        <w:t xml:space="preserve">investigated expected variations using dataset resampling</w:t>
      </w:r>
      <w:r>
        <w:t xml:space="preserve"> </w:t>
      </w:r>
      <w:r>
        <w:t xml:space="preserve">(to measure the effect</w:t>
      </w:r>
      <w:r>
        <w:t xml:space="preserve"> </w:t>
      </w:r>
      <w:r>
        <w:t xml:space="preserve">on network composition and properties, Poisot et al. 2012; Henriksen et al. 2019)</w:t>
      </w:r>
      <w:r>
        <w:t xml:space="preserve">,</w:t>
      </w:r>
      <w:r>
        <w:t xml:space="preserve"> </w:t>
      </w:r>
      <w:r>
        <w:t xml:space="preserve">focused on the effect of scale</w:t>
      </w:r>
      <w:r>
        <w:t xml:space="preserve"> </w:t>
      </w:r>
      <w:r>
        <w:t xml:space="preserve">(showing that many network structure metrics are</w:t>
      </w:r>
      <w:r>
        <w:t xml:space="preserve"> </w:t>
      </w:r>
      <w:r>
        <w:t xml:space="preserve">robust across spatial scales, Wood et al. 2015)</w:t>
      </w:r>
      <w:r>
        <w:t xml:space="preserve">, or assessed the ability to</w:t>
      </w:r>
      <w:r>
        <w:t xml:space="preserve"> </w:t>
      </w:r>
      <w:r>
        <w:t xml:space="preserve">capture regional properties</w:t>
      </w:r>
      <w:r>
        <w:t xml:space="preserve"> </w:t>
      </w:r>
      <w:r>
        <w:t xml:space="preserve">(showing that sampling larger to smaller lakes</w:t>
      </w:r>
      <w:r>
        <w:t xml:space="preserve"> </w:t>
      </w:r>
      <w:r>
        <w:t xml:space="preserve">better captures regional metaweb properties, McLeod et al. 2021)</w:t>
      </w:r>
      <w:r>
        <w:t xml:space="preserve">. We now have</w:t>
      </w:r>
      <w:r>
        <w:t xml:space="preserve"> </w:t>
      </w:r>
      <w:r>
        <w:t xml:space="preserve">frameworks and models to describe and investigate the variation and detection of</w:t>
      </w:r>
      <w:r>
        <w:t xml:space="preserve"> </w:t>
      </w:r>
      <w:r>
        <w:t xml:space="preserve">interaction networks in space and time</w:t>
      </w:r>
      <w:r>
        <w:t xml:space="preserve"> </w:t>
      </w:r>
      <w:r>
        <w:t xml:space="preserve">(Poisot et al. 2015; Cirtwill et al. 2019; Catchen et al. 2023)</w:t>
      </w:r>
      <w:r>
        <w:t xml:space="preserve">, and therefore the next step is to consider how to optimize</w:t>
      </w:r>
      <w:r>
        <w:t xml:space="preserve"> </w:t>
      </w:r>
      <w:r>
        <w:t xml:space="preserve">monitoring for species interactions. Simulations offer opportunities to explore</w:t>
      </w:r>
      <w:r>
        <w:t xml:space="preserve"> </w:t>
      </w:r>
      <w:r>
        <w:t xml:space="preserve">such optimizations: for example, to anticipate sampling effects on estimated</w:t>
      </w:r>
      <w:r>
        <w:t xml:space="preserve"> </w:t>
      </w:r>
      <w:r>
        <w:t xml:space="preserve">network properties compared to a known reference</w:t>
      </w:r>
      <w:r>
        <w:t xml:space="preserve"> </w:t>
      </w:r>
      <w:r>
        <w:t xml:space="preserve">(de Aguiar et al. 2019)</w:t>
      </w:r>
      <w:r>
        <w:t xml:space="preserve">,</w:t>
      </w:r>
      <w:r>
        <w:t xml:space="preserve"> </w:t>
      </w:r>
      <w:r>
        <w:t xml:space="preserve">determine optimal sampling frequency for monitoring</w:t>
      </w:r>
      <w:r>
        <w:t xml:space="preserve"> </w:t>
      </w:r>
      <w:r>
        <w:t xml:space="preserve">(Daugaard et al. 2024)</w:t>
      </w:r>
      <w:r>
        <w:t xml:space="preserve">, and</w:t>
      </w:r>
      <w:r>
        <w:t xml:space="preserve"> </w:t>
      </w:r>
      <w:r>
        <w:t xml:space="preserve">examine how monitoring efficiency and trends detection is influenced by the</w:t>
      </w:r>
      <w:r>
        <w:t xml:space="preserve"> </w:t>
      </w:r>
      <w:r>
        <w:t xml:space="preserve">number of monitoring sites under a range of scenarios and monitoring schemes</w:t>
      </w:r>
      <w:r>
        <w:t xml:space="preserve"> </w:t>
      </w:r>
      <w:r>
        <w:t xml:space="preserve">(Ficetola et al. 2018)</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does sampling design</w:t>
      </w:r>
      <w:r>
        <w:t xml:space="preserve"> </w:t>
      </w:r>
      <w:r>
        <w:t xml:space="preserve">strategies have on the efficiency with which we can document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ranges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 et al. (2023)</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document 80% of the</w:t>
            </w:r>
            <w:r>
              <w:t xml:space="preserve"> </w:t>
            </w:r>
            <w:r>
              <w:t xml:space="preserve">interactions) across all</w:t>
            </w:r>
            <w:r>
              <w:t xml:space="preserve"> </w:t>
            </w:r>
            <w:r>
              <w:t xml:space="preserve">simulations.</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 et al. 2023; building on Cirtwill et al. 2019)</w:t>
      </w:r>
      <w:r>
        <w:t xml:space="preserve"> </w:t>
      </w:r>
      <w:r>
        <w:t xml:space="preserve">to simulate interaction</w:t>
      </w:r>
      <w:r>
        <w:t xml:space="preserve"> </w:t>
      </w:r>
      <w:r>
        <w:t xml:space="preserve">realization and detection while accounting for spatial variation in species</w:t>
      </w:r>
      <w:r>
        <w:t xml:space="preserve"> </w:t>
      </w:r>
      <w:r>
        <w:t xml:space="preserve">occurrences, implemented in</w:t>
      </w:r>
      <w:r>
        <w:t xml:space="preserve"> </w:t>
      </w:r>
      <w:r>
        <w:rPr>
          <w:rStyle w:val="VerbatimChar"/>
        </w:rPr>
        <w:t xml:space="preserve">SpeciesInteractionSamplers.jl</w:t>
      </w:r>
      <w:r>
        <w:t xml:space="preserve">. This model broadly</w:t>
      </w:r>
      <w:r>
        <w:t xml:space="preserve"> </w:t>
      </w:r>
      <w:r>
        <w:t xml:space="preserve">captures the different processes involved into turning a</w:t>
      </w:r>
      <w:r>
        <w:t xml:space="preserve"> </w:t>
      </w:r>
      <w:r>
        <w:rPr>
          <w:i/>
          <w:iCs/>
        </w:rPr>
        <w:t xml:space="preserve">potential</w:t>
      </w:r>
      <w:r>
        <w:t xml:space="preserve"> </w:t>
      </w:r>
      <w:r>
        <w:t xml:space="preserve">interaction</w:t>
      </w:r>
      <w:r>
        <w:t xml:space="preserve"> </w:t>
      </w:r>
      <w:r>
        <w:t xml:space="preserve">(i.e. a biologically feasible interaction) into a</w:t>
      </w:r>
      <w:r>
        <w:t xml:space="preserve"> </w:t>
      </w:r>
      <w:r>
        <w:rPr>
          <w:i/>
          <w:iCs/>
        </w:rPr>
        <w:t xml:space="preserve">realized</w:t>
      </w:r>
      <w:r>
        <w:t xml:space="preserve"> </w:t>
      </w:r>
      <w:r>
        <w:t xml:space="preserve">one (i.e. an</w:t>
      </w:r>
      <w:r>
        <w:t xml:space="preserve"> </w:t>
      </w:r>
      <w:r>
        <w:t xml:space="preserve">interaction that took place at a specified location), as outlined in</w:t>
      </w:r>
      <w:r>
        <w:t xml:space="preserve"> </w:t>
      </w:r>
      <w:r>
        <w:t xml:space="preserve">Morales-Castilla et al. (2015)</w:t>
      </w:r>
      <w:r>
        <w:t xml:space="preserve">. To this generative model, we added the design of</w:t>
      </w:r>
      <w:r>
        <w:t xml:space="preserve"> </w:t>
      </w:r>
      <w:r>
        <w:t xml:space="preserve">Biodiversity Observation Networks and the evaluation of sampling efficiency</w:t>
      </w:r>
      <w:r>
        <w:t xml:space="preserve"> </w:t>
      </w:r>
      <w:r>
        <w:t xml:space="preserve">between and across simulations for species interactions (</w:t>
      </w:r>
      <w:hyperlink w:anchor="fig-concept">
        <w:r>
          <w:rPr>
            <w:rStyle w:val="Hyperlink"/>
          </w:rPr>
          <w:t xml:space="preserve">Figure 1</w:t>
        </w:r>
      </w:hyperlink>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simulated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 Step 1), with the</w:t>
      </w:r>
      <w:r>
        <w:t xml:space="preserve"> </w:t>
      </w:r>
      <w:r>
        <w:t xml:space="preserve">intent to replicate the ecological context in which biodiversity monitoring</w:t>
      </w:r>
      <w:r>
        <w:t xml:space="preserve"> </w:t>
      </w:r>
      <w:r>
        <w:t xml:space="preserve">could take place. To do so, we generated species ranges representing the</w:t>
      </w:r>
      <w:r>
        <w:t xml:space="preserve"> </w:t>
      </w:r>
      <w:r>
        <w:t xml:space="preserve">distribution of species across the landscape using neutral landscape models</w:t>
      </w:r>
      <w:r>
        <w:t xml:space="preserve"> </w:t>
      </w:r>
      <w:r>
        <w:t xml:space="preserve">[NLMs;</w:t>
      </w:r>
      <w:r>
        <w:t xml:space="preserve"> </w:t>
      </w:r>
      <w:r>
        <w:t xml:space="preserve">Gardner et al. (1987)</w:t>
      </w:r>
      <w:r>
        <w:t xml:space="preserve">;</w:t>
      </w:r>
      <w:r>
        <w:t xml:space="preserve"> </w:t>
      </w:r>
      <w:r>
        <w:t xml:space="preserve">Etherington et al. (2015)</w:t>
      </w:r>
      <w:r>
        <w:t xml:space="preserve">]. NLMs are used to generate</w:t>
      </w:r>
      <w:r>
        <w:t xml:space="preserve"> </w:t>
      </w:r>
      <w:r>
        <w:t xml:space="preserve">landscapes replicating realistic spatially-autocorrelated distributions and</w:t>
      </w:r>
      <w:r>
        <w:t xml:space="preserve"> </w:t>
      </w:r>
      <w:r>
        <w:t xml:space="preserve">representing useful baselines to explore ecological processes in a spatial</w:t>
      </w:r>
      <w:r>
        <w:t xml:space="preserve"> </w:t>
      </w:r>
      <w:r>
        <w:t xml:space="preserve">context</w:t>
      </w:r>
      <w:r>
        <w:t xml:space="preserve"> </w:t>
      </w:r>
      <w:r>
        <w:t xml:space="preserve">(Hesselbarth et al. 2024)</w:t>
      </w:r>
      <w:r>
        <w:t xml:space="preserve">. NLMs have been used to generate realistic</w:t>
      </w:r>
      <w:r>
        <w:t xml:space="preserve"> </w:t>
      </w:r>
      <w:r>
        <w:t xml:space="preserve">landscapes in contexts relating to biodiversity distribution and preservation,</w:t>
      </w:r>
      <w:r>
        <w:t xml:space="preserve"> </w:t>
      </w:r>
      <w:r>
        <w:t xml:space="preserve">for instance to compare avian diversity between conservation approaches in</w:t>
      </w:r>
      <w:r>
        <w:t xml:space="preserve"> </w:t>
      </w:r>
      <w:r>
        <w:t xml:space="preserve">coffee-growing landscapes</w:t>
      </w:r>
      <w:r>
        <w:t xml:space="preserve"> </w:t>
      </w:r>
      <w:r>
        <w:t xml:space="preserve">(Valente et al. 2022)</w:t>
      </w:r>
      <w:r>
        <w:t xml:space="preserve"> </w:t>
      </w:r>
      <w:r>
        <w:t xml:space="preserve">or to assess the potential of a</w:t>
      </w:r>
      <w:r>
        <w:t xml:space="preserve"> </w:t>
      </w:r>
      <w:r>
        <w:t xml:space="preserve">suggested umbrella species in an ecotone</w:t>
      </w:r>
      <w:r>
        <w:t xml:space="preserve"> </w:t>
      </w:r>
      <w:r>
        <w:t xml:space="preserve">(Duchardt et al. 2023)</w:t>
      </w:r>
      <w:r>
        <w:t xml:space="preserve">. NLMs have also</w:t>
      </w:r>
      <w:r>
        <w:t xml:space="preserve"> </w:t>
      </w:r>
      <w:r>
        <w:t xml:space="preserve">been used with species interactions, for example to evaluate the effect of</w:t>
      </w:r>
      <w:r>
        <w:t xml:space="preserve"> </w:t>
      </w:r>
      <w:r>
        <w:t xml:space="preserve">landscape structure in cross-species disease transmission between interacting</w:t>
      </w:r>
      <w:r>
        <w:t xml:space="preserve"> </w:t>
      </w:r>
      <w:r>
        <w:t xml:space="preserve">species</w:t>
      </w:r>
      <w:r>
        <w:t xml:space="preserve"> </w:t>
      </w:r>
      <w:r>
        <w:t xml:space="preserve">(Forero-Muñoz et al. 2025)</w:t>
      </w:r>
      <w:r>
        <w:t xml:space="preserve">. Here, we generated species ranges following</w:t>
      </w:r>
      <w:r>
        <w:t xml:space="preserve"> </w:t>
      </w:r>
      <w:r>
        <w:t xml:space="preserve">the implementation in SpeciesInteractionSamplers.jl</w:t>
      </w:r>
      <w:r>
        <w:t xml:space="preserve"> </w:t>
      </w:r>
      <w:r>
        <w:t xml:space="preserve">(Catchen et al. 2023)</w:t>
      </w:r>
      <w:r>
        <w:t xml:space="preserve">,</w:t>
      </w:r>
      <w:r>
        <w:t xml:space="preserve"> </w:t>
      </w:r>
      <w:r>
        <w:t xml:space="preserve">which 1) uses the Diamond-Square algorithm</w:t>
      </w:r>
      <w:r>
        <w:t xml:space="preserve"> </w:t>
      </w:r>
      <w:r>
        <w:t xml:space="preserve">(Fournier et al. 1982; also used</w:t>
      </w:r>
      <w:r>
        <w:t xml:space="preserve"> </w:t>
      </w:r>
      <w:r>
        <w:t xml:space="preserve">similarly and described by Forero-Muñoz et al. 2025)</w:t>
      </w:r>
      <w:r>
        <w:t xml:space="preserve"> </w:t>
      </w:r>
      <w:r>
        <w:t xml:space="preserve">to generate a probabilistic</w:t>
      </w:r>
      <w:r>
        <w:t xml:space="preserve"> </w:t>
      </w:r>
      <w:r>
        <w:t xml:space="preserve">spatially-autocorrelated range for a species (default autocorrelation parameter</w:t>
      </w:r>
      <w:r>
        <w:t xml:space="preserve"> </w:t>
      </w:r>
      <w:r>
        <w:t xml:space="preserve">h=0.85); 2) draws a threshold based on a Beta distribution (default</w:t>
      </w:r>
      <w:r>
        <w:t xml:space="preserve"> </w:t>
      </w:r>
      <m:oMath>
        <m:r>
          <m:t>α</m:t>
        </m:r>
      </m:oMath>
      <w:r>
        <w:t xml:space="preserve"> </w:t>
      </w:r>
      <w:r>
        <w:t xml:space="preserve">=</w:t>
      </w:r>
      <w:r>
        <w:t xml:space="preserve"> </w:t>
      </w:r>
      <w:r>
        <w:t xml:space="preserve">10,</w:t>
      </w:r>
      <w:r>
        <w:t xml:space="preserve"> </w:t>
      </w:r>
      <m:oMath>
        <m:r>
          <m:t>β</m:t>
        </m:r>
      </m:oMath>
      <w:r>
        <w:t xml:space="preserve"> </w:t>
      </w:r>
      <w:r>
        <w:t xml:space="preserve">= 10); 3) converts the probabilistic range into a binary one,</w:t>
      </w:r>
      <w:r>
        <w:t xml:space="preserve"> </w:t>
      </w:r>
      <w:r>
        <w:t xml:space="preserve">considering all sites with values higher than the threshold as presence and</w:t>
      </w:r>
      <w:r>
        <w:t xml:space="preserve"> </w:t>
      </w:r>
      <w:r>
        <w:t xml:space="preserve">those with lower values as absence, and 4) repeating the process independently</w:t>
      </w:r>
      <w:r>
        <w:t xml:space="preserve"> </w:t>
      </w:r>
      <w:r>
        <w:t xml:space="preserve">for all species (here 75 species). In the end, this process generates</w:t>
      </w:r>
      <w:r>
        <w:t xml:space="preserve"> </w:t>
      </w:r>
      <w:r>
        <w:t xml:space="preserve">communities of known composition and species richness at every site in the</w:t>
      </w:r>
      <w:r>
        <w:t xml:space="preserve"> </w:t>
      </w:r>
      <w:r>
        <w:t xml:space="preserve">simulated landscape.</w:t>
      </w:r>
    </w:p>
    <w:p>
      <w:pPr>
        <w:pStyle w:val="BodyText"/>
      </w:pPr>
      <w:r>
        <w:t xml:space="preserve">Next, using the spatio-temporal model presented by</w:t>
      </w:r>
      <w:r>
        <w:t xml:space="preserve"> </w:t>
      </w:r>
      <w:r>
        <w:t xml:space="preserve">Catchen et al. (2023)</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 and Martinez 2000)</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 and Martinez 2000; Gravel et al. 2013; Delmas et al. 2019)</w:t>
      </w:r>
      <w:r>
        <w:t xml:space="preserve">. It is widely used as a generative model,</w:t>
      </w:r>
      <w:r>
        <w:t xml:space="preserve"> </w:t>
      </w:r>
      <w:r>
        <w:t xml:space="preserve">including in the context of investigating interaction sampling</w:t>
      </w:r>
      <w:r>
        <w:t xml:space="preserve"> </w:t>
      </w:r>
      <w:r>
        <w:t xml:space="preserve">(Poisot et al. 2012; Wood et al. 2015)</w:t>
      </w:r>
      <w:r>
        <w:t xml:space="preserve">.</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 et al. 2023)</w:t>
      </w:r>
      <w:r>
        <w:t xml:space="preserve"> </w:t>
      </w:r>
      <w:r>
        <w:t xml:space="preserve">at every location in our landscape. Next, we defined</w:t>
      </w:r>
      <w:r>
        <w:t xml:space="preserve"> </w:t>
      </w:r>
      <w:r>
        <w:rPr>
          <w:b/>
          <w:bCs/>
        </w:rPr>
        <w:t xml:space="preserve">realized interactions</w:t>
      </w:r>
      <w:r>
        <w:t xml:space="preserve"> </w:t>
      </w:r>
      <w:r>
        <w:t xml:space="preserve">by conditioning possible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(Canard et al. 2012; Catchen et al. 2023)</w:t>
      </w:r>
      <w:r>
        <w:t xml:space="preserve">. The neutral model introduced by</w:t>
      </w:r>
      <w:r>
        <w:t xml:space="preserve"> </w:t>
      </w:r>
      <w:r>
        <w:t xml:space="preserve">Catchen et al. (2023)</w:t>
      </w:r>
      <w:r>
        <w:t xml:space="preserve"> </w:t>
      </w:r>
      <w:r>
        <w:t xml:space="preserve">first</w:t>
      </w:r>
      <w:r>
        <w:t xml:space="preserve"> </w:t>
      </w:r>
      <w:r>
        <w:t xml:space="preserve">generates a distribution of species relative abundances from a log-normal</w:t>
      </w:r>
      <w:r>
        <w:t xml:space="preserve"> </w:t>
      </w:r>
      <w:r>
        <w:t xml:space="preserve">distribution [followed by many empirical communities,</w:t>
      </w:r>
      <w:r>
        <w:t xml:space="preserve"> </w:t>
      </w:r>
      <w:r>
        <w:t xml:space="preserve">Preston (1948)</w:t>
      </w:r>
      <w:r>
        <w:t xml:space="preserve">; the</w:t>
      </w:r>
      <w:r>
        <w:t xml:space="preserve"> </w:t>
      </w:r>
      <w:r>
        <w:t xml:space="preserve">variance is controlled by a parameter</w:t>
      </w:r>
      <w:r>
        <w:t xml:space="preserve"> </w:t>
      </w:r>
      <m:oMath>
        <m:r>
          <m:t>σ</m:t>
        </m:r>
      </m:oMath>
      <w:r>
        <w:t xml:space="preserve">]. It then defines an interaction</w:t>
      </w:r>
      <w:r>
        <w:t xml:space="preserve"> </w:t>
      </w:r>
      <w:r>
        <w:t xml:space="preserve">rate between species pairs based on the product of their relative abundances,</w:t>
      </w:r>
      <w:r>
        <w:t xml:space="preserve"> </w:t>
      </w:r>
      <w:r>
        <w:t xml:space="preserve">scaled by a fixed realization energy parameter (</w:t>
      </w:r>
      <m:oMath>
        <m:r>
          <m:t>ϵ</m:t>
        </m:r>
      </m:oMath>
      <w:r>
        <w:t xml:space="preserve">) determining the</w:t>
      </w:r>
      <w:r>
        <w:t xml:space="preserve"> </w:t>
      </w:r>
      <w:r>
        <w:t xml:space="preserve">total expected number of interactions. Finally, they draw realized interactions</w:t>
      </w:r>
      <w:r>
        <w:t xml:space="preserve"> </w:t>
      </w:r>
      <w:r>
        <w:t xml:space="preserve">from a Poisson distribution parametrized on the interaction rate</w:t>
      </w:r>
      <w:r>
        <w:t xml:space="preserve"> </w:t>
      </w:r>
      <w:r>
        <w:t xml:space="preserve">(see Catchen et al. 2023 for full details)</w:t>
      </w:r>
      <w:r>
        <w:t xml:space="preserve">.</w:t>
      </w:r>
    </w:p>
    <w:p>
      <w:pPr>
        <w:pStyle w:val="BodyText"/>
      </w:pPr>
      <w:r>
        <w:t xml:space="preserve">Finally, we defined the set of</w:t>
      </w:r>
      <w:r>
        <w:t xml:space="preserve"> </w:t>
      </w:r>
      <w:r>
        <w:rPr>
          <w:b/>
          <w:bCs/>
        </w:rPr>
        <w:t xml:space="preserve">detected interactions</w:t>
      </w:r>
      <w:r>
        <w:t xml:space="preserve"> </w:t>
      </w:r>
      <w:r>
        <w:t xml:space="preserve">by also conditioning</w:t>
      </w:r>
      <w:r>
        <w:t xml:space="preserve"> </w:t>
      </w:r>
      <w:r>
        <w:t xml:space="preserve">the detection of realized interactions on species abundances. Even if an</w:t>
      </w:r>
      <w:r>
        <w:t xml:space="preserve"> </w:t>
      </w:r>
      <w:r>
        <w:t xml:space="preserve">interaction is realized in a location, sampling must occur at the moment of</w:t>
      </w:r>
      <w:r>
        <w:t xml:space="preserve"> </w:t>
      </w:r>
      <w:r>
        <w:t xml:space="preserve">interaction for its detection; this is again less likely for low probability</w:t>
      </w:r>
      <w:r>
        <w:t xml:space="preserve"> </w:t>
      </w:r>
      <w:r>
        <w:t xml:space="preserve">events, like interactions between rare occurring species.</w:t>
      </w:r>
      <w:r>
        <w:t xml:space="preserve"> </w:t>
      </w:r>
      <w:r>
        <w:t xml:space="preserve">Catchen et al. (2023)</w:t>
      </w:r>
      <w:r>
        <w:t xml:space="preserve"> </w:t>
      </w:r>
      <w:r>
        <w:t xml:space="preserve">first establish a per-species detection probability conditioned on relative</w:t>
      </w:r>
      <w:r>
        <w:t xml:space="preserve"> </w:t>
      </w:r>
      <w:r>
        <w:t xml:space="preserve">abundance and a fixed scaling parameter (</w:t>
      </w:r>
      <m:oMath>
        <m:r>
          <m:t>α</m:t>
        </m:r>
      </m:oMath>
      <w:r>
        <w:t xml:space="preserve">), compute the</w:t>
      </w:r>
      <w:r>
        <w:t xml:space="preserve"> </w:t>
      </w:r>
      <w:r>
        <w:t xml:space="preserve">interaction-level detection rate as the product of the per-species probability,</w:t>
      </w:r>
      <w:r>
        <w:t xml:space="preserve"> </w:t>
      </w:r>
      <w:r>
        <w:t xml:space="preserve">then draws the detected interactions from a Binomial distribution parametrized</w:t>
      </w:r>
      <w:r>
        <w:t xml:space="preserve"> </w:t>
      </w:r>
      <w:r>
        <w:t xml:space="preserve">on the number of 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systematic grid designs at national</w:t>
      </w:r>
      <w:r>
        <w:t xml:space="preserve"> </w:t>
      </w:r>
      <w:r>
        <w:t xml:space="preserve">scales</w:t>
      </w:r>
      <w:r>
        <w:t xml:space="preserve"> </w:t>
      </w:r>
      <w:r>
        <w:t xml:space="preserve">(e.g. China BON, Xu et al. 2017; Yi et al. 2022)</w:t>
      </w:r>
      <w:r>
        <w:t xml:space="preserve"> </w:t>
      </w:r>
      <w:r>
        <w:t xml:space="preserve">and subnational ones</w:t>
      </w:r>
      <w:r>
        <w:t xml:space="preserve"> </w:t>
      </w:r>
      <w:r>
        <w:t xml:space="preserve">(Québec and Alberta in Canada, Simard 2024; Burton et al. 2014)</w:t>
      </w:r>
      <w:r>
        <w:t xml:space="preserve">.</w:t>
      </w:r>
      <w:r>
        <w:t xml:space="preserve"> </w:t>
      </w:r>
      <w:r>
        <w:t xml:space="preserve">Norman and Poisot (2025)</w:t>
      </w:r>
      <w:r>
        <w:t xml:space="preserve"> </w:t>
      </w:r>
      <w:r>
        <w:t xml:space="preserve">presented an overview of the design and site selection process</w:t>
      </w:r>
      <w:r>
        <w:t xml:space="preserve"> </w:t>
      </w:r>
      <w:r>
        <w:t xml:space="preserve">accounting for ecological monitoring goals. The design process uses a site</w:t>
      </w:r>
      <w:r>
        <w:t xml:space="preserve"> </w:t>
      </w:r>
      <w:r>
        <w:t xml:space="preserve">selection algorithm to designate candidate sites for the monitoring network. Key</w:t>
      </w:r>
      <w:r>
        <w:t xml:space="preserve"> </w:t>
      </w:r>
      <w:r>
        <w:t xml:space="preserve">features of the site selection algorithms include the ability to balance sites</w:t>
      </w:r>
      <w:r>
        <w:t xml:space="preserve"> </w:t>
      </w:r>
      <w:r>
        <w:t xml:space="preserve">across space for equal representation</w:t>
      </w:r>
      <w:r>
        <w:t xml:space="preserve"> </w:t>
      </w:r>
      <w:r>
        <w:t xml:space="preserve">(see Benedetti et al. 2017; Kermorvant et al. 2019 for reviews)</w:t>
      </w:r>
      <w:r>
        <w:t xml:space="preserve">, to stratify across regions or populations,</w:t>
      </w:r>
      <w:r>
        <w:t xml:space="preserve"> </w:t>
      </w:r>
      <w:r>
        <w:t xml:space="preserve">to include auxiliary site information (environmental or biological) to weight</w:t>
      </w:r>
      <w:r>
        <w:t xml:space="preserve"> </w:t>
      </w:r>
      <w:r>
        <w:t xml:space="preserve">inclusion probability, and to produce master samples including current</w:t>
      </w:r>
      <w:r>
        <w:t xml:space="preserve"> </w:t>
      </w:r>
      <w:r>
        <w:t xml:space="preserve">monitoring site or from which to select a subset of sites for a specific</w:t>
      </w:r>
      <w:r>
        <w:t xml:space="preserve"> </w:t>
      </w:r>
      <w:r>
        <w:t xml:space="preserve">monitoring project</w:t>
      </w:r>
      <w:r>
        <w:t xml:space="preserve"> </w:t>
      </w:r>
      <w:r>
        <w:t xml:space="preserve">(van Dam-Bates et al. 2018; Robertson et al. 2024)</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design BONs using the</w:t>
      </w:r>
      <w:r>
        <w:t xml:space="preserve"> </w:t>
      </w:r>
      <w:r>
        <w:t xml:space="preserve">Balanced Acceptance Sampling algorithm</w:t>
      </w:r>
      <w:r>
        <w:t xml:space="preserve"> </w:t>
      </w:r>
      <w:r>
        <w:t xml:space="preserve">(Robertson et al. 2013)</w:t>
      </w:r>
      <w:r>
        <w:t xml:space="preserve"> </w:t>
      </w:r>
      <w:r>
        <w:t xml:space="preserve">when the aim is to</w:t>
      </w:r>
      <w:r>
        <w:t xml:space="preserve"> </w:t>
      </w:r>
      <w:r>
        <w:t xml:space="preserve">balance sites across our simulated landscapes, given its computational</w:t>
      </w:r>
      <w:r>
        <w:t xml:space="preserve"> </w:t>
      </w:r>
      <w:r>
        <w:t xml:space="preserve">efficiency and its ability to weight site inclusion probabilities using a layer</w:t>
      </w:r>
      <w:r>
        <w:t xml:space="preserve"> </w:t>
      </w:r>
      <w:r>
        <w:t xml:space="preserve">of weights. On the other hand, active learning methods like the Uncertainty</w:t>
      </w:r>
      <w:r>
        <w:t xml:space="preserve"> </w:t>
      </w:r>
      <w:r>
        <w:t xml:space="preserve">Sampling algorithm</w:t>
      </w:r>
      <w:r>
        <w:t xml:space="preserve"> </w:t>
      </w:r>
      <w:r>
        <w:t xml:space="preserve">(Lewis and Gale 1994)</w:t>
      </w:r>
      <w:r>
        <w:t xml:space="preserve"> </w:t>
      </w:r>
      <w:r>
        <w:t xml:space="preserve">can be used to optimize sampling given</w:t>
      </w:r>
      <w:r>
        <w:t xml:space="preserve"> </w:t>
      </w:r>
      <w:r>
        <w:t xml:space="preserve">information on element uncertainty</w:t>
      </w:r>
      <w:r>
        <w:t xml:space="preserve"> </w:t>
      </w:r>
      <w:r>
        <w:t xml:space="preserve">(Settles 2009)</w:t>
      </w:r>
      <w:r>
        <w:t xml:space="preserve">. Instead of focusing on</w:t>
      </w:r>
      <w:r>
        <w:t xml:space="preserve"> </w:t>
      </w:r>
      <w:r>
        <w:t xml:space="preserve">uncertainty, we can apply the algorithm to target the sites that provide the</w:t>
      </w:r>
      <w:r>
        <w:t xml:space="preserve"> </w:t>
      </w:r>
      <w:r>
        <w:t xml:space="preserve">highest information gain for the BON, given a layer of</w:t>
      </w:r>
      <w:r>
        <w:t xml:space="preserve"> </w:t>
      </w:r>
      <w:r>
        <w:t xml:space="preserve">‘information’</w:t>
      </w:r>
      <w:r>
        <w:t xml:space="preserve"> </w:t>
      </w:r>
      <w:r>
        <w:t xml:space="preserve">values to</w:t>
      </w:r>
      <w:r>
        <w:t xml:space="preserve"> </w:t>
      </w:r>
      <w:r>
        <w:t xml:space="preserve">maximize.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 et al. 2023)</w:t>
      </w:r>
      <w:r>
        <w:t xml:space="preserve"> </w:t>
      </w:r>
      <w:r>
        <w:t xml:space="preserve">and minimizing</w:t>
      </w:r>
      <w:r>
        <w:t xml:space="preserve"> </w:t>
      </w:r>
      <w:r>
        <w:t xml:space="preserve">field data collection costs based on distances between samples</w:t>
      </w:r>
      <w:r>
        <w:t xml:space="preserve"> </w:t>
      </w:r>
      <w:r>
        <w:t xml:space="preserve">(Malek et al. 2019)</w:t>
      </w:r>
      <w:r>
        <w:t xml:space="preserve">.</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interactions</w:t>
      </w:r>
      <w:r>
        <w:t xml:space="preserve"> </w:t>
      </w:r>
      <w:r>
        <w:t xml:space="preserve">(noted</w:t>
      </w:r>
      <w:r>
        <w:t xml:space="preserve"> </w:t>
      </w:r>
      <m:oMath>
        <m:r>
          <m:t>p</m:t>
        </m:r>
      </m:oMath>
      <w:r>
        <w:t xml:space="preserve">) of</w:t>
      </w:r>
      <w:r>
        <w:t xml:space="preserve"> </w:t>
      </w:r>
      <w:r>
        <w:t xml:space="preserve">the focal species that can be sampled for every generated BON design (e.g. a BON</w:t>
      </w:r>
      <w:r>
        <w:t xml:space="preserve"> </w:t>
      </w:r>
      <w:r>
        <w:t xml:space="preserve">of 50 sites using a specific site selection algorithm). This proportion can be</w:t>
      </w:r>
      <w:r>
        <w:t xml:space="preserve"> </w:t>
      </w:r>
      <w:r>
        <w:t xml:space="preserve">seen as a</w:t>
      </w:r>
      <w:r>
        <w:t xml:space="preserve"> </w:t>
      </w:r>
      <w:r>
        <w:t xml:space="preserve">‘snapshot’</w:t>
      </w:r>
      <w:r>
        <w:t xml:space="preserve"> </w:t>
      </w:r>
      <w:r>
        <w:t xml:space="preserve">view of a given BON design’s sampling efficiency for that</w:t>
      </w:r>
      <w:r>
        <w:t xml:space="preserve"> </w:t>
      </w:r>
      <w:r>
        <w:t xml:space="preserve">simulated landscape. The proportion of sampled interactions should increase with</w:t>
      </w:r>
      <w:r>
        <w:t xml:space="preserve"> </w:t>
      </w:r>
      <w:r>
        <w:t xml:space="preserve">the number of sites in the BON (</w:t>
      </w:r>
      <m:oMath>
        <m:r>
          <m:t>n</m:t>
        </m:r>
      </m:oMath>
      <w:r>
        <w:t xml:space="preserve">), although the exact value of</w:t>
      </w:r>
      <w:r>
        <w:t xml:space="preserve"> </w:t>
      </w:r>
      <m:oMath>
        <m:r>
          <m:t>p</m:t>
        </m:r>
      </m:oMath>
      <w:r>
        <w:t xml:space="preserve"> </w:t>
      </w:r>
      <w:r>
        <w:t xml:space="preserve">can</w:t>
      </w:r>
      <w:r>
        <w:t xml:space="preserve"> </w:t>
      </w:r>
      <w:r>
        <w:t xml:space="preserve">fluctuate given randomness in the site selection algorithm. To remove this</w:t>
      </w:r>
      <w:r>
        <w:t xml:space="preserve"> </w:t>
      </w:r>
      <w:r>
        <w:t xml:space="preserve">randomness and ensure a consistent comparison across independent simulations, we</w:t>
      </w:r>
      <w:r>
        <w:t xml:space="preserve"> </w:t>
      </w:r>
      <w:r>
        <w:t xml:space="preserve">state that the</w:t>
      </w:r>
      <w:r>
        <w:t xml:space="preserve"> </w:t>
      </w:r>
      <w:r>
        <w:rPr>
          <w:b/>
          <w:bCs/>
        </w:rPr>
        <w:t xml:space="preserve">proportion of sampled interactions for a given number of sites</w:t>
      </w:r>
      <w:r>
        <w:rPr>
          <w:b/>
          <w:bCs/>
        </w:rPr>
        <w:t xml:space="preserve"> </w:t>
      </w:r>
      <w:r>
        <w:rPr>
          <w:b/>
          <w:bCs/>
        </w:rPr>
        <w:t xml:space="preserve">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80% of the</w:t>
      </w:r>
      <w:r>
        <w:rPr>
          <w:b/>
          <w:bCs/>
        </w:rPr>
        <w:t xml:space="preserve"> </w:t>
      </w:r>
      <w:r>
        <w:rPr>
          <w:b/>
          <w:bCs/>
        </w:rPr>
        <w:t xml:space="preserve">interactions</w:t>
      </w:r>
      <w:r>
        <w:t xml:space="preserve">, which can directly be tied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an arbitrary threshold</w:t>
      </w:r>
      <w:r>
        <w:t xml:space="preserve"> </w:t>
      </w:r>
      <w:r>
        <w:t xml:space="preserve">representing a highly effective monitoring outcome, for 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 speed at which</w:t>
      </w:r>
      <w:r>
        <w:t xml:space="preserve"> </w:t>
      </w:r>
      <w:r>
        <w:t xml:space="preserve">interactions are documented, and therefore the sampling efficiency of a BON</w:t>
      </w:r>
      <w:r>
        <w:t xml:space="preserve"> </w:t>
      </w:r>
      <w:r>
        <w:t xml:space="preserve">design within a given landscape. We then used</w:t>
      </w:r>
      <w:r>
        <w:t xml:space="preserve"> </w:t>
      </w:r>
      <m:oMath>
        <m:sSub>
          <m:e>
            <m:r>
              <m:t>n</m:t>
            </m:r>
          </m:e>
          <m:sub>
            <m:r>
              <m:t>0.80</m:t>
            </m:r>
          </m:sub>
        </m:sSub>
      </m:oMath>
      <w:r>
        <w:t xml:space="preserve"> </w:t>
      </w:r>
      <w:r>
        <w:t xml:space="preserve">values to compare site</w:t>
      </w:r>
      <w:r>
        <w:t xml:space="preserve"> </w:t>
      </w:r>
      <w:r>
        <w:t xml:space="preserve">selection algorithms and optimization targets to identify which ones are more</w:t>
      </w:r>
      <w:r>
        <w:t xml:space="preserve"> </w:t>
      </w:r>
      <w:r>
        <w:t xml:space="preserve">efficient—i.e. allow reaching a high proportion of monitored interactions more</w:t>
      </w:r>
      <w:r>
        <w:t xml:space="preserve"> </w:t>
      </w:r>
      <w:r>
        <w:t xml:space="preserve">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 and Martinez 2000; Dunne et al. 2002, 2004; Smith-Ramesh et al. 2017)</w:t>
      </w:r>
      <w:r>
        <w:t xml:space="preserve"> </w:t>
      </w:r>
      <w:r>
        <w:t xml:space="preserve">commonly used for reference</w:t>
      </w:r>
      <w:r>
        <w:t xml:space="preserve"> </w:t>
      </w:r>
      <w:r>
        <w:t xml:space="preserve">(Williams and Martinez 2008; Baiser et al. 2010; Wood et al. 2015)</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 and Gonzalez (2017)</w:t>
      </w:r>
      <w:r>
        <w:t xml:space="preserve">. We used the following parameters for the spatio-temporal</w:t>
      </w:r>
      <w:r>
        <w:t xml:space="preserve"> </w:t>
      </w:r>
      <w:r>
        <w:t xml:space="preserve">model implemented in SpeciesInteractionSamplers.jl</w:t>
      </w:r>
      <w:r>
        <w:t xml:space="preserve"> </w:t>
      </w:r>
      <w:r>
        <w:t xml:space="preserve">(Catchen et al. 2023)</w:t>
      </w:r>
      <w:r>
        <w:t xml:space="preserve">:</w:t>
      </w:r>
      <w:r>
        <w:t xml:space="preserve"> </w:t>
      </w:r>
      <w:r>
        <w:t xml:space="preserve">landscape autocorrelation of</w:t>
      </w:r>
      <w:r>
        <w:t xml:space="preserve"> </w:t>
      </w:r>
      <m:oMath>
        <m:r>
          <m:t>h</m:t>
        </m:r>
      </m:oMath>
      <w:r>
        <w:t xml:space="preserve"> </w:t>
      </w:r>
      <w:r>
        <w:t xml:space="preserve">= 0.85, Beta distribution with</w:t>
      </w:r>
      <w:r>
        <w:t xml:space="preserve"> </w:t>
      </w:r>
      <m:oMath>
        <m:r>
          <m:t>α</m:t>
        </m:r>
      </m:oMath>
      <w:r>
        <w:t xml:space="preserve"> </w:t>
      </w:r>
      <w:r>
        <w:t xml:space="preserve">= 10</w:t>
      </w:r>
      <w:r>
        <w:t xml:space="preserve"> </w:t>
      </w:r>
      <w:r>
        <w:t xml:space="preserve">and</w:t>
      </w:r>
      <w:r>
        <w:t xml:space="preserve"> </w:t>
      </w:r>
      <m:oMath>
        <m:r>
          <m:t>β</m:t>
        </m:r>
      </m:oMath>
      <w:r>
        <w:t xml:space="preserve"> </w:t>
      </w:r>
      <w:r>
        <w:t xml:space="preserve">= 10 to threshold landscapes, variance of log-normal distribution</w:t>
      </w:r>
      <w:r>
        <w:t xml:space="preserve"> </w:t>
      </w:r>
      <w:r>
        <w:t xml:space="preserve">for relative abundances</w:t>
      </w:r>
      <w:r>
        <w:t xml:space="preserve"> </w:t>
      </w:r>
      <m:oMath>
        <m:r>
          <m:t>σ</m:t>
        </m:r>
      </m:oMath>
      <w:r>
        <w:t xml:space="preserve"> </w:t>
      </w:r>
      <w:r>
        <w:t xml:space="preserve">= 1.2, realization energy</w:t>
      </w:r>
      <w:r>
        <w:t xml:space="preserve"> </w:t>
      </w:r>
      <m:oMath>
        <m:r>
          <m:t>ϵ</m:t>
        </m:r>
      </m:oMath>
      <w:r>
        <w:t xml:space="preserve"> </w:t>
      </w:r>
      <w:r>
        <w:t xml:space="preserve">= 50,000,</w:t>
      </w:r>
      <w:r>
        <w:t xml:space="preserve"> </w:t>
      </w:r>
      <w:r>
        <w:t xml:space="preserve">and detection scaling</w:t>
      </w:r>
      <w:r>
        <w:t xml:space="preserve"> </w:t>
      </w:r>
      <m:oMath>
        <m:r>
          <m:t>α</m:t>
        </m:r>
      </m:oMath>
      <w:r>
        <w:t xml:space="preserve"> </w:t>
      </w:r>
      <w:r>
        <w:t xml:space="preserve">= 50. Exploratory simulations showed that model</w:t>
      </w:r>
      <w:r>
        <w:t xml:space="preserve"> </w:t>
      </w:r>
      <w:r>
        <w:t xml:space="preserve">parameters such as metaweb connectance and landscape autocorrelation did not</w:t>
      </w:r>
      <w:r>
        <w:t xml:space="preserve"> </w:t>
      </w:r>
      <w:r>
        <w:t xml:space="preserve">have an important effect on the proportion of sampled interactions and the</w:t>
      </w:r>
      <w:r>
        <w:t xml:space="preserve"> </w:t>
      </w:r>
      <w:r>
        <w:t xml:space="preserve">accumulation observed when increasing the number of sites in the BON. The</w:t>
      </w:r>
      <w:r>
        <w:t xml:space="preserve"> </w:t>
      </w:r>
      <w:r>
        <w:t xml:space="preserve">activation energy</w:t>
      </w:r>
      <w:r>
        <w:t xml:space="preserve"> </w:t>
      </w:r>
      <m:oMath>
        <m:r>
          <m:t>ϵ</m:t>
        </m:r>
      </m:oMath>
      <w:r>
        <w:t xml:space="preserve"> </w:t>
      </w:r>
      <w:r>
        <w:t xml:space="preserve">and detection scaling</w:t>
      </w:r>
      <w:r>
        <w:t xml:space="preserve"> </w:t>
      </w:r>
      <m:oMath>
        <m:r>
          <m:t>α</m:t>
        </m:r>
      </m:oMath>
      <w:r>
        <w:t xml:space="preserve"> </w:t>
      </w:r>
      <w:r>
        <w:t xml:space="preserve">parameters determine</w:t>
      </w:r>
      <w:r>
        <w:t xml:space="preserve"> </w:t>
      </w:r>
      <w:r>
        <w:t xml:space="preserve">the total number of expected and detected interactions</w:t>
      </w:r>
      <w:r>
        <w:t xml:space="preserve"> </w:t>
      </w:r>
      <w:r>
        <w:t xml:space="preserve">(Catchen et al. 2023)</w:t>
      </w:r>
      <w:r>
        <w:t xml:space="preserve">, and</w:t>
      </w:r>
      <w:r>
        <w:t xml:space="preserve"> </w:t>
      </w:r>
      <w:r>
        <w:t xml:space="preserve">therefore influenced the absolute numbers observed. Here, we chose to use a</w:t>
      </w:r>
      <w:r>
        <w:t xml:space="preserve"> </w:t>
      </w:r>
      <w:r>
        <w:t xml:space="preserve">single fixed value to focus on differences between sampling</w:t>
      </w:r>
      <w:r>
        <w:t xml:space="preserve"> </w:t>
      </w:r>
      <w:r>
        <w:t xml:space="preserve">strategies—influenced in the same way by the parameter values—and refer readers</w:t>
      </w:r>
      <w:r>
        <w:t xml:space="preserve"> </w:t>
      </w:r>
      <w:r>
        <w:t xml:space="preserve">to</w:t>
      </w:r>
      <w:r>
        <w:t xml:space="preserve"> </w:t>
      </w:r>
      <w:r>
        <w:t xml:space="preserve">Catchen et al. (2023)</w:t>
      </w:r>
      <w:r>
        <w:t xml:space="preserve"> </w:t>
      </w:r>
      <w:r>
        <w:t xml:space="preserve">for the detailed discussion over the parameters’ effect.</w:t>
      </w:r>
      <w:r>
        <w:t xml:space="preserve"> </w:t>
      </w:r>
      <w:r>
        <w:t xml:space="preserve">We implemented our simulations in</w:t>
      </w:r>
      <w:r>
        <w:t xml:space="preserve"> </w:t>
      </w:r>
      <w:r>
        <w:rPr>
          <w:i/>
          <w:iCs/>
        </w:rPr>
        <w:t xml:space="preserve">Julia</w:t>
      </w:r>
      <w:r>
        <w:t xml:space="preserve"> </w:t>
      </w:r>
      <w:r>
        <w:t xml:space="preserve">v1.11.9</w:t>
      </w:r>
      <w:r>
        <w:t xml:space="preserve"> </w:t>
      </w:r>
      <w:r>
        <w:t xml:space="preserve">(Bezanson et al. 2017)</w:t>
      </w:r>
      <w:r>
        <w:t xml:space="preserve">. All the</w:t>
      </w:r>
      <w:r>
        <w:t xml:space="preserve"> </w:t>
      </w:r>
      <w:r>
        <w:t xml:space="preserve">code used to implement the simulations and perform the analyses is archived on</w:t>
      </w:r>
      <w:r>
        <w:t xml:space="preserve"> </w:t>
      </w:r>
      <w:r>
        <w:t xml:space="preserve">Zenodo</w:t>
      </w:r>
      <w:r>
        <w:t xml:space="preserve"> </w:t>
      </w:r>
      <w:r>
        <w:t xml:space="preserve">(Dansereau 2026)</w:t>
      </w:r>
      <w:r>
        <w:t xml:space="preserve">. Full computations were run on compute clusters</w:t>
      </w:r>
      <w:r>
        <w:t xml:space="preserve"> </w:t>
      </w:r>
      <w:r>
        <w:t xml:space="preserve">provided by Calcul Québec and the 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document a</w:t>
      </w:r>
      <w:r>
        <w:t xml:space="preserve"> </w:t>
      </w:r>
      <w:r>
        <w:t xml:space="preserve">metaweb of interactions using a BON. We aimed to represent the case of existing</w:t>
      </w:r>
      <w:r>
        <w:t xml:space="preserve"> </w:t>
      </w:r>
      <w:r>
        <w:t xml:space="preserve">BONs (e.g. Québec, China) designed to cover a wide range of taxa and</w:t>
      </w:r>
      <w:r>
        <w:t xml:space="preserve"> </w:t>
      </w:r>
      <w:r>
        <w:t xml:space="preserve">environmental conditions without specific considerations for species</w:t>
      </w:r>
      <w:r>
        <w:t xml:space="preserve"> </w:t>
      </w:r>
      <w:r>
        <w:t xml:space="preserve">interactions. We tested the case of spatially balanced BONs with evenly spread</w:t>
      </w:r>
      <w:r>
        <w:t xml:space="preserve"> </w:t>
      </w:r>
      <w:r>
        <w:t xml:space="preserve">sites across the landscape configurations, which is generally considered an</w:t>
      </w:r>
      <w:r>
        <w:t xml:space="preserve"> </w:t>
      </w:r>
      <w:r>
        <w:t xml:space="preserve">effective way to cover environmental space</w:t>
      </w:r>
      <w:r>
        <w:t xml:space="preserve"> </w:t>
      </w:r>
      <w:r>
        <w:t xml:space="preserve">(Kermorvant et al. 2019)</w:t>
      </w:r>
      <w:r>
        <w:t xml:space="preserve">. We used the</w:t>
      </w:r>
      <w:r>
        <w:t xml:space="preserve"> </w:t>
      </w:r>
      <w:r>
        <w:t xml:space="preserve">Balanced Acceptance Sampling algorithm</w:t>
      </w:r>
      <w:r>
        <w:t xml:space="preserve"> </w:t>
      </w:r>
      <w:r>
        <w:t xml:space="preserve">(Robertson et al. 2013, 2017)</w:t>
      </w:r>
      <w:r>
        <w:t xml:space="preserve"> </w:t>
      </w:r>
      <w:r>
        <w:t xml:space="preserve">to generate candidate BONs with a number of sites between</w:t>
      </w:r>
      <w:r>
        <w:t xml:space="preserve"> </w:t>
      </w:r>
      <w:r>
        <w:t xml:space="preserve">1 and 500 at intervals of 10 sites, with 50 replicates for each number of sites,</w:t>
      </w:r>
      <w:r>
        <w:t xml:space="preserve"> </w:t>
      </w:r>
      <w:r>
        <w:t xml:space="preserve">yielding 2,550 BON designs in total. For every design, we used the general model</w:t>
      </w:r>
      <w:r>
        <w:t xml:space="preserve"> </w:t>
      </w:r>
      <w:r>
        <w:t xml:space="preserve">(Step 1) to generate an independent landscape configuration: a specific metaweb,</w:t>
      </w:r>
      <w:r>
        <w:t xml:space="preserve"> </w:t>
      </w:r>
      <w:r>
        <w:t xml:space="preserve">a set of species ranges, an abundance distribution for the species, and realized</w:t>
      </w:r>
      <w:r>
        <w:t xml:space="preserve"> </w:t>
      </w:r>
      <w:r>
        <w:t xml:space="preserve">interactions. In every one, we evaluated the sampling efficiency of the BON</w:t>
      </w:r>
      <w:r>
        <w:t xml:space="preserve"> </w:t>
      </w:r>
      <w:r>
        <w:t xml:space="preserve">design in terms of sampling interactions from the metaweb and in terms of</w:t>
      </w:r>
      <w:r>
        <w:t xml:space="preserve"> </w:t>
      </w:r>
      <w:r>
        <w:t xml:space="preserve">documenting species richness. For species richness, we assumed that all species</w:t>
      </w:r>
      <w:r>
        <w:t xml:space="preserve"> </w:t>
      </w:r>
      <w:r>
        <w:t xml:space="preserve">present at sites in the BON were sampled, then compared the number of species</w:t>
      </w:r>
      <w:r>
        <w:t xml:space="preserve"> </w:t>
      </w:r>
      <w:r>
        <w:t xml:space="preserve">sampled in the BON against the total species richness across the landscape</w:t>
      </w:r>
      <w:r>
        <w:t xml:space="preserve"> </w:t>
      </w:r>
      <w:r>
        <w:t xml:space="preserve">(always 75 species). For interactions, we evaluated each interaction type</w:t>
      </w:r>
      <w:r>
        <w:t xml:space="preserve"> </w:t>
      </w:r>
      <w:r>
        <w:t xml:space="preserve">separately (possible, realized and detected), counting the number of distinct</w:t>
      </w:r>
      <w:r>
        <w:t xml:space="preserve"> </w:t>
      </w:r>
      <w:r>
        <w:t xml:space="preserve">interactions sampled in the BON, then evaluated each number in proportion to the</w:t>
      </w:r>
      <w:r>
        <w:t xml:space="preserve"> </w:t>
      </w:r>
      <w:r>
        <w:t xml:space="preserve">metaweb (specific to the landscape configuration, but generated with the same</w:t>
      </w:r>
      <w:r>
        <w:t xml:space="preserve"> </w:t>
      </w:r>
      <w:r>
        <w:t xml:space="preserve">connectance of 0.2 using the niche model). As a whole, these simulations</w:t>
      </w:r>
      <w:r>
        <w:t xml:space="preserve"> </w:t>
      </w:r>
      <w:r>
        <w:t xml:space="preserve">compared four sampling targets (species richness, possible interactions,</w:t>
      </w:r>
      <w:r>
        <w:t xml:space="preserve"> </w:t>
      </w:r>
      <w:r>
        <w:t xml:space="preserve">realized interactions, and detected interactions), establishing baselines for</w:t>
      </w:r>
      <w:r>
        <w:t xml:space="preserve"> </w:t>
      </w:r>
      <w:r>
        <w:t xml:space="preserve">the monitoring of each.</w:t>
      </w:r>
    </w:p>
    <w:bookmarkEnd w:id="20"/>
    <w:bookmarkStart w:id="22" w:name="sec-simulation-study-II"/>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w:t>
      </w:r>
      <w:r>
        <w:t xml:space="preserve"> </w:t>
      </w:r>
      <w:r>
        <w:t xml:space="preserve">(e.g. Rioux et al. 2022)</w:t>
      </w:r>
      <w:r>
        <w:t xml:space="preserve">, because it is at the</w:t>
      </w:r>
      <w:r>
        <w:t xml:space="preserve"> </w:t>
      </w:r>
      <w:r>
        <w:t xml:space="preserve">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Baranowska et al. 2025)</w:t>
      </w:r>
      <w:r>
        <w:t xml:space="preserve">. Hence, we also investigated sampling efficiency</w:t>
      </w:r>
      <w:r>
        <w:t xml:space="preserve"> </w:t>
      </w:r>
      <w:r>
        <w:t xml:space="preserve">from a focal species perspective, by simulating a virtual observer that would</w:t>
      </w:r>
      <w:r>
        <w:t xml:space="preserve"> </w:t>
      </w:r>
      <w:r>
        <w:t xml:space="preserve">aim to sample all the interactions of a focal species (here known from the</w:t>
      </w:r>
      <w:r>
        <w:t xml:space="preserve"> </w:t>
      </w:r>
      <w:r>
        <w:t xml:space="preserve">metaweb), but might have different information on how to optimize the sampling</w:t>
      </w:r>
      <w:r>
        <w:t xml:space="preserve"> </w:t>
      </w:r>
      <w:r>
        <w:t xml:space="preserve">design. Thus, the idea of our focal sampling exploration is to represent a</w:t>
      </w:r>
      <w:r>
        <w:t xml:space="preserve"> </w:t>
      </w:r>
      <w:r>
        <w:t xml:space="preserve">simplified case with a clear objective (retrieving a species’ interactions) and</w:t>
      </w:r>
      <w:r>
        <w:t xml:space="preserve"> </w:t>
      </w:r>
      <w:r>
        <w:t xml:space="preserve">where we do have prior knowledge about the system, either through empirical data</w:t>
      </w:r>
      <w:r>
        <w:t xml:space="preserve"> </w:t>
      </w:r>
      <w:r>
        <w:t xml:space="preserve">or model predictions, which can be used to optimize 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the interactions. We tested four strategies for comparison: a</w:t>
      </w:r>
      <w:r>
        <w:t xml:space="preserve"> </w:t>
      </w:r>
      <w:r>
        <w:rPr>
          <w:i/>
          <w:iCs/>
        </w:rPr>
        <w:t xml:space="preserve">Balanced Sampling</w:t>
      </w:r>
      <w:r>
        <w:t xml:space="preserve"> </w:t>
      </w:r>
      <w:r>
        <w:t xml:space="preserve">spreading sites across the entire study area (using Balanced</w:t>
      </w:r>
      <w:r>
        <w:t xml:space="preserve"> </w:t>
      </w:r>
      <w:r>
        <w:t xml:space="preserve">Acceptance Sampling, hereafter BAS), a balanced sampling only within the range</w:t>
      </w:r>
      <w:r>
        <w:t xml:space="preserve"> </w:t>
      </w:r>
      <w:r>
        <w:t xml:space="preserve">of the focal species (hereafter called</w:t>
      </w:r>
      <w:r>
        <w:t xml:space="preserve"> </w:t>
      </w:r>
      <w:r>
        <w:rPr>
          <w:i/>
          <w:iCs/>
        </w:rPr>
        <w:t xml:space="preserve">Balanced Within Range</w:t>
      </w:r>
      <w:r>
        <w:t xml:space="preserve">), a</w:t>
      </w:r>
      <w:r>
        <w:t xml:space="preserve"> </w:t>
      </w:r>
      <w:r>
        <w:rPr>
          <w:i/>
          <w:iCs/>
        </w:rPr>
        <w:t xml:space="preserve">Weighted</w:t>
      </w:r>
      <w:r>
        <w:rPr>
          <w:i/>
          <w:iCs/>
        </w:rPr>
        <w:t xml:space="preserve"> </w:t>
      </w:r>
      <w:r>
        <w:rPr>
          <w:i/>
          <w:iCs/>
        </w:rPr>
        <w:t xml:space="preserve">Sampling</w:t>
      </w:r>
      <w:r>
        <w:t xml:space="preserve"> </w:t>
      </w:r>
      <w:r>
        <w:t xml:space="preserve">favouring the species range in site selection among all sites in the</w:t>
      </w:r>
      <w:r>
        <w:t xml:space="preserve"> </w:t>
      </w:r>
      <w:r>
        <w:t xml:space="preserve">study area (adjusting the inclusion probability in BAS), and a</w:t>
      </w:r>
      <w:r>
        <w:t xml:space="preserve"> </w:t>
      </w:r>
      <w:r>
        <w:rPr>
          <w:i/>
          <w:iCs/>
        </w:rPr>
        <w:t xml:space="preserve">Targeted</w:t>
      </w:r>
      <w:r>
        <w:rPr>
          <w:i/>
          <w:iCs/>
        </w:rPr>
        <w:t xml:space="preserve"> </w:t>
      </w:r>
      <w:r>
        <w:rPr>
          <w:i/>
          <w:iCs/>
        </w:rPr>
        <w:t xml:space="preserve">Sampling</w:t>
      </w:r>
      <w:r>
        <w:t xml:space="preserve"> </w:t>
      </w:r>
      <w:r>
        <w:t xml:space="preserve">selecting sites with higher</w:t>
      </w:r>
      <w:r>
        <w:t xml:space="preserve"> </w:t>
      </w:r>
      <w:r>
        <w:t xml:space="preserve">‘information’</w:t>
      </w:r>
      <w:r>
        <w:t xml:space="preserve"> </w:t>
      </w:r>
      <w:r>
        <w:t xml:space="preserve">values in the layer provided</w:t>
      </w:r>
      <w:r>
        <w:t xml:space="preserve"> </w:t>
      </w:r>
      <w:r>
        <w:t xml:space="preserve">(using Uncertainty Sampling). Next, we tested four information targets for</w:t>
      </w:r>
      <w:r>
        <w:t xml:space="preserve"> </w:t>
      </w:r>
      <w:r>
        <w:t xml:space="preserve">optimization with the Targeted Sampling strategy (all with the Uncertainty</w:t>
      </w:r>
      <w:r>
        <w:t xml:space="preserve"> </w:t>
      </w:r>
      <w:r>
        <w:t xml:space="preserve">Sampling algorithm): the exact</w:t>
      </w:r>
      <w:r>
        <w:t xml:space="preserve"> </w:t>
      </w:r>
      <w:r>
        <w:rPr>
          <w:i/>
          <w:iCs/>
        </w:rPr>
        <w:t xml:space="preserve">focal species range</w:t>
      </w:r>
      <w:r>
        <w:t xml:space="preserve"> </w:t>
      </w:r>
      <w:r>
        <w:t xml:space="preserve">(our attainable information</w:t>
      </w:r>
      <w:r>
        <w:t xml:space="preserve"> </w:t>
      </w:r>
      <w:r>
        <w:t xml:space="preserve">knowledge for the observer), a</w:t>
      </w:r>
      <w:r>
        <w:t xml:space="preserve"> </w:t>
      </w:r>
      <w:r>
        <w:rPr>
          <w:i/>
          <w:iCs/>
        </w:rPr>
        <w:t xml:space="preserve">probabilistic range</w:t>
      </w:r>
      <w:r>
        <w:t xml:space="preserve"> </w:t>
      </w:r>
      <w:r>
        <w:t xml:space="preserve">for the focal species</w:t>
      </w:r>
      <w:r>
        <w:t xml:space="preserve"> </w:t>
      </w:r>
      <w:r>
        <w:t xml:space="preserve">(representing a less-informed case, similar to the output of a species</w:t>
      </w:r>
      <w:r>
        <w:t xml:space="preserve"> </w:t>
      </w:r>
      <w:r>
        <w:t xml:space="preserve">distribution model),</w:t>
      </w:r>
      <w:r>
        <w:t xml:space="preserve"> </w:t>
      </w:r>
      <w:r>
        <w:rPr>
          <w:i/>
          <w:iCs/>
        </w:rPr>
        <w:t xml:space="preserve">species richness</w:t>
      </w:r>
      <w:r>
        <w:t xml:space="preserve"> </w:t>
      </w:r>
      <w:r>
        <w:t xml:space="preserve">across the landscape (to represent a</w:t>
      </w:r>
      <w:r>
        <w:t xml:space="preserve"> </w:t>
      </w:r>
      <w:r>
        <w:t xml:space="preserve">holistic level of information about the system, which an observer might have</w:t>
      </w:r>
      <w:r>
        <w:t xml:space="preserve"> </w:t>
      </w:r>
      <w:r>
        <w:t xml:space="preserve">based on detailed knowledge about biodiversity in a region) and finally the</w:t>
      </w:r>
      <w:r>
        <w:t xml:space="preserve"> </w:t>
      </w:r>
      <w:r>
        <w:t xml:space="preserve">location of</w:t>
      </w:r>
      <w:r>
        <w:t xml:space="preserve"> </w:t>
      </w:r>
      <w:r>
        <w:rPr>
          <w:i/>
          <w:iCs/>
        </w:rPr>
        <w:t xml:space="preserve">realized interactions</w:t>
      </w:r>
      <w:r>
        <w:t xml:space="preserve"> </w:t>
      </w:r>
      <w:r>
        <w:t xml:space="preserve">for the focal species across the landscape</w:t>
      </w:r>
      <w:r>
        <w:t xml:space="preserve"> </w:t>
      </w:r>
      <w:r>
        <w:t xml:space="preserve">(to represent a best-case scenario, where an observer would know exactly the</w:t>
      </w:r>
      <w:r>
        <w:t xml:space="preserve"> </w:t>
      </w:r>
      <w:r>
        <w:t xml:space="preserve">right information to target).</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w:t>
      </w:r>
      <w:r>
        <w:t xml:space="preserve"> </w:t>
      </w:r>
      <w:r>
        <w:t xml:space="preserve">(as it was previously shown as</w:t>
      </w:r>
      <w:r>
        <w:t xml:space="preserve"> </w:t>
      </w:r>
      <w:r>
        <w:t xml:space="preserve">an efficient strategy for sampling and conservation, Pires et al. 2017; de Aguiar et al. 2019)</w:t>
      </w:r>
      <w:r>
        <w:t xml:space="preserve">. We then generated BONs of 1 to 500 sites (at interval</w:t>
      </w:r>
      <w:r>
        <w:t xml:space="preserve"> </w:t>
      </w:r>
      <w:r>
        <w:t xml:space="preserve">increments of 10 sites) using the three balanced strategies (Balanced Sampling,</w:t>
      </w:r>
      <w:r>
        <w:t xml:space="preserve"> </w:t>
      </w:r>
      <w:r>
        <w:t xml:space="preserve">Balanced Within Range, Weighted Sampling) and four optimization targets for the</w:t>
      </w:r>
      <w:r>
        <w:t xml:space="preserve"> </w:t>
      </w:r>
      <w:r>
        <w:t xml:space="preserve">Targeted Sampling strategy (focal species range, probabilistic range, species</w:t>
      </w:r>
      <w:r>
        <w:t xml:space="preserve"> </w:t>
      </w:r>
      <w:r>
        <w:t xml:space="preserve">richness, realized interactions), with 50 replicates for every number of sites.</w:t>
      </w:r>
      <w:r>
        <w:t xml:space="preserve"> </w:t>
      </w:r>
      <w:r>
        <w:t xml:space="preserve">For each BON generated, we extracted the number of unique realized interactions</w:t>
      </w:r>
      <w:r>
        <w:t xml:space="preserve"> </w:t>
      </w:r>
      <w:r>
        <w:t xml:space="preserve">sampled across all sites for the focal species. We then performed a grid search</w:t>
      </w:r>
      <w:r>
        <w:t xml:space="preserve"> </w:t>
      </w:r>
      <w:r>
        <w:t xml:space="preserve">across 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w:t>
      </w:r>
      <w:r>
        <w:t xml:space="preserve"> </w:t>
      </w:r>
      <w:r>
        <w:t xml:space="preserve">curve with the best fit to the simulation’s results. To do so, we extracted the</w:t>
      </w:r>
      <w:r>
        <w:t xml:space="preserve"> </w:t>
      </w:r>
      <w:r>
        <w:t xml:space="preserve">median result (proportion of sampled interactions) across replicates for every</w:t>
      </w:r>
      <w:r>
        <w:t xml:space="preserve"> </w:t>
      </w:r>
      <w:r>
        <w:t xml:space="preserve">number of sites in the BONs. We then evaluated 10,000 evenly spaced values for</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and selected the value yielding the curve</w:t>
      </w:r>
      <w:r>
        <w:t xml:space="preserve"> </w:t>
      </w:r>
      <w:r>
        <w:t xml:space="preserve">minimizing the sum of squared errors to the simulation results. We searched for</w:t>
      </w:r>
      <w:r>
        <w:t xml:space="preserve"> </w:t>
      </w:r>
      <w:r>
        <w:t xml:space="preserve">values of</w:t>
      </w:r>
      <w:r>
        <w:t xml:space="preserve"> </w:t>
      </w:r>
      <m:oMath>
        <m:r>
          <m:t>a</m:t>
        </m:r>
      </m:oMath>
      <w:r>
        <w:t xml:space="preserve"> </w:t>
      </w:r>
      <w:r>
        <w:t xml:space="preserve">on an exponential scale as it allowed for more gradual control</w:t>
      </w:r>
      <w:r>
        <w:t xml:space="preserve"> </w:t>
      </w:r>
      <w:r>
        <w:t xml:space="preserve">over the curve shape and adjusted the limits to ensure they went beyond the</w:t>
      </w:r>
      <w:r>
        <w:t xml:space="preserve"> </w:t>
      </w:r>
      <w:r>
        <w:t xml:space="preserve">fitted values on both the lower and higher side. After selecting the best-fit</w:t>
      </w:r>
      <w:r>
        <w:t xml:space="preserve"> </w:t>
      </w:r>
      <w:r>
        <w:t xml:space="preserve">value for</w:t>
      </w:r>
      <w:r>
        <w:t xml:space="preserve"> </w:t>
      </w:r>
      <m:oMath>
        <m:r>
          <m:t>a</m:t>
        </m:r>
      </m:oMath>
      <w:r>
        <w:t xml:space="preserve">, we evaluated the sampling efficiency for the simulation using the</w:t>
      </w:r>
      <w:r>
        <w:t xml:space="preserve"> </w:t>
      </w:r>
      <m:oMath>
        <m:sSub>
          <m:e>
            <m:r>
              <m:t>n</m:t>
            </m:r>
          </m:e>
          <m:sub>
            <m:r>
              <m:t>0.80</m:t>
            </m:r>
          </m:sub>
        </m:sSub>
      </m:oMath>
      <w:r>
        <w:t xml:space="preserve"> </w:t>
      </w:r>
      <w:r>
        <w:t xml:space="preserve">measurement described in Step 3 (number of sites required to document</w:t>
      </w:r>
      <w:r>
        <w:t xml:space="preserve"> </w:t>
      </w:r>
      <w:r>
        <w:t xml:space="preserve">80% of the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is based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 and Chakraborti 2010)</w:t>
      </w:r>
      <w:r>
        <w:t xml:space="preserve"> </w:t>
      </w:r>
      <w:r>
        <w:t xml:space="preserve">—e.g., at n=50, the 90% confidence interval</w:t>
      </w:r>
      <w:r>
        <w:t xml:space="preserve"> </w:t>
      </w:r>
      <w:r>
        <w:t xml:space="preserve">for 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equal and which were more efficient (thus quickly reaching a high</w:t>
      </w:r>
      <w:r>
        <w:t xml:space="preserve"> </w:t>
      </w:r>
      <w:r>
        <w:t xml:space="preserve">proportion of monitored interactions), while also quantifying the magnitude the</w:t>
      </w:r>
      <w:r>
        <w:t xml:space="preserve"> </w:t>
      </w:r>
      <w:r>
        <w:t xml:space="preserve">difference between strategies in a comparable way between independent</w:t>
      </w:r>
      <w:r>
        <w:t xml:space="preserve"> </w:t>
      </w:r>
      <w:r>
        <w:t xml:space="preserve">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and measured the</w:t>
      </w:r>
      <w:r>
        <w:t xml:space="preserve"> </w:t>
      </w:r>
      <w:r>
        <w:t xml:space="preserve">efficiency at documenting interactions. We then compared the</w:t>
      </w:r>
      <w:r>
        <w:t xml:space="preserve"> </w:t>
      </w:r>
      <m:oMath>
        <m:sSub>
          <m:e>
            <m:r>
              <m:t>n</m:t>
            </m:r>
          </m:e>
          <m:sub>
            <m:r>
              <m:t>0.80</m:t>
            </m:r>
          </m:sub>
        </m:sSub>
      </m:oMath>
      <w:r>
        <w:t xml:space="preserve"> </w:t>
      </w:r>
      <w:r>
        <w:t xml:space="preserve">values</w:t>
      </w:r>
      <w:r>
        <w:t xml:space="preserve"> </w:t>
      </w:r>
      <w:r>
        <w:t xml:space="preserve">of each estimation offset range to the</w:t>
      </w:r>
      <w:r>
        <w:t xml:space="preserve"> </w:t>
      </w:r>
      <m:oMath>
        <m:sSub>
          <m:e>
            <m:r>
              <m:t>n</m:t>
            </m:r>
          </m:e>
          <m:sub>
            <m:r>
              <m:t>0.80</m:t>
            </m:r>
          </m:sub>
        </m:sSub>
      </m:oMath>
      <w:r>
        <w:t xml:space="preserve"> </w:t>
      </w:r>
      <w:r>
        <w:t xml:space="preserve">for the true species range,</w:t>
      </w:r>
      <w:r>
        <w:t xml:space="preserve"> </w:t>
      </w:r>
      <w:r>
        <w:t xml:space="preserve">which we expected would be the most efficient, and used the confidence intervals</w:t>
      </w:r>
      <w:r>
        <w:t xml:space="preserve"> </w:t>
      </w:r>
      <w:r>
        <w:t xml:space="preserve">to determine which estimation offsets differed 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the baseline spatially-balanced sampling designs highlight a</w:t>
      </w:r>
      <w:r>
        <w:t xml:space="preserve"> </w:t>
      </w:r>
      <w:r>
        <w:t xml:space="preserve">marked difference between the proportions of sampled species and interactions</w:t>
      </w:r>
      <w:r>
        <w:t xml:space="preserve"> </w:t>
      </w:r>
      <w:r>
        <w:t xml:space="preserve">(</w:t>
      </w:r>
      <w:hyperlink w:anchor="fig-nbons">
        <w:r>
          <w:rPr>
            <w:rStyle w:val="Hyperlink"/>
          </w:rPr>
          <w:t xml:space="preserve">Figure 2</w:t>
        </w:r>
      </w:hyperlink>
      <w:r>
        <w:t xml:space="preserve">). Sampled species saturated very quickly, with all species sampled</w:t>
      </w:r>
      <w:r>
        <w:t xml:space="preserve"> </w:t>
      </w:r>
      <w:r>
        <w:t xml:space="preserve">with less than 25 sites in a BON across the landscape. Possible interactions,</w:t>
      </w:r>
      <w:r>
        <w:t xml:space="preserve"> </w:t>
      </w:r>
      <w:r>
        <w:t xml:space="preserve">which only depend on co-occurrence of species with a feasible interaction in the</w:t>
      </w:r>
      <w:r>
        <w:t xml:space="preserve"> </w:t>
      </w:r>
      <w:r>
        <w:t xml:space="preserve">metaweb, also saturated quickly reaching over 90% of interactions in the metaweb</w:t>
      </w:r>
      <w:r>
        <w:t xml:space="preserve"> </w:t>
      </w:r>
      <w:r>
        <w:t xml:space="preserve">with 25 sites and increased asymptotically afterwards. In contrast, realized and</w:t>
      </w:r>
      <w:r>
        <w:t xml:space="preserve"> </w:t>
      </w:r>
      <w:r>
        <w:t xml:space="preserve">detected interactions, which account for the impact of species abundances on</w:t>
      </w:r>
      <w:r>
        <w:t xml:space="preserve"> </w:t>
      </w:r>
      <w:r>
        <w:t xml:space="preserve">interaction realization and detectability, reached much lower proportions, both</w:t>
      </w:r>
      <w:r>
        <w:t xml:space="preserve"> </w:t>
      </w:r>
      <w:r>
        <w:t xml:space="preserve">remaining under 25% of the all metaweb interactions at 100 sampling sites and</w:t>
      </w:r>
      <w:r>
        <w:t xml:space="preserve"> </w:t>
      </w:r>
      <w:r>
        <w:t xml:space="preserve">under 50% at 500 sites. While the proportion of sampled realized and detected</w:t>
      </w:r>
      <w:r>
        <w:t xml:space="preserve"> </w:t>
      </w:r>
      <w:r>
        <w:t xml:space="preserve">interactions would keep increasing with a higher number of sites (</w:t>
      </w:r>
      <m:oMath>
        <m:sSub>
          <m:e>
            <m:r>
              <m:t>n</m:t>
            </m:r>
          </m:e>
          <m:sub>
            <m:r>
              <m:t>0.80</m:t>
            </m:r>
          </m:sub>
        </m:sSub>
      </m:oMath>
      <w:r>
        <w:t xml:space="preserve"> </w:t>
      </w:r>
      <w:r>
        <w:t xml:space="preserve">around 2100 and 7300, respectively), the speed at which they accumulate is</w:t>
      </w:r>
      <w:r>
        <w:t xml:space="preserve"> </w:t>
      </w:r>
      <w:r>
        <w:t xml:space="preserve">notably lower than for species richness or possible interactions, highlighting</w:t>
      </w:r>
      <w:r>
        <w:t xml:space="preserve"> </w:t>
      </w:r>
      <w:r>
        <w:t xml:space="preserve">the need for a much higher sampling effort for interactions within</w:t>
      </w:r>
      <w:r>
        <w:t xml:space="preserve"> </w:t>
      </w:r>
      <w:r>
        <w:t xml:space="preserve">spatially-balanced BONs.</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 (Simulation Study I). Proportions were calculated with</w:t>
            </w:r>
            <w:r>
              <w:t xml:space="preserve"> </w:t>
            </w:r>
            <w:r>
              <w:t xml:space="preserve">respect to the total species richness and the total number of interactions in</w:t>
            </w:r>
            <w:r>
              <w:t xml:space="preserve"> </w:t>
            </w:r>
            <w:r>
              <w:t xml:space="preserve">the metaweb. Lines indicate the median proportion for a given number of sites,</w:t>
            </w:r>
            <w:r>
              <w:t xml:space="preserve"> </w:t>
            </w:r>
            <w:r>
              <w:t xml:space="preserve">while the shaded bands delimit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(metaweb, species ranges,</w:t>
      </w:r>
      <w:r>
        <w:t xml:space="preserve"> </w:t>
      </w:r>
      <w:r>
        <w:t xml:space="preserve">realized interactions). The conclusions for this landscape configuration are</w:t>
      </w:r>
      <w:r>
        <w:t xml:space="preserve"> </w:t>
      </w:r>
      <w:r>
        <w:t xml:space="preserve">consistent with the most common results across all simulations (200 independent</w:t>
      </w:r>
      <w:r>
        <w:t xml:space="preserve"> </w:t>
      </w:r>
      <w:r>
        <w:t xml:space="preserve">simulations with different landscape configurations), which we summarize right</w:t>
      </w:r>
      <w:r>
        <w:t xml:space="preserve"> </w:t>
      </w:r>
      <w:r>
        <w:t xml:space="preserve">after the showcased one.</w:t>
      </w:r>
    </w:p>
    <w:p>
      <w:pPr>
        <w:pStyle w:val="BodyText"/>
      </w:pPr>
      <w:r>
        <w:t xml:space="preserve">Our focal sampling experiment showed the Balanced Within Range and Targeted</w:t>
      </w:r>
      <w:r>
        <w:t xml:space="preserve"> </w:t>
      </w:r>
      <w:r>
        <w:t xml:space="preserve">Sampling strategy to be most efficient at optimizing BON-design based on a known</w:t>
      </w:r>
      <w:r>
        <w:t xml:space="preserve"> </w:t>
      </w:r>
      <w:r>
        <w:t xml:space="preserve">species range and while aiming to maximize the sampling of interactions of a</w:t>
      </w:r>
      <w:r>
        <w:t xml:space="preserve"> </w:t>
      </w:r>
      <w:r>
        <w:t xml:space="preserve">single focal species (</w:t>
      </w:r>
      <w:hyperlink w:anchor="fig-samplers">
        <w:r>
          <w:rPr>
            <w:rStyle w:val="Hyperlink"/>
          </w:rPr>
          <w:t xml:space="preserve">Figure 3</w:t>
        </w:r>
      </w:hyperlink>
      <w:r>
        <w:t xml:space="preserve">). Balanced sampling, representing a</w:t>
      </w:r>
      <w:r>
        <w:t xml:space="preserve"> </w:t>
      </w:r>
      <w:r>
        <w:t xml:space="preserve">spatially balanced design across space unrelated to the focal species (similar</w:t>
      </w:r>
      <w:r>
        <w:t xml:space="preserve"> </w:t>
      </w:r>
      <w:r>
        <w:t xml:space="preserve">to the baseline in Simulation Study I), performed the worst among the algorithms</w:t>
      </w:r>
      <w:r>
        <w:t xml:space="preserve"> </w:t>
      </w:r>
      <w:r>
        <w:t xml:space="preserve">tested. Weighted Sampling maintained a better spatial balance across the</w:t>
      </w:r>
      <w:r>
        <w:t xml:space="preserve"> </w:t>
      </w:r>
      <w:r>
        <w:t xml:space="preserve">landscape but performed notably worse than Targeted Sampling and Balanced Within</w:t>
      </w:r>
      <w:r>
        <w:t xml:space="preserve"> </w:t>
      </w:r>
      <w:r>
        <w:t xml:space="preserve">Range at maximizing the efficiency for the focal species. Targeted Sampling and</w:t>
      </w:r>
      <w:r>
        <w:t xml:space="preserve"> </w:t>
      </w:r>
      <w:r>
        <w:t xml:space="preserve">Balanced Within Range performed similarly.</w:t>
      </w:r>
    </w:p>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interactions (</w:t>
      </w:r>
      <w:hyperlink w:anchor="fig-layers">
        <w:r>
          <w:rPr>
            <w:rStyle w:val="Hyperlink"/>
          </w:rPr>
          <w:t xml:space="preserve">Figure 4</w:t>
        </w:r>
      </w:hyperlink>
      <w:r>
        <w:t xml:space="preserve">).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compares four sampling strategies: three balanced strategies (across the</w:t>
            </w:r>
            <w:r>
              <w:t xml:space="preserve"> </w:t>
            </w:r>
            <w:r>
              <w:t xml:space="preserve">entire area, across the focal species range only, and using weights to favour</w:t>
            </w:r>
            <w:r>
              <w:t xml:space="preserve"> </w:t>
            </w:r>
            <w:r>
              <w:t xml:space="preserve">the species range) and a targeted strategy using the species ranges as a fixed</w:t>
            </w:r>
            <w:r>
              <w:t xml:space="preserve"> </w:t>
            </w:r>
            <w:r>
              <w:t xml:space="preserve">optimization target (the species range). Solid lines indicate the median</w:t>
            </w:r>
            <w:r>
              <w:t xml:space="preserve"> </w:t>
            </w:r>
            <w:r>
              <w:t xml:space="preserve">proportion for a given number of sites (50 replicates per number of sites),</w:t>
            </w:r>
            <w:r>
              <w:t xml:space="preserve"> </w:t>
            </w:r>
            <w:r>
              <w:t xml:space="preserve">while the shaded bands delimit the 5th and 95th percentile across replicates.</w:t>
            </w:r>
            <w:r>
              <w:t xml:space="preserve"> </w:t>
            </w:r>
            <w:r>
              <w:t xml:space="preserve">The panels on the right illustrate examples of BONs with 50 sites (coloured</w:t>
            </w:r>
            <w:r>
              <w:t xml:space="preserve"> </w:t>
            </w:r>
            <w:r>
              <w:t xml:space="preserve">points) generated by each strategy over the same landscape (species presences in</w:t>
            </w:r>
            <w:r>
              <w:t xml:space="preserve"> </w:t>
            </w:r>
            <w:r>
              <w:t xml:space="preserve">yellow, absence in purple, masked area in white). This showcased example is</w:t>
            </w:r>
            <w:r>
              <w:t xml:space="preserve"> </w:t>
            </w:r>
            <w:r>
              <w:t xml:space="preserve">representative of the most common results across independent</w:t>
            </w:r>
            <w:r>
              <w:t xml:space="preserve"> </w:t>
            </w:r>
            <w:r>
              <w:t xml:space="preserve">simulations.</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compares four optimization targets with a fixed targeted sampler (Uncertainty</w:t>
            </w:r>
            <w:r>
              <w:t xml:space="preserve"> </w:t>
            </w:r>
            <w:r>
              <w:t xml:space="preserve">Sampling). Solid lines indicate the median proportion for a given number of</w:t>
            </w:r>
            <w:r>
              <w:t xml:space="preserve"> </w:t>
            </w:r>
            <w:r>
              <w:t xml:space="preserve">sites, while the shaded bands delimit the 5th and 95th percentile across</w:t>
            </w:r>
            <w:r>
              <w:t xml:space="preserve"> </w:t>
            </w:r>
            <w:r>
              <w:t xml:space="preserve">replicates. The panels on the right illustrate examples of BONs with 50 sites</w:t>
            </w:r>
            <w:r>
              <w:t xml:space="preserve"> </w:t>
            </w:r>
            <w:r>
              <w:t xml:space="preserve">(coloured points) generated by each strategy over the target landscape (areas in</w:t>
            </w:r>
            <w:r>
              <w:t xml:space="preserve"> </w:t>
            </w:r>
            <w:r>
              <w:t xml:space="preserve">yellow indicate a higher value for targeting, e.g. presence or richness, while</w:t>
            </w:r>
            <w:r>
              <w:t xml:space="preserve"> </w:t>
            </w:r>
            <w:r>
              <w:t xml:space="preserve">areas in purple indicate a lower</w:t>
            </w:r>
            <w:r>
              <w:t xml:space="preserve"> </w:t>
            </w:r>
            <w:r>
              <w:t xml:space="preserve">value).</w:t>
            </w:r>
          </w:p>
          <w:bookmarkEnd w:id="38"/>
        </w:tc>
      </w:tr>
    </w:tbl>
    <w:p>
      <w:pPr>
        <w:pStyle w:val="BodyText"/>
      </w:pPr>
      <w:r>
        <w:t xml:space="preserve">Comparing optimization options by simulation clearly highlighted a consistently</w:t>
      </w:r>
      <w:r>
        <w:t xml:space="preserve"> </w:t>
      </w:r>
      <w:r>
        <w:t xml:space="preserve">more efficient approach across landscape and metaweb contexts (</w:t>
      </w:r>
      <w:hyperlink w:anchor="fig-eff-comp">
        <w:r>
          <w:rPr>
            <w:rStyle w:val="Hyperlink"/>
          </w:rPr>
          <w:t xml:space="preserve">Figure 5</w:t>
        </w:r>
      </w:hyperlink>
      <w:r>
        <w:t xml:space="preserve">;</w:t>
      </w:r>
      <w:r>
        <w:t xml:space="preserve"> </w:t>
      </w:r>
      <w:r>
        <w:t xml:space="preserve">see also Supp. Mat. for all pair-by-pair comparisons), consistent with the</w:t>
      </w:r>
      <w:r>
        <w:t xml:space="preserve"> </w:t>
      </w:r>
      <w:r>
        <w:t xml:space="preserve">showcased single-simulation 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w:t>
      </w:r>
      <w:r>
        <w:t xml:space="preserve"> </w:t>
      </w:r>
      <w:r>
        <w:t xml:space="preserve">Sampling was more efficient than Weighted Sampling in 63% of simulations (lower</w:t>
      </w:r>
      <w:r>
        <w:t xml:space="preserve"> </w:t>
      </w:r>
      <w:r>
        <w:t xml:space="preserve">value for</w:t>
      </w:r>
      <w:r>
        <w:t xml:space="preserve"> </w:t>
      </w:r>
      <m:oMath>
        <m:sSub>
          <m:e>
            <m:r>
              <m:t>n</m:t>
            </m:r>
          </m:e>
          <m:sub>
            <m:r>
              <m:t>0.80</m:t>
            </m:r>
          </m:sub>
        </m:sSub>
      </m:oMath>
      <w:r>
        <w:t xml:space="preserve">, indicating a faster documentation of interactions), and</w:t>
      </w:r>
      <w:r>
        <w:t xml:space="preserve"> </w:t>
      </w:r>
      <w:r>
        <w:t xml:space="preserve">both were more efficient than Balanced Acceptance in all simulations</w:t>
      </w:r>
      <w:r>
        <w:t xml:space="preserve"> </w:t>
      </w:r>
      <w:r>
        <w:t xml:space="preserve">(</w:t>
      </w:r>
      <w:hyperlink w:anchor="fig-eff-comp">
        <w:r>
          <w:rPr>
            <w:rStyle w:val="Hyperlink"/>
          </w:rPr>
          <w:t xml:space="preserve">Figure 5</w:t>
        </w:r>
      </w:hyperlink>
      <w:r>
        <w:t xml:space="preserve">A). Targeted Sampling and Balanced Within Range were equally</w:t>
      </w:r>
      <w:r>
        <w:t xml:space="preserve"> </w:t>
      </w:r>
      <w:r>
        <w:t xml:space="preserve">efficient in all cases. Among optimization targets used with Targeted Sampling</w:t>
      </w:r>
      <w:r>
        <w:t xml:space="preserve"> </w:t>
      </w:r>
      <w:r>
        <w:t xml:space="preserve">(</w:t>
      </w:r>
      <w:hyperlink w:anchor="fig-eff-comp">
        <w:r>
          <w:rPr>
            <w:rStyle w:val="Hyperlink"/>
          </w:rPr>
          <w:t xml:space="preserve">Figure 5</w:t>
        </w:r>
      </w:hyperlink>
      <w:r>
        <w:t xml:space="preserve">B), optimizing on the focal species range was more efficient</w:t>
      </w:r>
      <w:r>
        <w:t xml:space="preserve"> </w:t>
      </w:r>
      <w:r>
        <w:t xml:space="preserve">than on the probabilistic range or on species richness (78% and 90%,</w:t>
      </w:r>
      <w:r>
        <w:t xml:space="preserve"> </w:t>
      </w:r>
      <w:r>
        <w:t xml:space="preserve">respectively), but always less efficient than optimizing on realized</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targets for 200 independent simulations. The comparison value is based on the</w:t>
            </w:r>
            <w:r>
              <w:t xml:space="preserve"> </w:t>
            </w:r>
            <w:r>
              <w:t xml:space="preserve">number of sites required to document 80% of the focal species’ interactions</w:t>
            </w:r>
            <w:r>
              <w:t xml:space="preserve"> </w:t>
            </w:r>
            <w:r>
              <w:t xml:space="preserve">(</w:t>
            </w:r>
            <m:oMath>
              <m:sSub>
                <m:e>
                  <m:r>
                    <m:t>n</m:t>
                  </m:r>
                </m:e>
                <m:sub>
                  <m:r>
                    <m:t>0.80</m:t>
                  </m:r>
                </m:sub>
              </m:sSub>
            </m:oMath>
            <w:r>
              <w:t xml:space="preserve">), described in</w:t>
            </w:r>
            <w:r>
              <w:t xml:space="preserve"> </w:t>
            </w:r>
            <w:hyperlink w:anchor="eq-n_at_p">
              <w:r>
                <w:rPr>
                  <w:rStyle w:val="Hyperlink"/>
                </w:rPr>
                <w:t xml:space="preserve">Equation 2</w:t>
              </w:r>
            </w:hyperlink>
            <w:r>
              <w:t xml:space="preserve">. Negative values (in orange) indicate that</w:t>
            </w:r>
            <w:r>
              <w:t xml:space="preserve"> </w:t>
            </w:r>
            <w:r>
              <w:t xml:space="preserve">the compared option led to a more efficient sampling than its reference (faster</w:t>
            </w:r>
            <w:r>
              <w:t xml:space="preserve"> </w:t>
            </w:r>
            <w:r>
              <w:t xml:space="preserve">documentation of interactions), while positive values (in green) indicate it</w:t>
            </w:r>
            <w:r>
              <w:t xml:space="preserve"> </w:t>
            </w:r>
            <w:r>
              <w:t xml:space="preserve">required a higher sampling effort. Equal values (in pink) have overlapping</w:t>
            </w:r>
            <w:r>
              <w:t xml:space="preserve"> </w:t>
            </w:r>
            <w:r>
              <w:t xml:space="preserve">confidence intervals. The reference is the same on the two subpanels (Targeted</w:t>
            </w:r>
            <w:r>
              <w:t xml:space="preserve"> </w:t>
            </w:r>
            <w:r>
              <w:t xml:space="preserve">Sampling using the focal species range) and was chosen to simplify the number of</w:t>
            </w:r>
            <w:r>
              <w:t xml:space="preserve"> </w:t>
            </w:r>
            <w:r>
              <w:t xml:space="preserve">comparisons displayed. All one-by-one comparisons are available in Supp.</w:t>
            </w:r>
            <w:r>
              <w:t xml:space="preserve"> </w:t>
            </w:r>
            <w:r>
              <w:t xml:space="preserve">Mat.</w:t>
            </w:r>
          </w:p>
          <w:bookmarkEnd w:id="42"/>
        </w:tc>
      </w:tr>
    </w:tbl>
    <w:bookmarkEnd w:id="43"/>
    <w:bookmarkStart w:id="48" w:name="X0fa8ab7ed2d004419ce95c2002cb70fb68b8b67"/>
    <w:p>
      <w:pPr>
        <w:pStyle w:val="Heading3"/>
      </w:pPr>
      <w:r>
        <w:t xml:space="preserve">Simulation Study III: Tolerance to 10% over- and underestimation of the focal species range</w:t>
      </w:r>
    </w:p>
    <w:p>
      <w:pPr>
        <w:pStyle w:val="FirstParagraph"/>
      </w:pPr>
      <w:r>
        <w:t xml:space="preserve">Our results highlight a tolerance in the precision of the species range</w:t>
      </w:r>
      <w:r>
        <w:t xml:space="preserve"> </w:t>
      </w:r>
      <w:r>
        <w:t xml:space="preserve">estimation required for the Balanced Within Range strategy. Overestimating the</w:t>
      </w:r>
      <w:r>
        <w:t xml:space="preserve"> </w:t>
      </w:r>
      <w:r>
        <w:t xml:space="preserve">range size from 0 to 50% led to a 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 obtained using the Balanced Within Range</w:t>
      </w:r>
      <w:r>
        <w:t xml:space="preserve"> </w:t>
      </w:r>
      <w:r>
        <w:t xml:space="preserve">strategy on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equal to the true range until a 10% overestimation offset (based</w:t>
      </w:r>
      <w:r>
        <w:t xml:space="preserve"> </w:t>
      </w:r>
      <w:r>
        <w:t xml:space="preserve">on overlapping confidence intervals), at which point it started to be higher</w:t>
      </w:r>
      <w:r>
        <w:t xml:space="preserve"> </w:t>
      </w:r>
      <w:r>
        <w:t xml:space="preserve">across all simulations, indicating a lesser efficiency (</w:t>
      </w:r>
      <w:hyperlink w:anchor="fig-estimations">
        <w:r>
          <w:rPr>
            <w:rStyle w:val="Hyperlink"/>
          </w:rPr>
          <w:t xml:space="preserve">Figure 6</w:t>
        </w:r>
      </w:hyperlink>
      <w:r>
        <w:t xml:space="preserve">B). In</w:t>
      </w:r>
      <w:r>
        <w:t xml:space="preserve"> </w:t>
      </w:r>
      <w:r>
        <w:t xml:space="preserve">contrast, underestimating the species range showed a lesser increase of</w:t>
      </w:r>
      <w:r>
        <w:t xml:space="preserve"> </w:t>
      </w:r>
      <m:oMath>
        <m:sSub>
          <m:e>
            <m:r>
              <m:t>n</m:t>
            </m:r>
          </m:e>
          <m:sub>
            <m:r>
              <m:t>0.80</m:t>
            </m:r>
          </m:sub>
        </m:sSub>
      </m:oMath>
      <w:r>
        <w:t xml:space="preserve"> </w:t>
      </w:r>
      <w:r>
        <w:t xml:space="preserve">from 0 to -50% based on the median result across simulations, with a</w:t>
      </w:r>
      <w:r>
        <w:t xml:space="preserve"> </w:t>
      </w:r>
      <w:r>
        <w:t xml:space="preserve">wider range of possible outcomes (</w:t>
      </w:r>
      <w:hyperlink w:anchor="fig-estimations">
        <w:r>
          <w:rPr>
            <w:rStyle w:val="Hyperlink"/>
          </w:rPr>
          <w:t xml:space="preserve">Figure 6</w:t>
        </w:r>
      </w:hyperlink>
      <w:r>
        <w:t xml:space="preserve">A, left side). Importantly,</w:t>
      </w:r>
      <w:r>
        <w:t xml:space="preserve"> </w:t>
      </w:r>
      <w:r>
        <w:t xml:space="preserve">while the</w:t>
      </w:r>
      <w:r>
        <w:t xml:space="preserve"> </w:t>
      </w:r>
      <m:oMath>
        <m:sSub>
          <m:e>
            <m:r>
              <m:t>n</m:t>
            </m:r>
          </m:e>
          <m:sub>
            <m:r>
              <m:t>0.80</m:t>
            </m:r>
          </m:sub>
        </m:sSub>
      </m:oMath>
      <w:r>
        <w:t xml:space="preserve"> </w:t>
      </w:r>
      <w:r>
        <w:t xml:space="preserve">was also equal until a -10% offset and started to decrease</w:t>
      </w:r>
      <w:r>
        <w:t xml:space="preserve"> </w:t>
      </w:r>
      <w:r>
        <w:t xml:space="preserve">beyond, it stayed equal in the majority of simulations (&gt; 70%) even for</w:t>
      </w:r>
      <w:r>
        <w:t xml:space="preserve"> </w:t>
      </w:r>
      <w:r>
        <w:t xml:space="preserve">underestimation of -50% (</w:t>
      </w:r>
      <w:hyperlink w:anchor="fig-estimations">
        <w:r>
          <w:rPr>
            <w:rStyle w:val="Hyperlink"/>
          </w:rPr>
          <w:t xml:space="preserve">Figure 6</w:t>
        </w:r>
      </w:hyperlink>
      <w:r>
        <w:t xml:space="preserve">B). In the remaining simulations (&lt;</w:t>
      </w:r>
      <w:r>
        <w:t xml:space="preserve"> </w:t>
      </w:r>
      <w:r>
        <w:t xml:space="preserve">30%), the</w:t>
      </w:r>
      <w:r>
        <w:t xml:space="preserve"> </w:t>
      </w:r>
      <m:oMath>
        <m:sSub>
          <m:e>
            <m:r>
              <m:t>n</m:t>
            </m:r>
          </m:e>
          <m:sub>
            <m:r>
              <m:t>0.80</m:t>
            </m:r>
          </m:sub>
        </m:sSub>
      </m:oMath>
      <w:r>
        <w:t xml:space="preserve"> </w:t>
      </w:r>
      <w:r>
        <w:t xml:space="preserve">was higher than for the true range (less efficient), except</w:t>
      </w:r>
      <w:r>
        <w:t xml:space="preserve"> </w:t>
      </w:r>
      <w:r>
        <w:t xml:space="preserve">for a few cases where it was lower (more efficient).</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 axis) given the range estimation offset (x axis) to highlight the linear</w:t>
            </w:r>
            <w:r>
              <w:t xml:space="preserve"> </w:t>
            </w:r>
            <w:r>
              <w:t xml:space="preserve">trend and association with the offset percentage for overestimation. The dotted</w:t>
            </w:r>
            <w:r>
              <w:t xml:space="preserve"> </w:t>
            </w:r>
            <w:r>
              <w:t xml:space="preserve">line at 1.00 indicates exactly equal</w:t>
            </w:r>
            <w:r>
              <w:t xml:space="preserve"> </w:t>
            </w:r>
            <m:oMath>
              <m:sSub>
                <m:e>
                  <m:r>
                    <m:t>n</m:t>
                  </m:r>
                </m:e>
                <m:sub>
                  <m:r>
                    <m:t>0.80</m:t>
                  </m:r>
                </m:sub>
              </m:sSub>
            </m:oMath>
            <w:r>
              <w:t xml:space="preserve">. In panel B, we summarize</w:t>
            </w:r>
            <w:r>
              <w:t xml:space="preserve"> </w:t>
            </w:r>
            <w:r>
              <w:t xml:space="preserve">comparisons across all simulations to display the proportion of each comparison</w:t>
            </w:r>
            <w:r>
              <w:t xml:space="preserve"> </w:t>
            </w:r>
            <w:r>
              <w:t xml:space="preserve">outcome (equal, higher, lower). The solid line represents the actual proportion</w:t>
            </w:r>
            <w:r>
              <w:t xml:space="preserve"> </w:t>
            </w:r>
            <w:r>
              <w:t xml:space="preserve">value, while the shaded bands delimit the 90% confidence intervals for the</w:t>
            </w:r>
            <w:r>
              <w:t xml:space="preserve"> </w:t>
            </w:r>
            <w:r>
              <w:t xml:space="preserve">proportion calculated using the Wilson interval method</w:t>
            </w:r>
            <w:r>
              <w:t xml:space="preserve"> </w:t>
            </w:r>
            <w:r>
              <w:t xml:space="preserve">(Brown et al. 2001,</w:t>
            </w:r>
            <w:r>
              <w:t xml:space="preserve"> </w:t>
            </w:r>
            <w:r>
              <w:t xml:space="preserve">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for monitoring species interactions</w:t>
      </w:r>
      <w:r>
        <w:t xml:space="preserve"> </w:t>
      </w:r>
      <w:r>
        <w:t xml:space="preserve">within spatially-balanced, general-purpose BONs should be much lower than for</w:t>
      </w:r>
      <w:r>
        <w:t xml:space="preserve"> </w:t>
      </w:r>
      <w:r>
        <w:t xml:space="preserve">species richness, especially when considering that interaction realization and</w:t>
      </w:r>
      <w:r>
        <w:t xml:space="preserve"> </w:t>
      </w:r>
      <w:r>
        <w:t xml:space="preserve">detection both depend on species abundance (</w:t>
      </w:r>
      <w:hyperlink w:anchor="fig-nbons">
        <w:r>
          <w:rPr>
            <w:rStyle w:val="Hyperlink"/>
          </w:rPr>
          <w:t xml:space="preserve">Figure 2</w:t>
        </w:r>
      </w:hyperlink>
      <w:r>
        <w:t xml:space="preserve">). In other words, we can</w:t>
      </w:r>
      <w:r>
        <w:t xml:space="preserve"> </w:t>
      </w:r>
      <w:r>
        <w:t xml:space="preserve">expect the monitoring of species interactions within a BON to require a (much)</w:t>
      </w:r>
      <w:r>
        <w:t xml:space="preserve"> </w:t>
      </w:r>
      <w:r>
        <w:t xml:space="preserve">higher monitoring effort across space than the one required for monitoring</w:t>
      </w:r>
      <w:r>
        <w:t xml:space="preserve"> </w:t>
      </w:r>
      <w:r>
        <w:t xml:space="preserve">species and community composition. Our observations are consistent with previous</w:t>
      </w:r>
      <w:r>
        <w:t xml:space="preserve"> </w:t>
      </w:r>
      <w:r>
        <w:t xml:space="preserve">ones regarding higher sampling effort required to document pollinator networks</w:t>
      </w:r>
      <w:r>
        <w:t xml:space="preserve"> </w:t>
      </w:r>
      <w:r>
        <w:t xml:space="preserve">(Chacoff et al. 2012)</w:t>
      </w:r>
      <w:r>
        <w:t xml:space="preserve">, yet here framed in the context of BON design and</w:t>
      </w:r>
      <w:r>
        <w:t xml:space="preserve"> </w:t>
      </w:r>
      <w:r>
        <w:t xml:space="preserve">monitoring across space. Overall, these results reinforce the need for</w:t>
      </w:r>
      <w:r>
        <w:t xml:space="preserve"> </w:t>
      </w:r>
      <w:r>
        <w:t xml:space="preserve">optimizing sampling designs for species interactions beyond and in complement to</w:t>
      </w:r>
      <w:r>
        <w:t xml:space="preserve"> </w:t>
      </w:r>
      <w:r>
        <w:t xml:space="preserve">existing monitoring networks.</w:t>
      </w:r>
    </w:p>
    <w:p>
      <w:pPr>
        <w:pStyle w:val="BodyText"/>
      </w:pPr>
      <w:r>
        <w:t xml:space="preserve">We can improve interaction coverage with the right optimization method, but</w:t>
      </w:r>
      <w:r>
        <w:t xml:space="preserve"> </w:t>
      </w:r>
      <w:r>
        <w:t xml:space="preserve">efficiently doing so requires a clear and attainable monitoring objective.</w:t>
      </w:r>
      <w:r>
        <w:t xml:space="preserve"> </w:t>
      </w:r>
      <w:r>
        <w:t xml:space="preserve">Adopting a single-species perspective</w:t>
      </w:r>
      <w:r>
        <w:t xml:space="preserve"> </w:t>
      </w:r>
      <w:r>
        <w:t xml:space="preserve">(</w:t>
      </w:r>
      <w:r>
        <w:rPr>
          <w:i/>
          <w:iCs/>
        </w:rPr>
        <w:t xml:space="preserve">e.g.</w:t>
      </w:r>
      <w:r>
        <w:t xml:space="preserve"> </w:t>
      </w:r>
      <w:r>
        <w:t xml:space="preserve">focusing on interactions for a</w:t>
      </w:r>
      <w:r>
        <w:t xml:space="preserve"> </w:t>
      </w:r>
      <w:r>
        <w:t xml:space="preserve">keystone or high degree species, Pires et al. 2017; de Aguiar et al. 2019)</w:t>
      </w:r>
      <w:r>
        <w:t xml:space="preserve"> </w:t>
      </w:r>
      <w:r>
        <w:t xml:space="preserve">can</w:t>
      </w:r>
      <w:r>
        <w:t xml:space="preserve"> </w:t>
      </w:r>
      <w:r>
        <w:t xml:space="preserve">yield relevant results while relying on attainable levels of information</w:t>
      </w:r>
      <w:r>
        <w:t xml:space="preserve"> </w:t>
      </w:r>
      <w:r>
        <w:t xml:space="preserve">(Figures</w:t>
      </w:r>
      <w:r>
        <w:t xml:space="preserve"> </w:t>
      </w:r>
      <w:hyperlink w:anchor="fig-samplers">
        <w:r>
          <w:rPr>
            <w:rStyle w:val="Hyperlink"/>
          </w:rPr>
          <w:t xml:space="preserve">3</w:t>
        </w:r>
      </w:hyperlink>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Through our</w:t>
      </w:r>
      <w:r>
        <w:t xml:space="preserve"> </w:t>
      </w:r>
      <w:r>
        <w:t xml:space="preserve">representative example in</w:t>
      </w:r>
      <w:r>
        <w:t xml:space="preserve"> </w:t>
      </w:r>
      <w:hyperlink w:anchor="fig-samplers">
        <w:r>
          <w:rPr>
            <w:rStyle w:val="Hyperlink"/>
          </w:rPr>
          <w:t xml:space="preserve">Figure 3</w:t>
        </w:r>
      </w:hyperlink>
      <w:r>
        <w:t xml:space="preserve">, we showed how Targeted Sampling and</w:t>
      </w:r>
      <w:r>
        <w:t xml:space="preserve"> </w:t>
      </w:r>
      <w:r>
        <w:t xml:space="preserve">Balanced Within Range outperform spatially-balanced designs to monitor</w:t>
      </w:r>
      <w:r>
        <w:t xml:space="preserve"> </w:t>
      </w:r>
      <w:r>
        <w:t xml:space="preserve">interactions for a focal species, while only relying on an attainable level of</w:t>
      </w:r>
      <w:r>
        <w:t xml:space="preserve"> </w:t>
      </w:r>
      <w:r>
        <w:t xml:space="preserve">information (the species range). Two emerging questions that follow up on this</w:t>
      </w:r>
      <w:r>
        <w:t xml:space="preserve"> </w:t>
      </w:r>
      <w:r>
        <w:t xml:space="preserve">result are: 1) what information is most efficient to target sites in sampling</w:t>
      </w:r>
      <w:r>
        <w:t xml:space="preserve"> </w:t>
      </w:r>
      <w:r>
        <w:t xml:space="preserve">designs; and 2) how precisely do we need to estimate such information to expect</w:t>
      </w:r>
      <w:r>
        <w:t xml:space="preserve"> </w:t>
      </w:r>
      <w:r>
        <w:t xml:space="preserve">efficiency improvements? Our simulation studies offer insights into both, as we</w:t>
      </w:r>
      <w:r>
        <w:t xml:space="preserve"> </w:t>
      </w:r>
      <w:r>
        <w:t xml:space="preserve">detail next before concluding with recommendations for monitoring.</w:t>
      </w:r>
    </w:p>
    <w:p>
      <w:pPr>
        <w:pStyle w:val="BodyText"/>
      </w:pPr>
      <w:r>
        <w:rPr>
          <w:i/>
          <w:iCs/>
        </w:rPr>
        <w:t xml:space="preserve">What strategies and available information are most efficient to optimize</w:t>
      </w:r>
      <w:r>
        <w:rPr>
          <w:i/>
          <w:iCs/>
        </w:rPr>
        <w:t xml:space="preserve"> </w:t>
      </w:r>
      <w:r>
        <w:rPr>
          <w:i/>
          <w:iCs/>
        </w:rPr>
        <w:t xml:space="preserve">monitoring for species interactions?</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 and Poisot 2025)</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 and Poisot 2025)</w:t>
      </w:r>
      <w:r>
        <w:t xml:space="preserve">, our results highlighted better options when we can</w:t>
      </w:r>
      <w:r>
        <w:t xml:space="preserve"> </w:t>
      </w:r>
      <w:r>
        <w:t xml:space="preserve">define a specific target for monitoring (</w:t>
      </w:r>
      <w:hyperlink w:anchor="fig-eff-comp">
        <w:r>
          <w:rPr>
            <w:rStyle w:val="Hyperlink"/>
          </w:rPr>
          <w:t xml:space="preserve">Figure 5</w:t>
        </w:r>
      </w:hyperlink>
      <w:r>
        <w:t xml:space="preserve">). Optimizing on a known</w:t>
      </w:r>
      <w:r>
        <w:t xml:space="preserve"> </w:t>
      </w:r>
      <w:r>
        <w:t xml:space="preserve">species range proved an efficient strategy to retrieve its interactions that was</w:t>
      </w:r>
      <w:r>
        <w:t xml:space="preserve"> </w:t>
      </w:r>
      <w:r>
        <w:t xml:space="preserve">better than optimizing based on more holistic, community-level information such</w:t>
      </w:r>
      <w:r>
        <w:t xml:space="preserve"> </w:t>
      </w:r>
      <w:r>
        <w:t xml:space="preserve">as species richness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 This contrasts</w:t>
      </w:r>
      <w:r>
        <w:t xml:space="preserve"> </w:t>
      </w:r>
      <w:r>
        <w:t xml:space="preserve">with earlier accounts where designs based on maximising species richness also</w:t>
      </w:r>
      <w:r>
        <w:t xml:space="preserve"> </w:t>
      </w:r>
      <w:r>
        <w:t xml:space="preserve">proved efficient to conserve multiple biodiversity facets</w:t>
      </w:r>
      <w:r>
        <w:t xml:space="preserve"> </w:t>
      </w:r>
      <w:r>
        <w:t xml:space="preserve">(Willig et al. 2023)</w:t>
      </w:r>
      <w:r>
        <w:t xml:space="preserve">.</w:t>
      </w:r>
      <w:r>
        <w:t xml:space="preserve"> </w:t>
      </w:r>
      <w:r>
        <w:t xml:space="preserve">Instead, our results highlight that more information about an entire system does</w:t>
      </w:r>
      <w:r>
        <w:t xml:space="preserve"> </w:t>
      </w:r>
      <w:r>
        <w:t xml:space="preserve">not always lead to more efficient monitoring, and that efforts could instead be</w:t>
      </w:r>
      <w:r>
        <w:t xml:space="preserve"> </w:t>
      </w:r>
      <w:r>
        <w:t xml:space="preserve">put towards identifying relevant targets with available information to guide</w:t>
      </w:r>
      <w:r>
        <w:t xml:space="preserve"> </w:t>
      </w:r>
      <w:r>
        <w:t xml:space="preserve">monitoring design.</w:t>
      </w:r>
    </w:p>
    <w:p>
      <w:pPr>
        <w:pStyle w:val="BodyText"/>
      </w:pPr>
      <w:r>
        <w:t xml:space="preserve">Optimizing based on the location of the realized interactions was, as expected,</w:t>
      </w:r>
      <w:r>
        <w:t xml:space="preserve"> </w:t>
      </w:r>
      <w:r>
        <w:t xml:space="preserve">even more efficient than targeting the species range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species and locations across the globe,</w:t>
      </w:r>
      <w:r>
        <w:t xml:space="preserve"> </w:t>
      </w:r>
      <w:r>
        <w:t xml:space="preserve">regardless of their relevance for monitoring. Nonetheless, it highlights that</w:t>
      </w:r>
      <w:r>
        <w:t xml:space="preserve"> </w:t>
      </w:r>
      <w:r>
        <w:t xml:space="preserve">the most important efficiency gains will come from better knowledge of where</w:t>
      </w:r>
      <w:r>
        <w:t xml:space="preserve"> </w:t>
      </w:r>
      <w:r>
        <w:t xml:space="preserve">interactions are likely to take place. On one hand, better incorporating factors</w:t>
      </w:r>
      <w:r>
        <w:t xml:space="preserve"> </w:t>
      </w:r>
      <w:r>
        <w:t xml:space="preserve">influencing interaction realization and detection, such as species abundance in</w:t>
      </w:r>
      <w:r>
        <w:t xml:space="preserve"> </w:t>
      </w:r>
      <w:r>
        <w:t xml:space="preserve">our simulations, will be crucial and potentially more impactful than improving</w:t>
      </w:r>
      <w:r>
        <w:t xml:space="preserve"> </w:t>
      </w:r>
      <w:r>
        <w:t xml:space="preserve">knowledge or reducing uncertainty over species ranges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Integrating abundances into network evaluations could be based</w:t>
      </w:r>
      <w:r>
        <w:t xml:space="preserve"> </w:t>
      </w:r>
      <w:r>
        <w:t xml:space="preserve">on species regional abundances</w:t>
      </w:r>
      <w:r>
        <w:t xml:space="preserve"> </w:t>
      </w:r>
      <w:r>
        <w:t xml:space="preserve">(Reji Chacko et al. 2025)</w:t>
      </w:r>
      <w:r>
        <w:t xml:space="preserve"> </w:t>
      </w:r>
      <w:r>
        <w:t xml:space="preserve">and would echo similar</w:t>
      </w:r>
      <w:r>
        <w:t xml:space="preserve"> </w:t>
      </w:r>
      <w:r>
        <w:t xml:space="preserve">calls for integration of abundances and processes into conservation</w:t>
      </w:r>
      <w:r>
        <w:t xml:space="preserve"> </w:t>
      </w:r>
      <w:r>
        <w:t xml:space="preserve">(Dornelas et al. 2023; Fletcher Jr. et al. 2025; Tobias et al. 2025)</w:t>
      </w:r>
      <w:r>
        <w:t xml:space="preserve">. On the other</w:t>
      </w:r>
      <w:r>
        <w:t xml:space="preserve"> </w:t>
      </w:r>
      <w:r>
        <w:t xml:space="preserve">hand, our result also suggest that monitoring will become more efficient over</w:t>
      </w:r>
      <w:r>
        <w:t xml:space="preserve"> </w:t>
      </w:r>
      <w:r>
        <w:t xml:space="preserve">time as we keep gathering knowledge on interactions, especially if local</w:t>
      </w:r>
      <w:r>
        <w:t xml:space="preserve"> </w:t>
      </w:r>
      <w:r>
        <w:t xml:space="preserve">knowledge of the system and species under focus is incorporated. Such</w:t>
      </w:r>
      <w:r>
        <w:t xml:space="preserve"> </w:t>
      </w:r>
      <w:r>
        <w:t xml:space="preserve">opportunities should emerge in recent BON initiatives integrating Indigenous and</w:t>
      </w:r>
      <w:r>
        <w:t xml:space="preserve"> </w:t>
      </w:r>
      <w:r>
        <w:t xml:space="preserve">local community knowledge for an inclusive view of biodiversity change and</w:t>
      </w:r>
      <w:r>
        <w:t xml:space="preserve"> </w:t>
      </w:r>
      <w:r>
        <w:t xml:space="preserve">recognizing multiple ways of knowing</w:t>
      </w:r>
      <w:r>
        <w:t xml:space="preserve"> </w:t>
      </w:r>
      <w:r>
        <w:t xml:space="preserve">(e.g. CAN BON, Gonzalez et al. 2025)</w:t>
      </w:r>
      <w:r>
        <w:t xml:space="preserve">.</w:t>
      </w:r>
      <w:r>
        <w:t xml:space="preserve"> </w:t>
      </w:r>
      <w:r>
        <w:t xml:space="preserve">Overall, we should not wait for perfect knowledge: establishing operational</w:t>
      </w:r>
      <w:r>
        <w:t xml:space="preserve"> </w:t>
      </w:r>
      <w:r>
        <w:t xml:space="preserve">monitoring frameworks to inform biodiversity conservation and management is</w:t>
      </w:r>
      <w:r>
        <w:t xml:space="preserve"> </w:t>
      </w:r>
      <w:r>
        <w:t xml:space="preserve">possible as we keep gathering new information, and better ensures we translate</w:t>
      </w:r>
      <w:r>
        <w:t xml:space="preserve"> </w:t>
      </w:r>
      <w:r>
        <w:t xml:space="preserve">knowledge into action</w:t>
      </w:r>
      <w:r>
        <w:t xml:space="preserve"> </w:t>
      </w:r>
      <w:r>
        <w:t xml:space="preserve">(Buxton et al. 2021; Dansereau et al. 2025)</w:t>
      </w:r>
      <w:r>
        <w:t xml:space="preserve">.</w:t>
      </w:r>
    </w:p>
    <w:p>
      <w:pPr>
        <w:pStyle w:val="BodyText"/>
      </w:pPr>
      <w:r>
        <w:rPr>
          <w:i/>
          <w:iCs/>
        </w:rPr>
        <w:t xml:space="preserve">How precise should estimations be to expect improvements in monitoring</w:t>
      </w:r>
      <w:r>
        <w:rPr>
          <w:i/>
          <w:iCs/>
        </w:rPr>
        <w:t xml:space="preserve"> </w:t>
      </w:r>
      <w:r>
        <w:rPr>
          <w:i/>
          <w:iCs/>
        </w:rPr>
        <w:t xml:space="preserve">efficiency?</w:t>
      </w:r>
    </w:p>
    <w:p>
      <w:pPr>
        <w:pStyle w:val="BodyText"/>
      </w:pPr>
      <w:r>
        <w:t xml:space="preserve">A similarly-efficient alternative to targeted sampling is to follow an approach</w:t>
      </w:r>
      <w:r>
        <w:t xml:space="preserve"> </w:t>
      </w:r>
      <w:r>
        <w:t xml:space="preserve">such as our Balanced Within Range strategy, where we generate a spatially</w:t>
      </w:r>
      <w:r>
        <w:t xml:space="preserve"> </w:t>
      </w:r>
      <w:r>
        <w:t xml:space="preserve">balanced design across the area believed to be more informative. Our results</w:t>
      </w:r>
      <w:r>
        <w:t xml:space="preserve"> </w:t>
      </w:r>
      <w:r>
        <w:t xml:space="preserve">from Simulation Study III are encouraging in this sense, as they show we do not</w:t>
      </w:r>
      <w:r>
        <w:t xml:space="preserve"> </w:t>
      </w:r>
      <w:r>
        <w:t xml:space="preserve">need perfect knowledge when using this strategy (</w:t>
      </w:r>
      <w:hyperlink w:anchor="fig-estimations">
        <w:r>
          <w:rPr>
            <w:rStyle w:val="Hyperlink"/>
          </w:rPr>
          <w:t xml:space="preserve">Figure 6</w:t>
        </w:r>
      </w:hyperlink>
      <w:r>
        <w:t xml:space="preserve">). The</w:t>
      </w:r>
      <w:r>
        <w:t xml:space="preserve"> </w:t>
      </w:r>
      <w:r>
        <w:t xml:space="preserve">tolerance we observed to 10% over- and underestimation of the focal species</w:t>
      </w:r>
      <w:r>
        <w:t xml:space="preserve"> </w:t>
      </w:r>
      <w:r>
        <w:t xml:space="preserve">range size offers an important margin that changes the information we can use to</w:t>
      </w:r>
      <w:r>
        <w:t xml:space="preserve"> </w:t>
      </w:r>
      <w:r>
        <w:t xml:space="preserve">guide BON design. For instance, our test case of underestimating a species range</w:t>
      </w:r>
      <w:r>
        <w:t xml:space="preserve"> </w:t>
      </w:r>
      <w:r>
        <w:t xml:space="preserve">highlights that we could focus mainly on the most certain parts of a species</w:t>
      </w:r>
      <w:r>
        <w:t xml:space="preserve"> </w:t>
      </w:r>
      <w:r>
        <w:t xml:space="preserve">range prediction</w:t>
      </w:r>
      <w:r>
        <w:t xml:space="preserve"> </w:t>
      </w:r>
      <w:r>
        <w:t xml:space="preserve">(e.g., using conformal predictions along with species</w:t>
      </w:r>
      <w:r>
        <w:t xml:space="preserve"> </w:t>
      </w:r>
      <w:r>
        <w:t xml:space="preserve">distribution models, Poisot 2024)</w:t>
      </w:r>
      <w:r>
        <w:t xml:space="preserve"> </w:t>
      </w:r>
      <w:r>
        <w:t xml:space="preserve">and expect similar monitoring</w:t>
      </w:r>
      <w:r>
        <w:t xml:space="preserve"> </w:t>
      </w:r>
      <w:r>
        <w:t xml:space="preserve">efficiency. On the opposite side, in terms of range size, our overestimation</w:t>
      </w:r>
      <w:r>
        <w:t xml:space="preserve"> </w:t>
      </w:r>
      <w:r>
        <w:t xml:space="preserve">test case is more analogous to a model focusing on the potential distribution</w:t>
      </w:r>
      <w:r>
        <w:t xml:space="preserve"> </w:t>
      </w:r>
      <w:r>
        <w:t xml:space="preserve">rather than the realized distribution.</w:t>
      </w:r>
    </w:p>
    <w:p>
      <w:pPr>
        <w:pStyle w:val="BodyText"/>
      </w:pPr>
      <w:r>
        <w:rPr>
          <w:i/>
          <w:iCs/>
        </w:rPr>
        <w:t xml:space="preserve">Recommendations for monitoring</w:t>
      </w:r>
    </w:p>
    <w:p>
      <w:pPr>
        <w:pStyle w:val="BodyText"/>
      </w:pPr>
      <w:r>
        <w:t xml:space="preserve">Documenting species interactions extensively requires higher sampling efforts</w:t>
      </w:r>
      <w:r>
        <w:t xml:space="preserve"> </w:t>
      </w:r>
      <w:r>
        <w:t xml:space="preserve">than required to document species ranges. While spatially balanced designs are</w:t>
      </w:r>
      <w:r>
        <w:t xml:space="preserve"> </w:t>
      </w:r>
      <w:r>
        <w:t xml:space="preserve">efficient in general purpose biodiversity monitoring, species interactions may</w:t>
      </w:r>
      <w:r>
        <w:t xml:space="preserve"> </w:t>
      </w:r>
      <w:r>
        <w:t xml:space="preserve">be better served by specifically-optimized monitoring designs. To do so, we show</w:t>
      </w:r>
      <w:r>
        <w:t xml:space="preserve"> </w:t>
      </w:r>
      <w:r>
        <w:t xml:space="preserve">the importance of selecting a appropriate target (e.g. a focal species’</w:t>
      </w:r>
      <w:r>
        <w:t xml:space="preserve"> </w:t>
      </w:r>
      <w:r>
        <w:t xml:space="preserve">interaction) and using attainable information restricting the phenomenon (here</w:t>
      </w:r>
      <w:r>
        <w:t xml:space="preserve"> </w:t>
      </w:r>
      <w:r>
        <w:t xml:space="preserve">the species range) to optimize monitoring designs efficiently. There is a degree</w:t>
      </w:r>
      <w:r>
        <w:t xml:space="preserve"> </w:t>
      </w:r>
      <w:r>
        <w:t xml:space="preserve">of tolerance in the level of exact information needed (similar to range over-</w:t>
      </w:r>
      <w:r>
        <w:t xml:space="preserve"> </w:t>
      </w:r>
      <w:r>
        <w:t xml:space="preserve">and underestimation), therefore available information should be used as soon as</w:t>
      </w:r>
      <w:r>
        <w:t xml:space="preserve"> </w:t>
      </w:r>
      <w:r>
        <w:t xml:space="preserve">possible to guide monitoring.</w:t>
      </w:r>
    </w:p>
    <w:bookmarkEnd w:id="50"/>
    <w:bookmarkStart w:id="51" w:name="acknowledgements"/>
    <w:p>
      <w:pPr>
        <w:pStyle w:val="Heading1"/>
      </w:pPr>
      <w:r>
        <w:t xml:space="preserve">Acknowledgements</w:t>
      </w:r>
    </w:p>
    <w:p>
      <w:pPr>
        <w:pStyle w:val="FirstParagraph"/>
      </w:pPr>
      <w:r>
        <w:t xml:space="preserve">GD was funded by the NSERC Postgraduate Scholarship – Doctoral (grant ES D –</w:t>
      </w:r>
      <w:r>
        <w:t xml:space="preserve"> </w:t>
      </w:r>
      <w:r>
        <w:t xml:space="preserve">558643) and the FRQNT doctoral scholarship (grant no. 301750). TP was funded</w:t>
      </w:r>
      <w:r>
        <w:t xml:space="preserve"> </w:t>
      </w:r>
      <w:r>
        <w:t xml:space="preserve">through award no. 223764/Z/21/Z from the Wellcome Trust, by the Discovery Grant</w:t>
      </w:r>
      <w:r>
        <w:t xml:space="preserve"> </w:t>
      </w:r>
      <w:r>
        <w:t xml:space="preserve">program of NSERC, through a donation from the Courtois Foundation. MDC is funded</w:t>
      </w:r>
      <w:r>
        <w:t xml:space="preserve"> </w:t>
      </w:r>
      <w:r>
        <w:t xml:space="preserve">by an IVADO Postdoctoral Fellowship. We thank the members of the</w:t>
      </w:r>
      <w:r>
        <w:t xml:space="preserve"> </w:t>
      </w:r>
      <w:r>
        <w:rPr>
          <w:i/>
          <w:iCs/>
        </w:rPr>
        <w:t xml:space="preserve">Laboratoire</w:t>
      </w:r>
      <w:r>
        <w:rPr>
          <w:i/>
          <w:iCs/>
        </w:rPr>
        <w:t xml:space="preserve"> </w:t>
      </w:r>
      <w:r>
        <w:rPr>
          <w:i/>
          <w:iCs/>
        </w:rPr>
        <w:t xml:space="preserve">d’Écologie Prédictive et Interprétable pour la Crise de la Biodiversité</w:t>
      </w:r>
      <w:r>
        <w:t xml:space="preserve"> </w:t>
      </w:r>
      <w:r>
        <w:t xml:space="preserve">in</w:t>
      </w:r>
      <w:r>
        <w:t xml:space="preserve"> </w:t>
      </w:r>
      <w:r>
        <w:t xml:space="preserve">Montréal, QC, and of the Predictive Ecology team at the</w:t>
      </w:r>
      <w:r>
        <w:t xml:space="preserve"> </w:t>
      </w:r>
      <w:r>
        <w:rPr>
          <w:i/>
          <w:iCs/>
        </w:rPr>
        <w:t xml:space="preserve">Pacific Forestry</w:t>
      </w:r>
      <w:r>
        <w:rPr>
          <w:i/>
          <w:iCs/>
        </w:rPr>
        <w:t xml:space="preserve"> </w:t>
      </w:r>
      <w:r>
        <w:rPr>
          <w:i/>
          <w:iCs/>
        </w:rPr>
        <w:t xml:space="preserve">Centre</w:t>
      </w:r>
      <w:r>
        <w:t xml:space="preserve"> </w:t>
      </w:r>
      <w:r>
        <w:t xml:space="preserve">in Victoria, BC, for their constructive comments during discussions of</w:t>
      </w:r>
      <w:r>
        <w:t xml:space="preserve"> </w:t>
      </w:r>
      <w:r>
        <w:t xml:space="preserve">this manuscript.</w:t>
      </w:r>
    </w:p>
    <w:bookmarkEnd w:id="51"/>
    <w:bookmarkStart w:id="227" w:name="references"/>
    <w:p>
      <w:pPr>
        <w:pStyle w:val="Heading1"/>
      </w:pPr>
      <w:r>
        <w:t xml:space="preserve">References</w:t>
      </w:r>
    </w:p>
    <w:bookmarkStart w:id="226" w:name="refs"/>
    <w:bookmarkStart w:id="53" w:name="ref-Abrego2021AccSpe"/>
    <w:p>
      <w:pPr>
        <w:pStyle w:val="Bibliography"/>
      </w:pPr>
      <w:r>
        <w:t xml:space="preserve">Abrego N, Roslin T, Huotari T, et al (2021) Accounting for species interactions is necessary for predicting how arctic arthropod communities respond to climate change. Ecography 44:885–896.</w:t>
      </w:r>
      <w:r>
        <w:t xml:space="preserve"> </w:t>
      </w:r>
      <w:hyperlink r:id="rId52">
        <w:r>
          <w:rPr>
            <w:rStyle w:val="Hyperlink"/>
          </w:rPr>
          <w:t xml:space="preserve">https://doi.org/10.1111/ecog.05547</w:t>
        </w:r>
      </w:hyperlink>
    </w:p>
    <w:bookmarkEnd w:id="53"/>
    <w:bookmarkStart w:id="55" w:name="ref-Aguiar2024UntBio"/>
    <w:p>
      <w:pPr>
        <w:pStyle w:val="Bibliography"/>
      </w:pPr>
      <w:r>
        <w:t xml:space="preserve">Aguiar LMS, Diniz UM, Bueno-Rocha ID, et al (2024) Untangling biodiversity interactions:</w:t>
      </w:r>
      <w:r>
        <w:t xml:space="preserve"> </w:t>
      </w:r>
      <w:r>
        <w:t xml:space="preserve">A</w:t>
      </w:r>
      <w:r>
        <w:t xml:space="preserve"> </w:t>
      </w:r>
      <w:r>
        <w:t xml:space="preserve">meta network on pollination in</w:t>
      </w:r>
      <w:r>
        <w:t xml:space="preserve"> </w:t>
      </w:r>
      <w:r>
        <w:t xml:space="preserve">Earth</w:t>
      </w:r>
      <w:r>
        <w:t xml:space="preserve">’s most diverse tropical savanna. Ecology and Evolution 14:e11094.</w:t>
      </w:r>
      <w:r>
        <w:t xml:space="preserve"> </w:t>
      </w:r>
      <w:hyperlink r:id="rId54">
        <w:r>
          <w:rPr>
            <w:rStyle w:val="Hyperlink"/>
          </w:rPr>
          <w:t xml:space="preserve">https://doi.org/10.1002/ece3.11094</w:t>
        </w:r>
      </w:hyperlink>
    </w:p>
    <w:bookmarkEnd w:id="55"/>
    <w:bookmarkStart w:id="57" w:name="ref-Baiser2019EcoRul"/>
    <w:p>
      <w:pPr>
        <w:pStyle w:val="Bibliography"/>
      </w:pPr>
      <w:r>
        <w:t xml:space="preserve">Baiser B, Gravel D, Cirtwill AR, et al (2019) Ecogeographical rules and the macroecology of food webs. Global Ecol Biogeogr geb.12925.</w:t>
      </w:r>
      <w:r>
        <w:t xml:space="preserve"> </w:t>
      </w:r>
      <w:hyperlink r:id="rId56">
        <w:r>
          <w:rPr>
            <w:rStyle w:val="Hyperlink"/>
          </w:rPr>
          <w:t xml:space="preserve">https://doi.org/10.1111/geb.12925</w:t>
        </w:r>
      </w:hyperlink>
    </w:p>
    <w:bookmarkEnd w:id="57"/>
    <w:bookmarkStart w:id="59" w:name="ref-Baiser2010ConDet"/>
    <w:p>
      <w:pPr>
        <w:pStyle w:val="Bibliography"/>
      </w:pPr>
      <w:r>
        <w:t xml:space="preserve">Baiser B, Russell GJ, Lockwood JL (2010) Connectance determines invasion success via trophic interactions in model food webs. Oikos 119:1970–1976.</w:t>
      </w:r>
      <w:r>
        <w:t xml:space="preserve"> </w:t>
      </w:r>
      <w:hyperlink r:id="rId58">
        <w:r>
          <w:rPr>
            <w:rStyle w:val="Hyperlink"/>
          </w:rPr>
          <w:t xml:space="preserve">https://doi.org/10.1111/j.1600-0706.2010.18557.x</w:t>
        </w:r>
      </w:hyperlink>
    </w:p>
    <w:bookmarkEnd w:id="59"/>
    <w:bookmarkStart w:id="61" w:name="ref-Baranowska2025LowCon"/>
    <w:p>
      <w:pPr>
        <w:pStyle w:val="Bibliography"/>
      </w:pPr>
      <w:r>
        <w:t xml:space="preserve">Baranowska W, Bartoszewicz M, Nowak S, et al (2025) Low contribution of livestock in the grey wolf diet in the area with high availability of free-ranging cattle and horses. Eur J Wildl Res 71:48.</w:t>
      </w:r>
      <w:r>
        <w:t xml:space="preserve"> </w:t>
      </w:r>
      <w:hyperlink r:id="rId60">
        <w:r>
          <w:rPr>
            <w:rStyle w:val="Hyperlink"/>
          </w:rPr>
          <w:t xml:space="preserve">https://doi.org/10.1007/s10344-025-01926-3</w:t>
        </w:r>
      </w:hyperlink>
    </w:p>
    <w:bookmarkEnd w:id="61"/>
    <w:bookmarkStart w:id="63" w:name="ref-Benedetti2017SpaBal"/>
    <w:p>
      <w:pPr>
        <w:pStyle w:val="Bibliography"/>
      </w:pPr>
      <w:r>
        <w:t xml:space="preserve">Benedetti R, Piersimoni F, Postiglione P (2017) Spatially</w:t>
      </w:r>
      <w:r>
        <w:t xml:space="preserve"> </w:t>
      </w:r>
      <w:r>
        <w:t xml:space="preserve">Balanced Sampling</w:t>
      </w:r>
      <w:r>
        <w:t xml:space="preserve">:</w:t>
      </w:r>
      <w:r>
        <w:t xml:space="preserve"> </w:t>
      </w:r>
      <w:r>
        <w:t xml:space="preserve">A Review</w:t>
      </w:r>
      <w:r>
        <w:t xml:space="preserve"> </w:t>
      </w:r>
      <w:r>
        <w:t xml:space="preserve">and</w:t>
      </w:r>
      <w:r>
        <w:t xml:space="preserve"> </w:t>
      </w:r>
      <w:r>
        <w:t xml:space="preserve">A Reappraisal</w:t>
      </w:r>
      <w:r>
        <w:t xml:space="preserve">. International Statistical Review 85:439–454.</w:t>
      </w:r>
      <w:r>
        <w:t xml:space="preserve"> </w:t>
      </w:r>
      <w:hyperlink r:id="rId62">
        <w:r>
          <w:rPr>
            <w:rStyle w:val="Hyperlink"/>
          </w:rPr>
          <w:t xml:space="preserve">https://doi.org/10.1111/insr.12216</w:t>
        </w:r>
      </w:hyperlink>
    </w:p>
    <w:bookmarkEnd w:id="63"/>
    <w:bookmarkStart w:id="65" w:name="ref-Bezanson2017JulFre"/>
    <w:p>
      <w:pPr>
        <w:pStyle w:val="Bibliography"/>
      </w:pPr>
      <w:r>
        <w:t xml:space="preserve">Bezanson J, Edelman A, Karpinski S, Shah VB (2017) Julia: A fresh approach to numerical computing. SIAM Rev 59:65–98.</w:t>
      </w:r>
      <w:r>
        <w:t xml:space="preserve"> </w:t>
      </w:r>
      <w:hyperlink r:id="rId64">
        <w:r>
          <w:rPr>
            <w:rStyle w:val="Hyperlink"/>
          </w:rPr>
          <w:t xml:space="preserve">https://doi.org/10.1137/141000671</w:t>
        </w:r>
      </w:hyperlink>
    </w:p>
    <w:bookmarkEnd w:id="65"/>
    <w:bookmarkStart w:id="67" w:name="ref-Brown2001IntEst"/>
    <w:p>
      <w:pPr>
        <w:pStyle w:val="Bibliography"/>
      </w:pPr>
      <w:r>
        <w:t xml:space="preserve">Brown LD, Cai TT, DasGupta A (2001) Interval</w:t>
      </w:r>
      <w:r>
        <w:t xml:space="preserve"> </w:t>
      </w:r>
      <w:r>
        <w:t xml:space="preserve">Estimation</w:t>
      </w:r>
      <w:r>
        <w:t xml:space="preserve"> </w:t>
      </w:r>
      <w:r>
        <w:t xml:space="preserve">for a</w:t>
      </w:r>
      <w:r>
        <w:t xml:space="preserve"> </w:t>
      </w:r>
      <w:r>
        <w:t xml:space="preserve">Binomial Proportion</w:t>
      </w:r>
      <w:r>
        <w:t xml:space="preserve">. Statistical Science 16:101–133.</w:t>
      </w:r>
      <w:r>
        <w:t xml:space="preserve"> </w:t>
      </w:r>
      <w:hyperlink r:id="rId66">
        <w:r>
          <w:rPr>
            <w:rStyle w:val="Hyperlink"/>
          </w:rPr>
          <w:t xml:space="preserve">https://doi.org/10.1214/ss/1009213286</w:t>
        </w:r>
      </w:hyperlink>
    </w:p>
    <w:bookmarkEnd w:id="67"/>
    <w:bookmarkStart w:id="69" w:name="ref-Burton2014FraAda"/>
    <w:p>
      <w:pPr>
        <w:pStyle w:val="Bibliography"/>
      </w:pPr>
      <w:r>
        <w:t xml:space="preserve">Burton AC, Huggard D, Bayne E, et al (2014) A framework for adaptive monitoring of the cumulative effects of human footprint on biodiversity. Environ Monit Assess 186:3605–3617.</w:t>
      </w:r>
      <w:r>
        <w:t xml:space="preserve"> </w:t>
      </w:r>
      <w:hyperlink r:id="rId68">
        <w:r>
          <w:rPr>
            <w:rStyle w:val="Hyperlink"/>
          </w:rPr>
          <w:t xml:space="preserve">https://doi.org/10.1007/s10661-014-3643-7</w:t>
        </w:r>
      </w:hyperlink>
    </w:p>
    <w:bookmarkEnd w:id="69"/>
    <w:bookmarkStart w:id="71" w:name="ref-Buxton2021KeyInf"/>
    <w:p>
      <w:pPr>
        <w:pStyle w:val="Bibliography"/>
      </w:pPr>
      <w:r>
        <w:t xml:space="preserve">Buxton RT, Bennett JR, Reid AJ, et al (2021) Key information needs to move from knowledge to action for biodiversity conservation in</w:t>
      </w:r>
      <w:r>
        <w:t xml:space="preserve"> </w:t>
      </w:r>
      <w:r>
        <w:t xml:space="preserve">Canada</w:t>
      </w:r>
      <w:r>
        <w:t xml:space="preserve">. Biological Conservation 256:108983.</w:t>
      </w:r>
      <w:r>
        <w:t xml:space="preserve"> </w:t>
      </w:r>
      <w:hyperlink r:id="rId70">
        <w:r>
          <w:rPr>
            <w:rStyle w:val="Hyperlink"/>
          </w:rPr>
          <w:t xml:space="preserve">https://doi.org/10.1016/j.biocon.2021.108983</w:t>
        </w:r>
      </w:hyperlink>
    </w:p>
    <w:bookmarkEnd w:id="71"/>
    <w:bookmarkStart w:id="73" w:name="ref-Canard2012EmeStr"/>
    <w:p>
      <w:pPr>
        <w:pStyle w:val="Bibliography"/>
      </w:pPr>
      <w:r>
        <w:t xml:space="preserve">Canard E, Mouquet N, Marescot L, et al (2012) Emergence of</w:t>
      </w:r>
      <w:r>
        <w:t xml:space="preserve"> </w:t>
      </w:r>
      <w:r>
        <w:t xml:space="preserve">Structural Patterns</w:t>
      </w:r>
      <w:r>
        <w:t xml:space="preserve"> </w:t>
      </w:r>
      <w:r>
        <w:t xml:space="preserve">in</w:t>
      </w:r>
      <w:r>
        <w:t xml:space="preserve"> </w:t>
      </w:r>
      <w:r>
        <w:t xml:space="preserve">Neutral Trophic Networks</w:t>
      </w:r>
      <w:r>
        <w:t xml:space="preserve">. PLOS ONE 7:e38295.</w:t>
      </w:r>
      <w:r>
        <w:t xml:space="preserve"> </w:t>
      </w:r>
      <w:hyperlink r:id="rId72">
        <w:r>
          <w:rPr>
            <w:rStyle w:val="Hyperlink"/>
          </w:rPr>
          <w:t xml:space="preserve">https://doi.org/10.1371/journal.pone.0038295</w:t>
        </w:r>
      </w:hyperlink>
    </w:p>
    <w:bookmarkEnd w:id="73"/>
    <w:bookmarkStart w:id="75" w:name="ref-Caron2024TraMod"/>
    <w:p>
      <w:pPr>
        <w:pStyle w:val="Bibliography"/>
      </w:pPr>
      <w:r>
        <w:t xml:space="preserve">Caron D, Brose U, Lurgi M, et al (2024) Trait-matching models predict pairwise interactions across regions, not food web properties. Global Ecology and Biogeography 33:e13807.</w:t>
      </w:r>
      <w:r>
        <w:t xml:space="preserve"> </w:t>
      </w:r>
      <w:hyperlink r:id="rId74">
        <w:r>
          <w:rPr>
            <w:rStyle w:val="Hyperlink"/>
          </w:rPr>
          <w:t xml:space="preserve">https://doi.org/10.1111/geb.13807</w:t>
        </w:r>
      </w:hyperlink>
    </w:p>
    <w:bookmarkEnd w:id="75"/>
    <w:bookmarkStart w:id="77" w:name="ref-Catchen2023MisLin"/>
    <w:p>
      <w:pPr>
        <w:pStyle w:val="Bibliography"/>
      </w:pPr>
      <w:r>
        <w:t xml:space="preserve">Catchen MD, Poisot T, Pollock LJ, Gonzalez A (2023) The missing link: Discerning true from false negatives when sampling species interaction networks.</w:t>
      </w:r>
      <w:r>
        <w:t xml:space="preserve"> </w:t>
      </w:r>
      <w:hyperlink r:id="rId76">
        <w:r>
          <w:rPr>
            <w:rStyle w:val="Hyperlink"/>
          </w:rPr>
          <w:t xml:space="preserve">https://ecoevorxiv.org/repository/view/4929/</w:t>
        </w:r>
      </w:hyperlink>
      <w:r>
        <w:t xml:space="preserve">. Accessed 19 Jan 2023</w:t>
      </w:r>
    </w:p>
    <w:bookmarkEnd w:id="77"/>
    <w:bookmarkStart w:id="79" w:name="ref-CBD2022DecAdoa"/>
    <w:p>
      <w:pPr>
        <w:pStyle w:val="Bibliography"/>
      </w:pPr>
      <w:r>
        <w:t xml:space="preserve">CBD (2022)</w:t>
      </w:r>
      <w:r>
        <w:t xml:space="preserve"> </w:t>
      </w:r>
      <w:hyperlink r:id="rId78">
        <w:r>
          <w:rPr>
            <w:rStyle w:val="Hyperlink"/>
          </w:rPr>
          <w:t xml:space="preserve">Decision adopted by the conference of the parties to the convention on biological diversity 15/4.</w:t>
        </w:r>
        <w:r>
          <w:rPr>
            <w:rStyle w:val="Hyperlink"/>
          </w:rPr>
          <w:t xml:space="preserve"> </w:t>
        </w:r>
        <w:r>
          <w:rPr>
            <w:rStyle w:val="Hyperlink"/>
          </w:rPr>
          <w:t xml:space="preserve">Kunming-montreal</w:t>
        </w:r>
        <w:r>
          <w:rPr>
            <w:rStyle w:val="Hyperlink"/>
          </w:rPr>
          <w:t xml:space="preserve"> </w:t>
        </w:r>
        <w:r>
          <w:rPr>
            <w:rStyle w:val="Hyperlink"/>
          </w:rPr>
          <w:t xml:space="preserve">global biodiversity framework</w:t>
        </w:r>
      </w:hyperlink>
    </w:p>
    <w:bookmarkEnd w:id="79"/>
    <w:bookmarkStart w:id="81" w:name="ref-Chacoff2012EvaSam"/>
    <w:p>
      <w:pPr>
        <w:pStyle w:val="Bibliography"/>
      </w:pPr>
      <w:r>
        <w:t xml:space="preserve">Chacoff NP, Vázquez DP, Lomáscolo SB, et al (2012) Evaluating sampling completeness in a desert plant–pollinator network. Journal of Animal Ecology 81:190–200.</w:t>
      </w:r>
      <w:r>
        <w:t xml:space="preserve"> </w:t>
      </w:r>
      <w:hyperlink r:id="rId80">
        <w:r>
          <w:rPr>
            <w:rStyle w:val="Hyperlink"/>
          </w:rPr>
          <w:t xml:space="preserve">https://doi.org/10.1111/j.1365-2656.2011.01883.x</w:t>
        </w:r>
      </w:hyperlink>
    </w:p>
    <w:bookmarkEnd w:id="81"/>
    <w:bookmarkStart w:id="83" w:name="ref-Chiu2023QuaEst"/>
    <w:p>
      <w:pPr>
        <w:pStyle w:val="Bibliography"/>
      </w:pPr>
      <w:r>
        <w:t xml:space="preserve">Chiu C-H, Chao A, Vogel S, et al (2023) Quantifying and estimating ecological network diversity based on incomplete sampling data. Philosophical Transactions of the Royal Society B: Biological Sciences 378:20220183.</w:t>
      </w:r>
      <w:r>
        <w:t xml:space="preserve"> </w:t>
      </w:r>
      <w:hyperlink r:id="rId82">
        <w:r>
          <w:rPr>
            <w:rStyle w:val="Hyperlink"/>
          </w:rPr>
          <w:t xml:space="preserve">https://doi.org/10.1098/rstb.2022.0183</w:t>
        </w:r>
      </w:hyperlink>
    </w:p>
    <w:bookmarkEnd w:id="83"/>
    <w:bookmarkStart w:id="85" w:name="ref-Cirtwill2019QuaFra"/>
    <w:p>
      <w:pPr>
        <w:pStyle w:val="Bibliography"/>
      </w:pPr>
      <w:r>
        <w:t xml:space="preserve">Cirtwill AR, Eklöf A, Roslin T, et al (2019) A quantitative framework for investigating the reliability of empirical network construction. Methods in Ecology and Evolution 10:902–911.</w:t>
      </w:r>
      <w:r>
        <w:t xml:space="preserve"> </w:t>
      </w:r>
      <w:hyperlink r:id="rId84">
        <w:r>
          <w:rPr>
            <w:rStyle w:val="Hyperlink"/>
          </w:rPr>
          <w:t xml:space="preserve">https://doi.org/10.1111/2041-210X.13180</w:t>
        </w:r>
      </w:hyperlink>
    </w:p>
    <w:bookmarkEnd w:id="85"/>
    <w:bookmarkStart w:id="87" w:name="ref-Dansereau2026GabNet"/>
    <w:p>
      <w:pPr>
        <w:pStyle w:val="Bibliography"/>
      </w:pPr>
      <w:r>
        <w:t xml:space="preserve">Dansereau G (2026)</w:t>
      </w:r>
      <w:r>
        <w:t xml:space="preserve"> </w:t>
      </w:r>
      <w:hyperlink r:id="rId86">
        <w:r>
          <w:rPr>
            <w:rStyle w:val="Hyperlink"/>
          </w:rPr>
          <w:t xml:space="preserve">Gabrieldansereau/</w:t>
        </w:r>
        <w:r>
          <w:rPr>
            <w:rStyle w:val="Hyperlink"/>
          </w:rPr>
          <w:t xml:space="preserve">NetworkMonitoring</w:t>
        </w:r>
        <w:r>
          <w:rPr>
            <w:rStyle w:val="Hyperlink"/>
          </w:rPr>
          <w:t xml:space="preserve">: V0.1.0</w:t>
        </w:r>
      </w:hyperlink>
    </w:p>
    <w:bookmarkEnd w:id="87"/>
    <w:bookmarkStart w:id="89" w:name="ref-Dansereau2024SpaExp"/>
    <w:p>
      <w:pPr>
        <w:pStyle w:val="Bibliography"/>
      </w:pPr>
      <w:r>
        <w:t xml:space="preserve">Dansereau G, Barros C, Poisot T (2024) Spatially explicit predictions of food web structure from regional-level data. Philosophical Transactions of the Royal Society B: Biological Sciences 379:20230166.</w:t>
      </w:r>
      <w:r>
        <w:t xml:space="preserve"> </w:t>
      </w:r>
      <w:hyperlink r:id="rId88">
        <w:r>
          <w:rPr>
            <w:rStyle w:val="Hyperlink"/>
          </w:rPr>
          <w:t xml:space="preserve">https://doi.org/10.1098/rstb.2023.0166</w:t>
        </w:r>
      </w:hyperlink>
    </w:p>
    <w:bookmarkEnd w:id="89"/>
    <w:bookmarkStart w:id="91" w:name="ref-Dansereau2025OveDis"/>
    <w:p>
      <w:pPr>
        <w:pStyle w:val="Bibliography"/>
      </w:pPr>
      <w:r>
        <w:t xml:space="preserve">Dansereau G, Braga J, Ficetola GF, et al (2025) Overcoming the disconnect between species interaction networks and biodiversity conservation. Trends in Ecology &amp; Evolution 40:840–851.</w:t>
      </w:r>
      <w:r>
        <w:t xml:space="preserve"> </w:t>
      </w:r>
      <w:hyperlink r:id="rId90">
        <w:r>
          <w:rPr>
            <w:rStyle w:val="Hyperlink"/>
          </w:rPr>
          <w:t xml:space="preserve">https://doi.org/10.1016/j.tree.2025.05.010</w:t>
        </w:r>
      </w:hyperlink>
    </w:p>
    <w:bookmarkEnd w:id="91"/>
    <w:bookmarkStart w:id="93" w:name="ref-Daugaard2024DepFor"/>
    <w:p>
      <w:pPr>
        <w:pStyle w:val="Bibliography"/>
      </w:pPr>
      <w:r>
        <w:t xml:space="preserve">Daugaard U, Merkli S, Merz E, et al (2024) The dependence of forecasts on sampling frequency as a guide to optimizing monitoring in community ecology. Ecosphere 15:e4786.</w:t>
      </w:r>
      <w:r>
        <w:t xml:space="preserve"> </w:t>
      </w:r>
      <w:hyperlink r:id="rId92">
        <w:r>
          <w:rPr>
            <w:rStyle w:val="Hyperlink"/>
          </w:rPr>
          <w:t xml:space="preserve">https://doi.org/10.1002/ecs2.4786</w:t>
        </w:r>
      </w:hyperlink>
    </w:p>
    <w:bookmarkEnd w:id="93"/>
    <w:bookmarkStart w:id="95" w:name="ref-deAguiar2019RevBia"/>
    <w:p>
      <w:pPr>
        <w:pStyle w:val="Bibliography"/>
      </w:pPr>
      <w:r>
        <w:t xml:space="preserve">de Aguiar MAM, Newman EA, Pires MM, et al (2019) Revealing biases in the sampling of ecological interaction networks. PeerJ 7:e7566.</w:t>
      </w:r>
      <w:r>
        <w:t xml:space="preserve"> </w:t>
      </w:r>
      <w:hyperlink r:id="rId94">
        <w:r>
          <w:rPr>
            <w:rStyle w:val="Hyperlink"/>
          </w:rPr>
          <w:t xml:space="preserve">https://doi.org/10.7717/peerj.7566</w:t>
        </w:r>
      </w:hyperlink>
    </w:p>
    <w:bookmarkEnd w:id="95"/>
    <w:bookmarkStart w:id="97" w:name="ref-Delmas2019AnaEco"/>
    <w:p>
      <w:pPr>
        <w:pStyle w:val="Bibliography"/>
      </w:pPr>
      <w:r>
        <w:t xml:space="preserve">Delmas E, Besson M, Brice M-H, et al (2019) Analysing ecological networks of species interactions. Biological Reviews 94:16–36.</w:t>
      </w:r>
      <w:r>
        <w:t xml:space="preserve"> </w:t>
      </w:r>
      <w:hyperlink r:id="rId96">
        <w:r>
          <w:rPr>
            <w:rStyle w:val="Hyperlink"/>
          </w:rPr>
          <w:t xml:space="preserve">https://doi.org/10.1111/brv.12433</w:t>
        </w:r>
      </w:hyperlink>
    </w:p>
    <w:bookmarkEnd w:id="97"/>
    <w:bookmarkStart w:id="99" w:name="ref-Dore2021RelEff"/>
    <w:p>
      <w:pPr>
        <w:pStyle w:val="Bibliography"/>
      </w:pPr>
      <w:r>
        <w:t xml:space="preserve">Doré M, Fontaine C, Thébault E (2021) Relative effects of anthropogenic pressures, climate, and sampling design on the structure of pollination networks at the global scale. Global Change Biology 27:1266–1280.</w:t>
      </w:r>
      <w:r>
        <w:t xml:space="preserve"> </w:t>
      </w:r>
      <w:hyperlink r:id="rId98">
        <w:r>
          <w:rPr>
            <w:rStyle w:val="Hyperlink"/>
          </w:rPr>
          <w:t xml:space="preserve">https://doi.org/10.1111/gcb.15474</w:t>
        </w:r>
      </w:hyperlink>
    </w:p>
    <w:bookmarkEnd w:id="99"/>
    <w:bookmarkStart w:id="101" w:name="ref-Dornelas2023LooBac"/>
    <w:p>
      <w:pPr>
        <w:pStyle w:val="Bibliography"/>
      </w:pPr>
      <w:r>
        <w:t xml:space="preserve">Dornelas M, Chase JM, Gotelli NJ, et al (2023) Looking back on biodiversity change: Lessons for the road ahead. Phil Trans R Soc B 378:20220199.</w:t>
      </w:r>
      <w:r>
        <w:t xml:space="preserve"> </w:t>
      </w:r>
      <w:hyperlink r:id="rId100">
        <w:r>
          <w:rPr>
            <w:rStyle w:val="Hyperlink"/>
          </w:rPr>
          <w:t xml:space="preserve">https://doi.org/10.1098/rstb.2022.0199</w:t>
        </w:r>
      </w:hyperlink>
    </w:p>
    <w:bookmarkEnd w:id="101"/>
    <w:bookmarkStart w:id="103" w:name="ref-Duchardt2023UsiNeu"/>
    <w:p>
      <w:pPr>
        <w:pStyle w:val="Bibliography"/>
      </w:pPr>
      <w:r>
        <w:t xml:space="preserve">Duchardt CJ, Monroe AP, Edmunds DR, et al (2023) Using neutral landscape models to evaluate the umbrella species concept in an ecotone. Landsc Ecol 38:1447–1462.</w:t>
      </w:r>
      <w:r>
        <w:t xml:space="preserve"> </w:t>
      </w:r>
      <w:hyperlink r:id="rId102">
        <w:r>
          <w:rPr>
            <w:rStyle w:val="Hyperlink"/>
          </w:rPr>
          <w:t xml:space="preserve">https://doi.org/10.1007/s10980-022-01586-7</w:t>
        </w:r>
      </w:hyperlink>
    </w:p>
    <w:bookmarkEnd w:id="103"/>
    <w:bookmarkStart w:id="105" w:name="ref-Dunne2002NetStr"/>
    <w:p>
      <w:pPr>
        <w:pStyle w:val="Bibliography"/>
      </w:pPr>
      <w:r>
        <w:t xml:space="preserve">Dunne JA, Williams RJ, Martinez ND (2002) Network structure and biodiversity loss in food webs: Robustness increases with connectance. Ecology Letters 5:558–567.</w:t>
      </w:r>
      <w:r>
        <w:t xml:space="preserve"> </w:t>
      </w:r>
      <w:hyperlink r:id="rId104">
        <w:r>
          <w:rPr>
            <w:rStyle w:val="Hyperlink"/>
          </w:rPr>
          <w:t xml:space="preserve">https://doi.org/10.1046/j.1461-0248.2002.00354.x</w:t>
        </w:r>
      </w:hyperlink>
    </w:p>
    <w:bookmarkEnd w:id="105"/>
    <w:bookmarkStart w:id="107" w:name="ref-Dunne2004NetStr"/>
    <w:p>
      <w:pPr>
        <w:pStyle w:val="Bibliography"/>
      </w:pPr>
      <w:r>
        <w:t xml:space="preserve">Dunne JA, Williams RJ, Martinez, Neo D. (2004) Network structure and robustness of marine food webs. Mar Ecol Prog Ser 273:291–302.</w:t>
      </w:r>
      <w:r>
        <w:t xml:space="preserve"> </w:t>
      </w:r>
      <w:hyperlink r:id="rId106">
        <w:r>
          <w:rPr>
            <w:rStyle w:val="Hyperlink"/>
          </w:rPr>
          <w:t xml:space="preserve">https://doi.org/10.3354/meps273291</w:t>
        </w:r>
      </w:hyperlink>
    </w:p>
    <w:bookmarkEnd w:id="107"/>
    <w:bookmarkStart w:id="109" w:name="ref-Etherington2015NlmPyt"/>
    <w:p>
      <w:pPr>
        <w:pStyle w:val="Bibliography"/>
      </w:pPr>
      <w:r>
        <w:t xml:space="preserve">Etherington TR, Holland EP, O’Sullivan D (2015)</w:t>
      </w:r>
      <w:r>
        <w:t xml:space="preserve"> </w:t>
      </w:r>
      <w:r>
        <w:t xml:space="preserve">NLMpy</w:t>
      </w:r>
      <w:r>
        <w:t xml:space="preserve">: A python software package for the creation of neutral landscape models within a general numerical framework. Methods in Ecology and Evolution 6:164–168.</w:t>
      </w:r>
      <w:r>
        <w:t xml:space="preserve"> </w:t>
      </w:r>
      <w:hyperlink r:id="rId108">
        <w:r>
          <w:rPr>
            <w:rStyle w:val="Hyperlink"/>
          </w:rPr>
          <w:t xml:space="preserve">https://doi.org/10.1111/2041-210X.12308</w:t>
        </w:r>
      </w:hyperlink>
    </w:p>
    <w:bookmarkEnd w:id="109"/>
    <w:bookmarkStart w:id="111" w:name="ref-Ficetola2018OptMon"/>
    <w:p>
      <w:pPr>
        <w:pStyle w:val="Bibliography"/>
      </w:pPr>
      <w:r>
        <w:t xml:space="preserve">Ficetola GF, Romano A, Salvidio S, Sindaco R (2018) Optimizing monitoring schemes to detect trends in abundance over broad scales. Animal Conservation 21:221–231.</w:t>
      </w:r>
      <w:r>
        <w:t xml:space="preserve"> </w:t>
      </w:r>
      <w:hyperlink r:id="rId110">
        <w:r>
          <w:rPr>
            <w:rStyle w:val="Hyperlink"/>
          </w:rPr>
          <w:t xml:space="preserve">https://doi.org/10.1111/acv.12356</w:t>
        </w:r>
      </w:hyperlink>
    </w:p>
    <w:bookmarkEnd w:id="111"/>
    <w:bookmarkStart w:id="113" w:name="ref-FletcherJr.2025SpeRic"/>
    <w:p>
      <w:pPr>
        <w:pStyle w:val="Bibliography"/>
      </w:pPr>
      <w:r>
        <w:t xml:space="preserve">Fletcher Jr. RJ, Green RE, Bladon EK, et al (2025) Beyond</w:t>
      </w:r>
      <w:r>
        <w:t xml:space="preserve"> </w:t>
      </w:r>
      <w:r>
        <w:t xml:space="preserve">Species Richness</w:t>
      </w:r>
      <w:r>
        <w:t xml:space="preserve"> </w:t>
      </w:r>
      <w:r>
        <w:t xml:space="preserve">for</w:t>
      </w:r>
      <w:r>
        <w:t xml:space="preserve"> </w:t>
      </w:r>
      <w:r>
        <w:t xml:space="preserve">Biological Conservation</w:t>
      </w:r>
      <w:r>
        <w:t xml:space="preserve">. Conservation Letters 18:e13124.</w:t>
      </w:r>
      <w:r>
        <w:t xml:space="preserve"> </w:t>
      </w:r>
      <w:hyperlink r:id="rId112">
        <w:r>
          <w:rPr>
            <w:rStyle w:val="Hyperlink"/>
          </w:rPr>
          <w:t xml:space="preserve">https://doi.org/10.1111/conl.13124</w:t>
        </w:r>
      </w:hyperlink>
    </w:p>
    <w:bookmarkEnd w:id="113"/>
    <w:bookmarkStart w:id="115" w:name="ref-Forero-Munoz2025SpaLan"/>
    <w:p>
      <w:pPr>
        <w:pStyle w:val="Bibliography"/>
      </w:pPr>
      <w:r>
        <w:t xml:space="preserve">Forero-Muñoz NR, Dansereau G, Viard F, et al (2025) Spatial landscape structure influences cross-species transmission in a rabies-like virus model. Microorganisms 13:416.</w:t>
      </w:r>
      <w:r>
        <w:t xml:space="preserve"> </w:t>
      </w:r>
      <w:hyperlink r:id="rId114">
        <w:r>
          <w:rPr>
            <w:rStyle w:val="Hyperlink"/>
          </w:rPr>
          <w:t xml:space="preserve">https://doi.org/10.3390/microorganisms13020416</w:t>
        </w:r>
      </w:hyperlink>
    </w:p>
    <w:bookmarkEnd w:id="115"/>
    <w:bookmarkStart w:id="117" w:name="ref-Fournier1982ComRen"/>
    <w:p>
      <w:pPr>
        <w:pStyle w:val="Bibliography"/>
      </w:pPr>
      <w:r>
        <w:t xml:space="preserve">Fournier A, Fussell D, Carpenter L (1982) Computer rendering of stochastic models. Commun ACM 25:371–384.</w:t>
      </w:r>
      <w:r>
        <w:t xml:space="preserve"> </w:t>
      </w:r>
      <w:hyperlink r:id="rId116">
        <w:r>
          <w:rPr>
            <w:rStyle w:val="Hyperlink"/>
          </w:rPr>
          <w:t xml:space="preserve">https://doi.org/10.1145/358523.358553</w:t>
        </w:r>
      </w:hyperlink>
    </w:p>
    <w:bookmarkEnd w:id="117"/>
    <w:bookmarkStart w:id="119" w:name="ref-Gardner1987NeuMod"/>
    <w:p>
      <w:pPr>
        <w:pStyle w:val="Bibliography"/>
      </w:pPr>
      <w:r>
        <w:t xml:space="preserve">Gardner RH, Milne BT, Turnei MG, O’Neill RV (1987) Neutral models for the analysis of broad-scale landscape pattern. Landscape Ecol 1:19–28.</w:t>
      </w:r>
      <w:r>
        <w:t xml:space="preserve"> </w:t>
      </w:r>
      <w:hyperlink r:id="rId118">
        <w:r>
          <w:rPr>
            <w:rStyle w:val="Hyperlink"/>
          </w:rPr>
          <w:t xml:space="preserve">https://doi.org/10.1007/BF02275262</w:t>
        </w:r>
      </w:hyperlink>
    </w:p>
    <w:bookmarkEnd w:id="119"/>
    <w:bookmarkStart w:id="121" w:name="ref-Garzke2019TroInt"/>
    <w:p>
      <w:pPr>
        <w:pStyle w:val="Bibliography"/>
      </w:pPr>
      <w:r>
        <w:t xml:space="preserve">Garzke J, Connor SJ, Sommer U, O’Connor MI (2019) Trophic interactions modify the temperature dependence of community biomass and ecosystem function. PLOS Biology 17:e2006806.</w:t>
      </w:r>
      <w:r>
        <w:t xml:space="preserve"> </w:t>
      </w:r>
      <w:hyperlink r:id="rId120">
        <w:r>
          <w:rPr>
            <w:rStyle w:val="Hyperlink"/>
          </w:rPr>
          <w:t xml:space="preserve">https://doi.org/10.1371/journal.pbio.2006806</w:t>
        </w:r>
      </w:hyperlink>
    </w:p>
    <w:bookmarkEnd w:id="121"/>
    <w:bookmarkStart w:id="123" w:name="ref-Gibbons2010NonSta"/>
    <w:p>
      <w:pPr>
        <w:pStyle w:val="Bibliography"/>
      </w:pPr>
      <w:r>
        <w:t xml:space="preserve">Gibbons JD, Chakraborti S (2010)</w:t>
      </w:r>
      <w:r>
        <w:t xml:space="preserve"> </w:t>
      </w:r>
      <w:hyperlink r:id="rId122">
        <w:r>
          <w:rPr>
            <w:rStyle w:val="Hyperlink"/>
          </w:rPr>
          <w:t xml:space="preserve">Nonparametric</w:t>
        </w:r>
        <w:r>
          <w:rPr>
            <w:rStyle w:val="Hyperlink"/>
          </w:rPr>
          <w:t xml:space="preserve"> </w:t>
        </w:r>
        <w:r>
          <w:rPr>
            <w:rStyle w:val="Hyperlink"/>
          </w:rPr>
          <w:t xml:space="preserve">Statistical Inference</w:t>
        </w:r>
      </w:hyperlink>
      <w:r>
        <w:t xml:space="preserve">. CRC Press</w:t>
      </w:r>
    </w:p>
    <w:bookmarkEnd w:id="123"/>
    <w:bookmarkStart w:id="125" w:name="ref-Gonzalez2025BioObs"/>
    <w:p>
      <w:pPr>
        <w:pStyle w:val="Bibliography"/>
      </w:pPr>
      <w:r>
        <w:t xml:space="preserve">Gonzalez A, O’Connor MI, Bates AE, et al (2025) A</w:t>
      </w:r>
      <w:r>
        <w:t xml:space="preserve"> </w:t>
      </w:r>
      <w:r>
        <w:t xml:space="preserve">Biodiversity Observation Network</w:t>
      </w:r>
      <w:r>
        <w:t xml:space="preserve"> </w:t>
      </w:r>
      <w:r>
        <w:t xml:space="preserve">to support conservation action and mainstream knowledge in</w:t>
      </w:r>
      <w:r>
        <w:t xml:space="preserve"> </w:t>
      </w:r>
      <w:r>
        <w:t xml:space="preserve">Canada</w:t>
      </w:r>
      <w:r>
        <w:t xml:space="preserve">. FACETS 10:1–19.</w:t>
      </w:r>
      <w:r>
        <w:t xml:space="preserve"> </w:t>
      </w:r>
      <w:hyperlink r:id="rId124">
        <w:r>
          <w:rPr>
            <w:rStyle w:val="Hyperlink"/>
          </w:rPr>
          <w:t xml:space="preserve">https://doi.org/10.1139/facets-2024-0206</w:t>
        </w:r>
      </w:hyperlink>
    </w:p>
    <w:bookmarkEnd w:id="125"/>
    <w:bookmarkStart w:id="127" w:name="ref-Gonzalez2023GloBio"/>
    <w:p>
      <w:pPr>
        <w:pStyle w:val="Bibliography"/>
      </w:pPr>
      <w:r>
        <w:t xml:space="preserve">Gonzalez A, Vihervaara P, Balvanera P, et al (2023) A global biodiversity observing system to unite monitoring and guide action. Nat Ecol Evol 1–5.</w:t>
      </w:r>
      <w:r>
        <w:t xml:space="preserve"> </w:t>
      </w:r>
      <w:hyperlink r:id="rId126">
        <w:r>
          <w:rPr>
            <w:rStyle w:val="Hyperlink"/>
          </w:rPr>
          <w:t xml:space="preserve">https://doi.org/10.1038/s41559-023-02171-0</w:t>
        </w:r>
      </w:hyperlink>
    </w:p>
    <w:bookmarkEnd w:id="127"/>
    <w:bookmarkStart w:id="129" w:name="ref-Gravel2013InfFoo"/>
    <w:p>
      <w:pPr>
        <w:pStyle w:val="Bibliography"/>
      </w:pPr>
      <w:r>
        <w:t xml:space="preserve">Gravel D, Poisot T, Albouy C, et al (2013) Inferring food web structure from predator–prey body size relationships. Methods in Ecology and Evolution 4:1083–1090.</w:t>
      </w:r>
      <w:r>
        <w:t xml:space="preserve"> </w:t>
      </w:r>
      <w:hyperlink r:id="rId128">
        <w:r>
          <w:rPr>
            <w:rStyle w:val="Hyperlink"/>
          </w:rPr>
          <w:t xml:space="preserve">https://doi.org/10.1111/2041-210X.12103</w:t>
        </w:r>
      </w:hyperlink>
    </w:p>
    <w:bookmarkEnd w:id="129"/>
    <w:bookmarkStart w:id="131" w:name="ref-Harvey2017BriEco"/>
    <w:p>
      <w:pPr>
        <w:pStyle w:val="Bibliography"/>
      </w:pPr>
      <w:r>
        <w:t xml:space="preserve">Harvey E, Gounand I, Ward CL, Altermatt F (2017) Bridging ecology and conservation: From ecological networks to ecosystem function. Journal of Applied Ecology 54:371–379.</w:t>
      </w:r>
      <w:r>
        <w:t xml:space="preserve"> </w:t>
      </w:r>
      <w:hyperlink r:id="rId130">
        <w:r>
          <w:rPr>
            <w:rStyle w:val="Hyperlink"/>
          </w:rPr>
          <w:t xml:space="preserve">https://doi.org/10.1111/1365-2664.12769</w:t>
        </w:r>
      </w:hyperlink>
    </w:p>
    <w:bookmarkEnd w:id="131"/>
    <w:bookmarkStart w:id="133" w:name="ref-Henriksen2019EffNet"/>
    <w:p>
      <w:pPr>
        <w:pStyle w:val="Bibliography"/>
      </w:pPr>
      <w:r>
        <w:t xml:space="preserve">Henriksen MV, Chapple DG, Chown SL, McGeoch MA (2019) The effect of network size and sampling completeness in depauperate networks. Journal of Animal Ecology 88:211–222.</w:t>
      </w:r>
      <w:r>
        <w:t xml:space="preserve"> </w:t>
      </w:r>
      <w:hyperlink r:id="rId132">
        <w:r>
          <w:rPr>
            <w:rStyle w:val="Hyperlink"/>
          </w:rPr>
          <w:t xml:space="preserve">https://doi.org/10.1111/1365-2656.12912</w:t>
        </w:r>
      </w:hyperlink>
    </w:p>
    <w:bookmarkEnd w:id="133"/>
    <w:bookmarkStart w:id="135" w:name="ref-Hesselbarth2024ComMet"/>
    <w:p>
      <w:pPr>
        <w:pStyle w:val="Bibliography"/>
      </w:pPr>
      <w:r>
        <w:t xml:space="preserve">Hesselbarth MHK, Nowosad J, de Flamingh A, et al (2024) Computational</w:t>
      </w:r>
      <w:r>
        <w:t xml:space="preserve"> </w:t>
      </w:r>
      <w:r>
        <w:t xml:space="preserve">Methods</w:t>
      </w:r>
      <w:r>
        <w:t xml:space="preserve"> </w:t>
      </w:r>
      <w:r>
        <w:t xml:space="preserve">in</w:t>
      </w:r>
      <w:r>
        <w:t xml:space="preserve"> </w:t>
      </w:r>
      <w:r>
        <w:t xml:space="preserve">Landscape Ecology</w:t>
      </w:r>
      <w:r>
        <w:t xml:space="preserve">. Curr Landscape Ecol Rep 10:2.</w:t>
      </w:r>
      <w:r>
        <w:t xml:space="preserve"> </w:t>
      </w:r>
      <w:hyperlink r:id="rId134">
        <w:r>
          <w:rPr>
            <w:rStyle w:val="Hyperlink"/>
          </w:rPr>
          <w:t xml:space="preserve">https://doi.org/10.1007/s40823-024-00104-6</w:t>
        </w:r>
      </w:hyperlink>
    </w:p>
    <w:bookmarkEnd w:id="135"/>
    <w:bookmarkStart w:id="137" w:name="ref-Hillebrand2018BioCha"/>
    <w:p>
      <w:pPr>
        <w:pStyle w:val="Bibliography"/>
      </w:pPr>
      <w:r>
        <w:t xml:space="preserve">Hillebrand H, Blasius B, Borer ET, et al (2018) Biodiversity change is uncoupled from species richness trends:</w:t>
      </w:r>
      <w:r>
        <w:t xml:space="preserve"> </w:t>
      </w:r>
      <w:r>
        <w:t xml:space="preserve">Consequences</w:t>
      </w:r>
      <w:r>
        <w:t xml:space="preserve"> </w:t>
      </w:r>
      <w:r>
        <w:t xml:space="preserve">for conservation and monitoring. Journal of Applied Ecology 55:169–184.</w:t>
      </w:r>
      <w:r>
        <w:t xml:space="preserve"> </w:t>
      </w:r>
      <w:hyperlink r:id="rId136">
        <w:r>
          <w:rPr>
            <w:rStyle w:val="Hyperlink"/>
          </w:rPr>
          <w:t xml:space="preserve">https://doi.org/10.1111/1365-2664.12959</w:t>
        </w:r>
      </w:hyperlink>
    </w:p>
    <w:bookmarkEnd w:id="137"/>
    <w:bookmarkStart w:id="139" w:name="ref-Hortal2015SevSho"/>
    <w:p>
      <w:pPr>
        <w:pStyle w:val="Bibliography"/>
      </w:pPr>
      <w:r>
        <w:t xml:space="preserve">Hortal J, de Bello F, Diniz-Filho JAF, et al (2015) Seven</w:t>
      </w:r>
      <w:r>
        <w:t xml:space="preserve"> </w:t>
      </w:r>
      <w:r>
        <w:t xml:space="preserve">Shortfalls</w:t>
      </w:r>
      <w:r>
        <w:t xml:space="preserve"> </w:t>
      </w:r>
      <w:r>
        <w:t xml:space="preserve">that</w:t>
      </w:r>
      <w:r>
        <w:t xml:space="preserve"> </w:t>
      </w:r>
      <w:r>
        <w:t xml:space="preserve">Beset Large-Scale Knowledge</w:t>
      </w:r>
      <w:r>
        <w:t xml:space="preserve"> </w:t>
      </w:r>
      <w:r>
        <w:t xml:space="preserve">of</w:t>
      </w:r>
      <w:r>
        <w:t xml:space="preserve"> </w:t>
      </w:r>
      <w:r>
        <w:t xml:space="preserve">Biodiversity</w:t>
      </w:r>
      <w:r>
        <w:t xml:space="preserve">. Annu Rev Ecol Evol Syst 46:523–549.</w:t>
      </w:r>
      <w:r>
        <w:t xml:space="preserve"> </w:t>
      </w:r>
      <w:hyperlink r:id="rId138">
        <w:r>
          <w:rPr>
            <w:rStyle w:val="Hyperlink"/>
          </w:rPr>
          <w:t xml:space="preserve">https://doi.org/10.1146/annurev-ecolsys-112414-054400</w:t>
        </w:r>
      </w:hyperlink>
    </w:p>
    <w:bookmarkEnd w:id="139"/>
    <w:bookmarkStart w:id="141" w:name="ref-Jordano2016ChaEco"/>
    <w:p>
      <w:pPr>
        <w:pStyle w:val="Bibliography"/>
      </w:pPr>
      <w:r>
        <w:t xml:space="preserve">Jordano P (2016a) Chasing</w:t>
      </w:r>
      <w:r>
        <w:t xml:space="preserve"> </w:t>
      </w:r>
      <w:r>
        <w:t xml:space="preserve">Ecological Interactions</w:t>
      </w:r>
      <w:r>
        <w:t xml:space="preserve">. PLOS Biology 14:e1002559.</w:t>
      </w:r>
      <w:r>
        <w:t xml:space="preserve"> </w:t>
      </w:r>
      <w:hyperlink r:id="rId140">
        <w:r>
          <w:rPr>
            <w:rStyle w:val="Hyperlink"/>
          </w:rPr>
          <w:t xml:space="preserve">https://doi.org/10.1371/journal.pbio.1002559</w:t>
        </w:r>
      </w:hyperlink>
    </w:p>
    <w:bookmarkEnd w:id="141"/>
    <w:bookmarkStart w:id="143" w:name="ref-Jordano2016SamNet"/>
    <w:p>
      <w:pPr>
        <w:pStyle w:val="Bibliography"/>
      </w:pPr>
      <w:r>
        <w:t xml:space="preserve">Jordano P (2016b) Sampling networks of ecological interactions. Functional Ecology 30:1883–1893.</w:t>
      </w:r>
      <w:r>
        <w:t xml:space="preserve"> </w:t>
      </w:r>
      <w:hyperlink r:id="rId142">
        <w:r>
          <w:rPr>
            <w:rStyle w:val="Hyperlink"/>
          </w:rPr>
          <w:t xml:space="preserve">https://doi.org/10.1111/1365-2435.12763</w:t>
        </w:r>
      </w:hyperlink>
    </w:p>
    <w:bookmarkEnd w:id="143"/>
    <w:bookmarkStart w:id="145" w:name="ref-Kermorvant2019SpaBal"/>
    <w:p>
      <w:pPr>
        <w:pStyle w:val="Bibliography"/>
      </w:pPr>
      <w:r>
        <w:t xml:space="preserve">Kermorvant C, D’Amico F, Bru N, et al (2019) Spatially balanced sampling designs for environmental surveys. Environ Monit Assess 191:524.</w:t>
      </w:r>
      <w:r>
        <w:t xml:space="preserve"> </w:t>
      </w:r>
      <w:hyperlink r:id="rId144">
        <w:r>
          <w:rPr>
            <w:rStyle w:val="Hyperlink"/>
          </w:rPr>
          <w:t xml:space="preserve">https://doi.org/10.1007/s10661-019-7666-y</w:t>
        </w:r>
      </w:hyperlink>
    </w:p>
    <w:bookmarkEnd w:id="145"/>
    <w:bookmarkStart w:id="147" w:name="ref-Kissling2024ModEff"/>
    <w:p>
      <w:pPr>
        <w:pStyle w:val="Bibliography"/>
      </w:pPr>
      <w:r>
        <w:t xml:space="preserve">Kissling WD, Breeze TD, Liquete C, et al (2024)</w:t>
      </w:r>
      <w:r>
        <w:t xml:space="preserve"> </w:t>
      </w:r>
      <w:hyperlink r:id="rId146">
        <w:r>
          <w:rPr>
            <w:rStyle w:val="Hyperlink"/>
          </w:rPr>
          <w:t xml:space="preserve">Towards a modern and efficient</w:t>
        </w:r>
        <w:r>
          <w:rPr>
            <w:rStyle w:val="Hyperlink"/>
          </w:rPr>
          <w:t xml:space="preserve"> </w:t>
        </w:r>
        <w:r>
          <w:rPr>
            <w:rStyle w:val="Hyperlink"/>
          </w:rPr>
          <w:t xml:space="preserve">European</w:t>
        </w:r>
        <w:r>
          <w:rPr>
            <w:rStyle w:val="Hyperlink"/>
          </w:rPr>
          <w:t xml:space="preserve"> </w:t>
        </w:r>
        <w:r>
          <w:rPr>
            <w:rStyle w:val="Hyperlink"/>
          </w:rPr>
          <w:t xml:space="preserve">biodiversity observation network fit for multiple policies</w:t>
        </w:r>
      </w:hyperlink>
    </w:p>
    <w:bookmarkEnd w:id="147"/>
    <w:bookmarkStart w:id="149" w:name="ref-Lange2023ActLea"/>
    <w:p>
      <w:pPr>
        <w:pStyle w:val="Bibliography"/>
      </w:pPr>
      <w:r>
        <w:t xml:space="preserve">Lange C, Cole E, Van Horn G, Mac Aodha O (2023)</w:t>
      </w:r>
      <w:r>
        <w:t xml:space="preserve"> </w:t>
      </w:r>
      <w:hyperlink r:id="rId148">
        <w:r>
          <w:rPr>
            <w:rStyle w:val="Hyperlink"/>
          </w:rPr>
          <w:t xml:space="preserve">Active</w:t>
        </w:r>
        <w:r>
          <w:rPr>
            <w:rStyle w:val="Hyperlink"/>
          </w:rPr>
          <w:t xml:space="preserve"> </w:t>
        </w:r>
        <w:r>
          <w:rPr>
            <w:rStyle w:val="Hyperlink"/>
          </w:rPr>
          <w:t xml:space="preserve">Learning-Based Species Range Estimation</w:t>
        </w:r>
      </w:hyperlink>
      <w:r>
        <w:t xml:space="preserve">. Advances in Neural Information Processing Systems 36:41892–41913</w:t>
      </w:r>
    </w:p>
    <w:bookmarkEnd w:id="149"/>
    <w:bookmarkStart w:id="150" w:name="ref-Lewis1994SeqAlg"/>
    <w:p>
      <w:pPr>
        <w:pStyle w:val="Bibliography"/>
      </w:pPr>
      <w:r>
        <w:t xml:space="preserve">Lewis DD, Gale WA (1994) A sequential algorithm for training text classifiers. In: Proceedings of the 17th annual international</w:t>
      </w:r>
      <w:r>
        <w:t xml:space="preserve"> </w:t>
      </w:r>
      <w:r>
        <w:t xml:space="preserve">ACM SIGIR</w:t>
      </w:r>
      <w:r>
        <w:t xml:space="preserve"> </w:t>
      </w:r>
      <w:r>
        <w:t xml:space="preserve">conference on</w:t>
      </w:r>
      <w:r>
        <w:t xml:space="preserve"> </w:t>
      </w:r>
      <w:r>
        <w:t xml:space="preserve">Research</w:t>
      </w:r>
      <w:r>
        <w:t xml:space="preserve"> </w:t>
      </w:r>
      <w:r>
        <w:t xml:space="preserve">and development in information retrieval. Springer-Verlag, Berlin, Heidelberg, pp 3–12</w:t>
      </w:r>
    </w:p>
    <w:bookmarkEnd w:id="150"/>
    <w:bookmarkStart w:id="152" w:name="ref-Malek2019OptFie"/>
    <w:p>
      <w:pPr>
        <w:pStyle w:val="Bibliography"/>
      </w:pPr>
      <w:r>
        <w:t xml:space="preserve">Malek S, Miglietta F, Gobakken T, et al (2019) Optimizing</w:t>
      </w:r>
      <w:r>
        <w:t xml:space="preserve"> </w:t>
      </w:r>
      <w:r>
        <w:t xml:space="preserve">Field Data Collection</w:t>
      </w:r>
      <w:r>
        <w:t xml:space="preserve"> </w:t>
      </w:r>
      <w:r>
        <w:t xml:space="preserve">for</w:t>
      </w:r>
      <w:r>
        <w:t xml:space="preserve"> </w:t>
      </w:r>
      <w:r>
        <w:t xml:space="preserve">Individual Tree Attribute Predictions Using Active Learning Methods</w:t>
      </w:r>
      <w:r>
        <w:t xml:space="preserve">. Remote Sensing 11:949.</w:t>
      </w:r>
      <w:r>
        <w:t xml:space="preserve"> </w:t>
      </w:r>
      <w:hyperlink r:id="rId151">
        <w:r>
          <w:rPr>
            <w:rStyle w:val="Hyperlink"/>
          </w:rPr>
          <w:t xml:space="preserve">https://doi.org/10.3390/rs11080949</w:t>
        </w:r>
      </w:hyperlink>
    </w:p>
    <w:bookmarkEnd w:id="152"/>
    <w:bookmarkStart w:id="154" w:name="ref-McCann2007ProBio"/>
    <w:p>
      <w:pPr>
        <w:pStyle w:val="Bibliography"/>
      </w:pPr>
      <w:r>
        <w:t xml:space="preserve">McCann K (2007) Protecting biostructure. Nature 446:29–29.</w:t>
      </w:r>
      <w:r>
        <w:t xml:space="preserve"> </w:t>
      </w:r>
      <w:hyperlink r:id="rId153">
        <w:r>
          <w:rPr>
            <w:rStyle w:val="Hyperlink"/>
          </w:rPr>
          <w:t xml:space="preserve">https://doi.org/10.1038/446029a</w:t>
        </w:r>
      </w:hyperlink>
    </w:p>
    <w:bookmarkEnd w:id="154"/>
    <w:bookmarkStart w:id="156" w:name="ref-McLeod2021SamAsy"/>
    <w:p>
      <w:pPr>
        <w:pStyle w:val="Bibliography"/>
      </w:pPr>
      <w:r>
        <w:t xml:space="preserve">McLeod A, Leroux SJ, Gravel D, et al (2021) Sampling and asymptotic network properties of spatial multi-trophic networks. Oikos 130:2250–2259.</w:t>
      </w:r>
      <w:r>
        <w:t xml:space="preserve"> </w:t>
      </w:r>
      <w:hyperlink r:id="rId155">
        <w:r>
          <w:rPr>
            <w:rStyle w:val="Hyperlink"/>
          </w:rPr>
          <w:t xml:space="preserve">https://doi.org/10.1111/oik.08650</w:t>
        </w:r>
      </w:hyperlink>
    </w:p>
    <w:bookmarkEnd w:id="156"/>
    <w:bookmarkStart w:id="158" w:name="ref-Mestre2022DisFoo"/>
    <w:p>
      <w:pPr>
        <w:pStyle w:val="Bibliography"/>
      </w:pPr>
      <w:r>
        <w:t xml:space="preserve">Mestre F, Gravel D, García-Callejas D, et al (2022) Disentangling food-web environment relationships:</w:t>
      </w:r>
      <w:r>
        <w:t xml:space="preserve"> </w:t>
      </w:r>
      <w:r>
        <w:t xml:space="preserve">A</w:t>
      </w:r>
      <w:r>
        <w:t xml:space="preserve"> </w:t>
      </w:r>
      <w:r>
        <w:t xml:space="preserve">review with guidelines. Basic and Applied Ecology 61:102–115.</w:t>
      </w:r>
      <w:r>
        <w:t xml:space="preserve"> </w:t>
      </w:r>
      <w:hyperlink r:id="rId157">
        <w:r>
          <w:rPr>
            <w:rStyle w:val="Hyperlink"/>
          </w:rPr>
          <w:t xml:space="preserve">https://doi.org/10.1016/j.baae.2022.03.011</w:t>
        </w:r>
      </w:hyperlink>
    </w:p>
    <w:bookmarkEnd w:id="158"/>
    <w:bookmarkStart w:id="160" w:name="ref-Moracho2025RebEco"/>
    <w:p>
      <w:pPr>
        <w:pStyle w:val="Bibliography"/>
      </w:pPr>
      <w:r>
        <w:t xml:space="preserve">Moracho E, Normand S, Ordonez A (2025) Rebuilding ecological networks:</w:t>
      </w:r>
      <w:r>
        <w:t xml:space="preserve"> </w:t>
      </w:r>
      <w:r>
        <w:t xml:space="preserve">A</w:t>
      </w:r>
      <w:r>
        <w:t xml:space="preserve"> </w:t>
      </w:r>
      <w:r>
        <w:t xml:space="preserve">multi-scale approach to global restoration. Biological Conservation 312:111477.</w:t>
      </w:r>
      <w:r>
        <w:t xml:space="preserve"> </w:t>
      </w:r>
      <w:hyperlink r:id="rId159">
        <w:r>
          <w:rPr>
            <w:rStyle w:val="Hyperlink"/>
          </w:rPr>
          <w:t xml:space="preserve">https://doi.org/10.1016/j.biocon.2025.111477</w:t>
        </w:r>
      </w:hyperlink>
    </w:p>
    <w:bookmarkEnd w:id="160"/>
    <w:bookmarkStart w:id="162" w:name="ref-Morales-Castilla2015InfBio"/>
    <w:p>
      <w:pPr>
        <w:pStyle w:val="Bibliography"/>
      </w:pPr>
      <w:r>
        <w:t xml:space="preserve">Morales-Castilla I, Matias MG, Gravel D, Araújo MB (2015) Inferring biotic interactions from proxies. Trends in Ecology &amp; Evolution 30:347–356.</w:t>
      </w:r>
      <w:r>
        <w:t xml:space="preserve"> </w:t>
      </w:r>
      <w:hyperlink r:id="rId161">
        <w:r>
          <w:rPr>
            <w:rStyle w:val="Hyperlink"/>
          </w:rPr>
          <w:t xml:space="preserve">https://doi.org/10.1016/j.tree.2015.03.014</w:t>
        </w:r>
      </w:hyperlink>
    </w:p>
    <w:bookmarkEnd w:id="162"/>
    <w:bookmarkStart w:id="164" w:name="ref-Navarro2017MonBio"/>
    <w:p>
      <w:pPr>
        <w:pStyle w:val="Bibliography"/>
      </w:pPr>
      <w:r>
        <w:t xml:space="preserve">Navarro LM, Fernández N, Guerra C, et al (2017) Monitoring biodiversity change through effective global coordination. Current Opinion in Environmental Sustainability 29:158–169.</w:t>
      </w:r>
      <w:r>
        <w:t xml:space="preserve"> </w:t>
      </w:r>
      <w:hyperlink r:id="rId163">
        <w:r>
          <w:rPr>
            <w:rStyle w:val="Hyperlink"/>
          </w:rPr>
          <w:t xml:space="preserve">https://doi.org/10.1016/j.cosust.2018.02.005</w:t>
        </w:r>
      </w:hyperlink>
    </w:p>
    <w:bookmarkEnd w:id="164"/>
    <w:bookmarkStart w:id="166" w:name="ref-Norman2025SitSel"/>
    <w:p>
      <w:pPr>
        <w:pStyle w:val="Bibliography"/>
      </w:pPr>
      <w:r>
        <w:t xml:space="preserve">Norman KE, Poisot T (2025) Site selection algorithms for optimal ecological monitoring design. Ecological Indicators 178:114104.</w:t>
      </w:r>
      <w:r>
        <w:t xml:space="preserve"> </w:t>
      </w:r>
      <w:hyperlink r:id="rId165">
        <w:r>
          <w:rPr>
            <w:rStyle w:val="Hyperlink"/>
          </w:rPr>
          <w:t xml:space="preserve">https://doi.org/10.1016/j.ecolind.2025.114104</w:t>
        </w:r>
      </w:hyperlink>
    </w:p>
    <w:bookmarkEnd w:id="166"/>
    <w:bookmarkStart w:id="168" w:name="ref-Pires2017FriPar"/>
    <w:p>
      <w:pPr>
        <w:pStyle w:val="Bibliography"/>
      </w:pPr>
      <w:r>
        <w:t xml:space="preserve">Pires MM, Marquitti FMD, Guimarães PR (2017) The friendship paradox in species-rich ecological networks:</w:t>
      </w:r>
      <w:r>
        <w:t xml:space="preserve"> </w:t>
      </w:r>
      <w:r>
        <w:t xml:space="preserve">Implications</w:t>
      </w:r>
      <w:r>
        <w:t xml:space="preserve"> </w:t>
      </w:r>
      <w:r>
        <w:t xml:space="preserve">for conservation and monitoring. Biological Conservation 209:245–252.</w:t>
      </w:r>
      <w:r>
        <w:t xml:space="preserve"> </w:t>
      </w:r>
      <w:hyperlink r:id="rId167">
        <w:r>
          <w:rPr>
            <w:rStyle w:val="Hyperlink"/>
          </w:rPr>
          <w:t xml:space="preserve">https://doi.org/10.1016/j.biocon.2017.02.026</w:t>
        </w:r>
      </w:hyperlink>
    </w:p>
    <w:bookmarkEnd w:id="168"/>
    <w:bookmarkStart w:id="170" w:name="ref-Poisot2023GuiPre"/>
    <w:p>
      <w:pPr>
        <w:pStyle w:val="Bibliography"/>
      </w:pPr>
      <w:r>
        <w:t xml:space="preserve">Poisot T (2023) Guidelines for the prediction of species interactions through binary classification. Methods in Ecology and Evolution 14:1333–1345.</w:t>
      </w:r>
      <w:r>
        <w:t xml:space="preserve"> </w:t>
      </w:r>
      <w:hyperlink r:id="rId169">
        <w:r>
          <w:rPr>
            <w:rStyle w:val="Hyperlink"/>
          </w:rPr>
          <w:t xml:space="preserve">https://doi.org/10.1111/2041-210X.14071</w:t>
        </w:r>
      </w:hyperlink>
    </w:p>
    <w:bookmarkEnd w:id="170"/>
    <w:bookmarkStart w:id="172" w:name="ref-Poisot2024ConPre"/>
    <w:p>
      <w:pPr>
        <w:pStyle w:val="Bibliography"/>
      </w:pPr>
      <w:r>
        <w:t xml:space="preserve">Poisot T (2024)</w:t>
      </w:r>
      <w:r>
        <w:t xml:space="preserve"> </w:t>
      </w:r>
      <w:hyperlink r:id="rId171">
        <w:r>
          <w:rPr>
            <w:rStyle w:val="Hyperlink"/>
          </w:rPr>
          <w:t xml:space="preserve">Conformal</w:t>
        </w:r>
        <w:r>
          <w:rPr>
            <w:rStyle w:val="Hyperlink"/>
          </w:rPr>
          <w:t xml:space="preserve"> </w:t>
        </w:r>
        <w:r>
          <w:rPr>
            <w:rStyle w:val="Hyperlink"/>
          </w:rPr>
          <w:t xml:space="preserve">Prediction</w:t>
        </w:r>
        <w:r>
          <w:rPr>
            <w:rStyle w:val="Hyperlink"/>
          </w:rPr>
          <w:t xml:space="preserve"> </w:t>
        </w:r>
        <w:r>
          <w:rPr>
            <w:rStyle w:val="Hyperlink"/>
          </w:rPr>
          <w:t xml:space="preserve">quantifies the uncertainty of</w:t>
        </w:r>
        <w:r>
          <w:rPr>
            <w:rStyle w:val="Hyperlink"/>
          </w:rPr>
          <w:t xml:space="preserve"> </w:t>
        </w:r>
        <w:r>
          <w:rPr>
            <w:rStyle w:val="Hyperlink"/>
          </w:rPr>
          <w:t xml:space="preserve">Species Distribution Models</w:t>
        </w:r>
      </w:hyperlink>
    </w:p>
    <w:bookmarkEnd w:id="172"/>
    <w:bookmarkStart w:id="174" w:name="ref-Poisot2021GloKno"/>
    <w:p>
      <w:pPr>
        <w:pStyle w:val="Bibliography"/>
      </w:pPr>
      <w:r>
        <w:t xml:space="preserve">Poisot T, Bergeron G, Cazelles K, et al (2021) Global knowledge gaps in species interaction networks data. Journal of Biogeography 48:1552–1563.</w:t>
      </w:r>
      <w:r>
        <w:t xml:space="preserve"> </w:t>
      </w:r>
      <w:hyperlink r:id="rId173">
        <w:r>
          <w:rPr>
            <w:rStyle w:val="Hyperlink"/>
          </w:rPr>
          <w:t xml:space="preserve">https://doi.org/10.1111/jbi.14127</w:t>
        </w:r>
      </w:hyperlink>
    </w:p>
    <w:bookmarkEnd w:id="174"/>
    <w:bookmarkStart w:id="176" w:name="ref-Poisot2012DisSpe"/>
    <w:p>
      <w:pPr>
        <w:pStyle w:val="Bibliography"/>
      </w:pPr>
      <w:r>
        <w:t xml:space="preserve">Poisot T, Canard E, Mouillot D, et al (2012) The dissimilarity of species interaction networks. Ecology Letters 15:1353–1361.</w:t>
      </w:r>
      <w:r>
        <w:t xml:space="preserve"> </w:t>
      </w:r>
      <w:hyperlink r:id="rId175">
        <w:r>
          <w:rPr>
            <w:rStyle w:val="Hyperlink"/>
          </w:rPr>
          <w:t xml:space="preserve">https://doi.org/10.1111/ele.12002</w:t>
        </w:r>
      </w:hyperlink>
    </w:p>
    <w:bookmarkEnd w:id="176"/>
    <w:bookmarkStart w:id="178" w:name="ref-Poisot2015SpeWhy"/>
    <w:p>
      <w:pPr>
        <w:pStyle w:val="Bibliography"/>
      </w:pPr>
      <w:r>
        <w:t xml:space="preserve">Poisot T, Stouffer DB, Gravel D (2015) Beyond species: Why ecological interaction networks vary through space and time. Oikos 124:243–251.</w:t>
      </w:r>
      <w:r>
        <w:t xml:space="preserve"> </w:t>
      </w:r>
      <w:hyperlink r:id="rId177">
        <w:r>
          <w:rPr>
            <w:rStyle w:val="Hyperlink"/>
          </w:rPr>
          <w:t xml:space="preserve">https://doi.org/10.1111/oik.01719</w:t>
        </w:r>
      </w:hyperlink>
    </w:p>
    <w:bookmarkEnd w:id="178"/>
    <w:bookmarkStart w:id="180" w:name="ref-Preston1948ComRar"/>
    <w:p>
      <w:pPr>
        <w:pStyle w:val="Bibliography"/>
      </w:pPr>
      <w:r>
        <w:t xml:space="preserve">Preston FW (1948) The</w:t>
      </w:r>
      <w:r>
        <w:t xml:space="preserve"> </w:t>
      </w:r>
      <w:r>
        <w:t xml:space="preserve">Commonness</w:t>
      </w:r>
      <w:r>
        <w:t xml:space="preserve">,</w:t>
      </w:r>
      <w:r>
        <w:t xml:space="preserve"> </w:t>
      </w:r>
      <w:r>
        <w:t xml:space="preserve">And Rarity</w:t>
      </w:r>
      <w:r>
        <w:t xml:space="preserve">, of</w:t>
      </w:r>
      <w:r>
        <w:t xml:space="preserve"> </w:t>
      </w:r>
      <w:r>
        <w:t xml:space="preserve">Species</w:t>
      </w:r>
      <w:r>
        <w:t xml:space="preserve">. Ecology 29:254–283.</w:t>
      </w:r>
      <w:r>
        <w:t xml:space="preserve"> </w:t>
      </w:r>
      <w:hyperlink r:id="rId179">
        <w:r>
          <w:rPr>
            <w:rStyle w:val="Hyperlink"/>
          </w:rPr>
          <w:t xml:space="preserve">https://doi.org/10.2307/1930989</w:t>
        </w:r>
      </w:hyperlink>
    </w:p>
    <w:bookmarkEnd w:id="180"/>
    <w:bookmarkStart w:id="182" w:name="ref-RejiChacko2025SpeLos"/>
    <w:p>
      <w:pPr>
        <w:pStyle w:val="Bibliography"/>
      </w:pPr>
      <w:r>
        <w:t xml:space="preserve">Reji Chacko M, Albouy C, Altermatt F, et al (2025) Species loss in key habitats accelerates regional food web disruption. Commun Biol 8:988.</w:t>
      </w:r>
      <w:r>
        <w:t xml:space="preserve"> </w:t>
      </w:r>
      <w:hyperlink r:id="rId181">
        <w:r>
          <w:rPr>
            <w:rStyle w:val="Hyperlink"/>
          </w:rPr>
          <w:t xml:space="preserve">https://doi.org/10.1038/s42003-025-08396-y</w:t>
        </w:r>
      </w:hyperlink>
    </w:p>
    <w:bookmarkEnd w:id="182"/>
    <w:bookmarkStart w:id="184" w:name="ref-Rioux2022TroNic"/>
    <w:p>
      <w:pPr>
        <w:pStyle w:val="Bibliography"/>
      </w:pPr>
      <w:r>
        <w:t xml:space="preserve">Rioux È, Pelletier F, St-Laurent M-H (2022) Trophic niche partitioning between two prey and their incidental predators revealed various threats for an endangered species. Ecology and Evolution 12:e8742.</w:t>
      </w:r>
      <w:r>
        <w:t xml:space="preserve"> </w:t>
      </w:r>
      <w:hyperlink r:id="rId183">
        <w:r>
          <w:rPr>
            <w:rStyle w:val="Hyperlink"/>
          </w:rPr>
          <w:t xml:space="preserve">https://doi.org/10.1002/ece3.8742</w:t>
        </w:r>
      </w:hyperlink>
    </w:p>
    <w:bookmarkEnd w:id="184"/>
    <w:bookmarkStart w:id="185" w:name="ref-Robertson2013BasBal"/>
    <w:p>
      <w:pPr>
        <w:pStyle w:val="Bibliography"/>
      </w:pPr>
      <w:r>
        <w:t xml:space="preserve">Robertson BL, Brown JA, McDonald T, Jaksons P (2013)</w:t>
      </w:r>
      <w:r>
        <w:t xml:space="preserve"> </w:t>
      </w:r>
      <w:r>
        <w:t xml:space="preserve">BAS</w:t>
      </w:r>
      <w:r>
        <w:t xml:space="preserve">:</w:t>
      </w:r>
      <w:r>
        <w:t xml:space="preserve"> </w:t>
      </w:r>
      <w:r>
        <w:t xml:space="preserve">Balanced</w:t>
      </w:r>
      <w:r>
        <w:t xml:space="preserve"> </w:t>
      </w:r>
      <w:r>
        <w:t xml:space="preserve">acceptance sampling of natural resources. Biometrics 69:776–784</w:t>
      </w:r>
    </w:p>
    <w:bookmarkEnd w:id="185"/>
    <w:bookmarkStart w:id="187" w:name="ref-Robertson2017ModBal"/>
    <w:p>
      <w:pPr>
        <w:pStyle w:val="Bibliography"/>
      </w:pPr>
      <w:r>
        <w:t xml:space="preserve">Robertson BL, McDonald T, Price CJ, Brown JA (2017) A modification of balanced acceptance sampling. Statistics &amp; Probability Letters 129:107–112.</w:t>
      </w:r>
      <w:r>
        <w:t xml:space="preserve"> </w:t>
      </w:r>
      <w:hyperlink r:id="rId186">
        <w:r>
          <w:rPr>
            <w:rStyle w:val="Hyperlink"/>
          </w:rPr>
          <w:t xml:space="preserve">https://doi.org/10.1016/j.spl.2017.05.004</w:t>
        </w:r>
      </w:hyperlink>
    </w:p>
    <w:bookmarkEnd w:id="187"/>
    <w:bookmarkStart w:id="189" w:name="ref-Robertson2024WelSam"/>
    <w:p>
      <w:pPr>
        <w:pStyle w:val="Bibliography"/>
      </w:pPr>
      <w:r>
        <w:t xml:space="preserve">Robertson B, Price C, Reale M (2024) Well-spread samples with dynamic sample sizes. Biometrics 80:ujae026.</w:t>
      </w:r>
      <w:r>
        <w:t xml:space="preserve"> </w:t>
      </w:r>
      <w:hyperlink r:id="rId188">
        <w:r>
          <w:rPr>
            <w:rStyle w:val="Hyperlink"/>
          </w:rPr>
          <w:t xml:space="preserve">https://doi.org/10.1093/biomtc/ujae026</w:t>
        </w:r>
      </w:hyperlink>
    </w:p>
    <w:bookmarkEnd w:id="189"/>
    <w:bookmarkStart w:id="191" w:name="ref-Santana2025LarBio"/>
    <w:p>
      <w:pPr>
        <w:pStyle w:val="Bibliography"/>
      </w:pPr>
      <w:r>
        <w:t xml:space="preserve">Santana J, Porto M, Morán-Ordóñez A, et al (2025) Large</w:t>
      </w:r>
      <w:r>
        <w:t xml:space="preserve"> </w:t>
      </w:r>
      <w:r>
        <w:t xml:space="preserve">Biodiversity Monitoring Gaps Remain Across Europe</w:t>
      </w:r>
      <w:r>
        <w:t xml:space="preserve">. Conservation Letters 18:e13134.</w:t>
      </w:r>
      <w:r>
        <w:t xml:space="preserve"> </w:t>
      </w:r>
      <w:hyperlink r:id="rId190">
        <w:r>
          <w:rPr>
            <w:rStyle w:val="Hyperlink"/>
          </w:rPr>
          <w:t xml:space="preserve">https://doi.org/10.1111/conl.13134</w:t>
        </w:r>
      </w:hyperlink>
    </w:p>
    <w:bookmarkEnd w:id="191"/>
    <w:bookmarkStart w:id="193" w:name="ref-Settles2009ActLea"/>
    <w:p>
      <w:pPr>
        <w:pStyle w:val="Bibliography"/>
      </w:pPr>
      <w:r>
        <w:t xml:space="preserve">Settles B (2009)</w:t>
      </w:r>
      <w:r>
        <w:t xml:space="preserve"> </w:t>
      </w:r>
      <w:hyperlink r:id="rId192">
        <w:r>
          <w:rPr>
            <w:rStyle w:val="Hyperlink"/>
          </w:rPr>
          <w:t xml:space="preserve">Active</w:t>
        </w:r>
        <w:r>
          <w:rPr>
            <w:rStyle w:val="Hyperlink"/>
          </w:rPr>
          <w:t xml:space="preserve"> </w:t>
        </w:r>
        <w:r>
          <w:rPr>
            <w:rStyle w:val="Hyperlink"/>
          </w:rPr>
          <w:t xml:space="preserve">Learning Literature Survey</w:t>
        </w:r>
      </w:hyperlink>
      <w:r>
        <w:t xml:space="preserve">. University of Wisconsin-Madison Department of Computer Sciences</w:t>
      </w:r>
    </w:p>
    <w:bookmarkEnd w:id="193"/>
    <w:bookmarkStart w:id="195" w:name="ref-Simard2024ResSui"/>
    <w:p>
      <w:pPr>
        <w:pStyle w:val="Bibliography"/>
      </w:pPr>
      <w:r>
        <w:t xml:space="preserve">Simard A (2024)</w:t>
      </w:r>
      <w:r>
        <w:t xml:space="preserve"> </w:t>
      </w:r>
      <w:hyperlink r:id="rId194">
        <w:r>
          <w:rPr>
            <w:rStyle w:val="Hyperlink"/>
          </w:rPr>
          <w:t xml:space="preserve">Le</w:t>
        </w:r>
        <w:r>
          <w:rPr>
            <w:rStyle w:val="Hyperlink"/>
          </w:rPr>
          <w:t xml:space="preserve"> </w:t>
        </w:r>
        <w:r>
          <w:rPr>
            <w:rStyle w:val="Hyperlink"/>
          </w:rPr>
          <w:t xml:space="preserve">Réseau</w:t>
        </w:r>
        <w:r>
          <w:rPr>
            <w:rStyle w:val="Hyperlink"/>
          </w:rPr>
          <w:t xml:space="preserve"> </w:t>
        </w:r>
        <w:r>
          <w:rPr>
            <w:rStyle w:val="Hyperlink"/>
          </w:rPr>
          <w:t xml:space="preserve">de suivi de la biodiversité: Un outil pour mesurer l’effet des changements climatiques sur notre patrimoine naturel</w:t>
        </w:r>
      </w:hyperlink>
      <w:r>
        <w:t xml:space="preserve">. Natura 4:13–22</w:t>
      </w:r>
    </w:p>
    <w:bookmarkEnd w:id="195"/>
    <w:bookmarkStart w:id="197" w:name="ref-Smith-Ramesh2017GloSyn"/>
    <w:p>
      <w:pPr>
        <w:pStyle w:val="Bibliography"/>
      </w:pPr>
      <w:r>
        <w:t xml:space="preserve">Smith-Ramesh LM, Moore AC, Schmitz OJ (2017) Global synthesis suggests that food web connectance correlates to invasion resistance. Global Change Biology 23:465–473.</w:t>
      </w:r>
      <w:r>
        <w:t xml:space="preserve"> </w:t>
      </w:r>
      <w:hyperlink r:id="rId196">
        <w:r>
          <w:rPr>
            <w:rStyle w:val="Hyperlink"/>
          </w:rPr>
          <w:t xml:space="preserve">https://doi.org/10.1111/gcb.13460</w:t>
        </w:r>
      </w:hyperlink>
    </w:p>
    <w:bookmarkEnd w:id="197"/>
    <w:bookmarkStart w:id="199" w:name="ref-Thompson2017DisGov"/>
    <w:p>
      <w:pPr>
        <w:pStyle w:val="Bibliography"/>
      </w:pPr>
      <w:r>
        <w:t xml:space="preserve">Thompson PL, Gonzalez A (2017) Dispersal governs the reorganization of ecological networks under environmental change. Nat Ecol Evol 1:1–8.</w:t>
      </w:r>
      <w:r>
        <w:t xml:space="preserve"> </w:t>
      </w:r>
      <w:hyperlink r:id="rId198">
        <w:r>
          <w:rPr>
            <w:rStyle w:val="Hyperlink"/>
          </w:rPr>
          <w:t xml:space="preserve">https://doi.org/10.1038/s41559-017-0162</w:t>
        </w:r>
      </w:hyperlink>
    </w:p>
    <w:bookmarkEnd w:id="199"/>
    <w:bookmarkStart w:id="201" w:name="ref-Tobias2025BioCon"/>
    <w:p>
      <w:pPr>
        <w:pStyle w:val="Bibliography"/>
      </w:pPr>
      <w:r>
        <w:t xml:space="preserve">Tobias JA, Bullock JM, Dicks LV, et al (2025) Biodiversity conservation requires integration of species-centric and process-based strategies. Proceedings of the National Academy of Sciences 122:e2410936122.</w:t>
      </w:r>
      <w:r>
        <w:t xml:space="preserve"> </w:t>
      </w:r>
      <w:hyperlink r:id="rId200">
        <w:r>
          <w:rPr>
            <w:rStyle w:val="Hyperlink"/>
          </w:rPr>
          <w:t xml:space="preserve">https://doi.org/10.1073/pnas.2410936122</w:t>
        </w:r>
      </w:hyperlink>
    </w:p>
    <w:bookmarkEnd w:id="201"/>
    <w:bookmarkStart w:id="203" w:name="ref-UnitedNations1992ConBio"/>
    <w:p>
      <w:pPr>
        <w:pStyle w:val="Bibliography"/>
      </w:pPr>
      <w:r>
        <w:t xml:space="preserve">United Nations (1992)</w:t>
      </w:r>
      <w:r>
        <w:t xml:space="preserve"> </w:t>
      </w:r>
      <w:hyperlink r:id="rId202">
        <w:r>
          <w:rPr>
            <w:rStyle w:val="Hyperlink"/>
          </w:rPr>
          <w:t xml:space="preserve">Convention on</w:t>
        </w:r>
        <w:r>
          <w:rPr>
            <w:rStyle w:val="Hyperlink"/>
          </w:rPr>
          <w:t xml:space="preserve"> </w:t>
        </w:r>
        <w:r>
          <w:rPr>
            <w:rStyle w:val="Hyperlink"/>
          </w:rPr>
          <w:t xml:space="preserve">Biological Diversity</w:t>
        </w:r>
        <w:r>
          <w:rPr>
            <w:rStyle w:val="Hyperlink"/>
          </w:rPr>
          <w:t xml:space="preserve"> </w:t>
        </w:r>
        <w:r>
          <w:rPr>
            <w:rStyle w:val="Hyperlink"/>
          </w:rPr>
          <w:t xml:space="preserve">(text with annexes)</w:t>
        </w:r>
      </w:hyperlink>
      <w:r>
        <w:t xml:space="preserve">. United Nations, New Yoek</w:t>
      </w:r>
    </w:p>
    <w:bookmarkEnd w:id="203"/>
    <w:bookmarkStart w:id="205" w:name="ref-Valente2022LanLan"/>
    <w:p>
      <w:pPr>
        <w:pStyle w:val="Bibliography"/>
      </w:pPr>
      <w:r>
        <w:t xml:space="preserve">Valente JJ, Bennett RE, Gómez C, et al (2022) Land-sparing and land-sharing provide complementary benefits for conserving avian biodiversity in coffee-growing landscapes. Biological Conservation 270:109568.</w:t>
      </w:r>
      <w:r>
        <w:t xml:space="preserve"> </w:t>
      </w:r>
      <w:hyperlink r:id="rId204">
        <w:r>
          <w:rPr>
            <w:rStyle w:val="Hyperlink"/>
          </w:rPr>
          <w:t xml:space="preserve">https://doi.org/10.1016/j.biocon.2022.109568</w:t>
        </w:r>
      </w:hyperlink>
    </w:p>
    <w:bookmarkEnd w:id="205"/>
    <w:bookmarkStart w:id="207" w:name="ref-Valiente-Banuet2015SpeLos"/>
    <w:p>
      <w:pPr>
        <w:pStyle w:val="Bibliography"/>
      </w:pPr>
      <w:r>
        <w:t xml:space="preserve">Valiente-Banuet A, Aizen MA, Alcántara JM, et al (2015) Beyond species loss: The extinction of ecological interactions in a changing world. Functional Ecology 29:299–307.</w:t>
      </w:r>
      <w:r>
        <w:t xml:space="preserve"> </w:t>
      </w:r>
      <w:hyperlink r:id="rId206">
        <w:r>
          <w:rPr>
            <w:rStyle w:val="Hyperlink"/>
          </w:rPr>
          <w:t xml:space="preserve">https://doi.org/10.1111/1365-2435.12356</w:t>
        </w:r>
      </w:hyperlink>
    </w:p>
    <w:bookmarkEnd w:id="207"/>
    <w:bookmarkStart w:id="209" w:name="ref-vanDam-Bates2018UsiBal"/>
    <w:p>
      <w:pPr>
        <w:pStyle w:val="Bibliography"/>
      </w:pPr>
      <w:r>
        <w:t xml:space="preserve">van Dam-Bates P, Gansell O, Robertson B (2018) Using balanced acceptance sampling as a master sample for environmental surveys. Methods in Ecology and Evolution 9:1718–1726.</w:t>
      </w:r>
      <w:r>
        <w:t xml:space="preserve"> </w:t>
      </w:r>
      <w:hyperlink r:id="rId208">
        <w:r>
          <w:rPr>
            <w:rStyle w:val="Hyperlink"/>
          </w:rPr>
          <w:t xml:space="preserve">https://doi.org/10.1111/2041-210X.13003</w:t>
        </w:r>
      </w:hyperlink>
    </w:p>
    <w:bookmarkEnd w:id="209"/>
    <w:bookmarkStart w:id="211" w:name="ref-Vizentin-Bugoni2016InfSam"/>
    <w:p>
      <w:pPr>
        <w:pStyle w:val="Bibliography"/>
      </w:pPr>
      <w:r>
        <w:t xml:space="preserve">Vizentin-Bugoni J, Maruyama PK, Debastiani VJ, et al (2016) Influences of sampling effort on detected patterns and structuring processes of a</w:t>
      </w:r>
      <w:r>
        <w:t xml:space="preserve"> </w:t>
      </w:r>
      <w:r>
        <w:t xml:space="preserve">Neotropical</w:t>
      </w:r>
      <w:r>
        <w:t xml:space="preserve"> </w:t>
      </w:r>
      <w:r>
        <w:t xml:space="preserve">plant–hummingbird network. Journal of Animal Ecology 85:262–272.</w:t>
      </w:r>
      <w:r>
        <w:t xml:space="preserve"> </w:t>
      </w:r>
      <w:hyperlink r:id="rId210">
        <w:r>
          <w:rPr>
            <w:rStyle w:val="Hyperlink"/>
          </w:rPr>
          <w:t xml:space="preserve">https://doi.org/10.1111/1365-2656.12459</w:t>
        </w:r>
      </w:hyperlink>
    </w:p>
    <w:bookmarkEnd w:id="211"/>
    <w:bookmarkStart w:id="213" w:name="ref-Williams2000SimRul"/>
    <w:p>
      <w:pPr>
        <w:pStyle w:val="Bibliography"/>
      </w:pPr>
      <w:r>
        <w:t xml:space="preserve">Williams RJ, Martinez ND (2000) Simple rules yield complex food webs. Nature 404:180–183.</w:t>
      </w:r>
      <w:r>
        <w:t xml:space="preserve"> </w:t>
      </w:r>
      <w:hyperlink r:id="rId212">
        <w:r>
          <w:rPr>
            <w:rStyle w:val="Hyperlink"/>
          </w:rPr>
          <w:t xml:space="preserve">https://doi.org/10.1038/35004572</w:t>
        </w:r>
      </w:hyperlink>
    </w:p>
    <w:bookmarkEnd w:id="213"/>
    <w:bookmarkStart w:id="215" w:name="ref-Williams2008SucIts"/>
    <w:p>
      <w:pPr>
        <w:pStyle w:val="Bibliography"/>
      </w:pPr>
      <w:r>
        <w:t xml:space="preserve">Williams RJ, Martinez ND (2008) Success and its limits among structural models of complex food webs. Journal of Animal Ecology 77:512–519.</w:t>
      </w:r>
      <w:r>
        <w:t xml:space="preserve"> </w:t>
      </w:r>
      <w:hyperlink r:id="rId214">
        <w:r>
          <w:rPr>
            <w:rStyle w:val="Hyperlink"/>
          </w:rPr>
          <w:t xml:space="preserve">https://doi.org/10.1111/j.1365-2656.2008.01362.x</w:t>
        </w:r>
      </w:hyperlink>
    </w:p>
    <w:bookmarkEnd w:id="215"/>
    <w:bookmarkStart w:id="217" w:name="ref-Willig2023ProBio"/>
    <w:p>
      <w:pPr>
        <w:pStyle w:val="Bibliography"/>
      </w:pPr>
      <w:r>
        <w:t xml:space="preserve">Willig MR, Presley SJ, Klingbeil BT, et al (2023) Protecting biodiversity via conservation networks:</w:t>
      </w:r>
      <w:r>
        <w:t xml:space="preserve"> </w:t>
      </w:r>
      <w:r>
        <w:t xml:space="preserve">Taxonomic</w:t>
      </w:r>
      <w:r>
        <w:t xml:space="preserve">, functional, and phylogenetic considerations. Biological Conservation 278:109876.</w:t>
      </w:r>
      <w:r>
        <w:t xml:space="preserve"> </w:t>
      </w:r>
      <w:hyperlink r:id="rId216">
        <w:r>
          <w:rPr>
            <w:rStyle w:val="Hyperlink"/>
          </w:rPr>
          <w:t xml:space="preserve">https://doi.org/10.1016/j.biocon.2022.109876</w:t>
        </w:r>
      </w:hyperlink>
    </w:p>
    <w:bookmarkEnd w:id="217"/>
    <w:bookmarkStart w:id="219" w:name="ref-Windsor2023UsiEco"/>
    <w:p>
      <w:pPr>
        <w:pStyle w:val="Bibliography"/>
      </w:pPr>
      <w:r>
        <w:t xml:space="preserve">Windsor FM, van den Hoogen J, Crowther TW, Evans DM (2023) Using ecological networks to answer questions in global biogeography and ecology. Journal of Biogeography 50:57–69.</w:t>
      </w:r>
      <w:r>
        <w:t xml:space="preserve"> </w:t>
      </w:r>
      <w:hyperlink r:id="rId218">
        <w:r>
          <w:rPr>
            <w:rStyle w:val="Hyperlink"/>
          </w:rPr>
          <w:t xml:space="preserve">https://doi.org/10.1111/jbi.14447</w:t>
        </w:r>
      </w:hyperlink>
    </w:p>
    <w:bookmarkEnd w:id="219"/>
    <w:bookmarkStart w:id="221" w:name="ref-Wood2015EffSpa"/>
    <w:p>
      <w:pPr>
        <w:pStyle w:val="Bibliography"/>
      </w:pPr>
      <w:r>
        <w:t xml:space="preserve">Wood SA, Russell R, Hanson D, et al (2015) Effects of spatial scale of sampling on food web structure. Ecology and Evolution 5:3769–3782.</w:t>
      </w:r>
      <w:r>
        <w:t xml:space="preserve"> </w:t>
      </w:r>
      <w:hyperlink r:id="rId220">
        <w:r>
          <w:rPr>
            <w:rStyle w:val="Hyperlink"/>
          </w:rPr>
          <w:t xml:space="preserve">https://doi.org/10.1002/ece3.1640</w:t>
        </w:r>
      </w:hyperlink>
    </w:p>
    <w:bookmarkEnd w:id="221"/>
    <w:bookmarkStart w:id="223" w:name="ref-Xu2017OptMon"/>
    <w:p>
      <w:pPr>
        <w:pStyle w:val="Bibliography"/>
      </w:pPr>
      <w:r>
        <w:t xml:space="preserve">Xu H, Cao M, Wu Y, et al (2017) Optimized monitoring sites for detection of biodiversity trends in</w:t>
      </w:r>
      <w:r>
        <w:t xml:space="preserve"> </w:t>
      </w:r>
      <w:r>
        <w:t xml:space="preserve">China</w:t>
      </w:r>
      <w:r>
        <w:t xml:space="preserve">. Biodivers Conserv 26:1959–1971.</w:t>
      </w:r>
      <w:r>
        <w:t xml:space="preserve"> </w:t>
      </w:r>
      <w:hyperlink r:id="rId222">
        <w:r>
          <w:rPr>
            <w:rStyle w:val="Hyperlink"/>
          </w:rPr>
          <w:t xml:space="preserve">https://doi.org/10.1007/s10531-017-1339-3</w:t>
        </w:r>
      </w:hyperlink>
    </w:p>
    <w:bookmarkEnd w:id="223"/>
    <w:bookmarkStart w:id="225" w:name="ref-Yi2022ChiBio"/>
    <w:p>
      <w:pPr>
        <w:pStyle w:val="Bibliography"/>
      </w:pPr>
      <w:r>
        <w:t xml:space="preserve">Yi J, Ma F, Li J, et al (2022) China</w:t>
      </w:r>
      <w:r>
        <w:t xml:space="preserve"> </w:t>
      </w:r>
      <w:r>
        <w:t xml:space="preserve">Biodiversity Observation Network</w:t>
      </w:r>
      <w:r>
        <w:t xml:space="preserve"> </w:t>
      </w:r>
      <w:r>
        <w:t xml:space="preserve">for better global sustainability developments. Eco-Environment &amp; Health 1:201–203.</w:t>
      </w:r>
      <w:r>
        <w:t xml:space="preserve"> </w:t>
      </w:r>
      <w:hyperlink r:id="rId224">
        <w:r>
          <w:rPr>
            <w:rStyle w:val="Hyperlink"/>
          </w:rPr>
          <w:t xml:space="preserve">https://doi.org/10.1016/j.eehl.2022.11.001</w:t>
        </w:r>
      </w:hyperlink>
    </w:p>
    <w:bookmarkEnd w:id="225"/>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 Type="http://schemas.openxmlformats.org/officeDocument/2006/relationships/hyperlink" Id="rId122" Target="https://books.google.com?id=kh3SBQAAQBAJ" TargetMode="External" /><Relationship Type="http://schemas.openxmlformats.org/officeDocument/2006/relationships/hyperlink" Id="rId54" Target="https://doi.org/10.1002/ece3.11094" TargetMode="External" /><Relationship Type="http://schemas.openxmlformats.org/officeDocument/2006/relationships/hyperlink" Id="rId220" Target="https://doi.org/10.1002/ece3.1640" TargetMode="External" /><Relationship Type="http://schemas.openxmlformats.org/officeDocument/2006/relationships/hyperlink" Id="rId183" Target="https://doi.org/10.1002/ece3.8742" TargetMode="External" /><Relationship Type="http://schemas.openxmlformats.org/officeDocument/2006/relationships/hyperlink" Id="rId92" Target="https://doi.org/10.1002/ecs2.4786" TargetMode="External" /><Relationship Type="http://schemas.openxmlformats.org/officeDocument/2006/relationships/hyperlink" Id="rId118"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222" Target="https://doi.org/10.1007/s10531-017-1339-3" TargetMode="External" /><Relationship Type="http://schemas.openxmlformats.org/officeDocument/2006/relationships/hyperlink" Id="rId68" Target="https://doi.org/10.1007/s10661-014-3643-7" TargetMode="External" /><Relationship Type="http://schemas.openxmlformats.org/officeDocument/2006/relationships/hyperlink" Id="rId144" Target="https://doi.org/10.1007/s10661-019-7666-y" TargetMode="External" /><Relationship Type="http://schemas.openxmlformats.org/officeDocument/2006/relationships/hyperlink" Id="rId102" Target="https://doi.org/10.1007/s10980-022-01586-7" TargetMode="External" /><Relationship Type="http://schemas.openxmlformats.org/officeDocument/2006/relationships/hyperlink" Id="rId134" Target="https://doi.org/10.1007/s40823-024-00104-6" TargetMode="External" /><Relationship Type="http://schemas.openxmlformats.org/officeDocument/2006/relationships/hyperlink" Id="rId157" Target="https://doi.org/10.1016/j.baae.2022.03.011" TargetMode="External" /><Relationship Type="http://schemas.openxmlformats.org/officeDocument/2006/relationships/hyperlink" Id="rId167" Target="https://doi.org/10.1016/j.biocon.2017.02.026" TargetMode="External" /><Relationship Type="http://schemas.openxmlformats.org/officeDocument/2006/relationships/hyperlink" Id="rId70" Target="https://doi.org/10.1016/j.biocon.2021.108983" TargetMode="External" /><Relationship Type="http://schemas.openxmlformats.org/officeDocument/2006/relationships/hyperlink" Id="rId204" Target="https://doi.org/10.1016/j.biocon.2022.109568" TargetMode="External" /><Relationship Type="http://schemas.openxmlformats.org/officeDocument/2006/relationships/hyperlink" Id="rId216" Target="https://doi.org/10.1016/j.biocon.2022.109876" TargetMode="External" /><Relationship Type="http://schemas.openxmlformats.org/officeDocument/2006/relationships/hyperlink" Id="rId159" Target="https://doi.org/10.1016/j.biocon.2025.111477" TargetMode="External" /><Relationship Type="http://schemas.openxmlformats.org/officeDocument/2006/relationships/hyperlink" Id="rId163" Target="https://doi.org/10.1016/j.cosust.2018.02.005" TargetMode="External" /><Relationship Type="http://schemas.openxmlformats.org/officeDocument/2006/relationships/hyperlink" Id="rId165" Target="https://doi.org/10.1016/j.ecolind.2025.114104" TargetMode="External" /><Relationship Type="http://schemas.openxmlformats.org/officeDocument/2006/relationships/hyperlink" Id="rId224" Target="https://doi.org/10.1016/j.eehl.2022.11.001" TargetMode="External" /><Relationship Type="http://schemas.openxmlformats.org/officeDocument/2006/relationships/hyperlink" Id="rId186" Target="https://doi.org/10.1016/j.spl.2017.05.004" TargetMode="External" /><Relationship Type="http://schemas.openxmlformats.org/officeDocument/2006/relationships/hyperlink" Id="rId161" Target="https://doi.org/10.1016/j.tree.2015.03.014" TargetMode="External" /><Relationship Type="http://schemas.openxmlformats.org/officeDocument/2006/relationships/hyperlink" Id="rId90" Target="https://doi.org/10.1016/j.tree.2025.05.010" TargetMode="External" /><Relationship Type="http://schemas.openxmlformats.org/officeDocument/2006/relationships/hyperlink" Id="rId212" Target="https://doi.org/10.1038/35004572" TargetMode="External" /><Relationship Type="http://schemas.openxmlformats.org/officeDocument/2006/relationships/hyperlink" Id="rId153" Target="https://doi.org/10.1038/446029a" TargetMode="External" /><Relationship Type="http://schemas.openxmlformats.org/officeDocument/2006/relationships/hyperlink" Id="rId198" Target="https://doi.org/10.1038/s41559-017-0162" TargetMode="External" /><Relationship Type="http://schemas.openxmlformats.org/officeDocument/2006/relationships/hyperlink" Id="rId126" Target="https://doi.org/10.1038/s41559-023-02171-0" TargetMode="External" /><Relationship Type="http://schemas.openxmlformats.org/officeDocument/2006/relationships/hyperlink" Id="rId181" Target="https://doi.org/10.1038/s42003-025-08396-y" TargetMode="External" /><Relationship Type="http://schemas.openxmlformats.org/officeDocument/2006/relationships/hyperlink" Id="rId104" Target="https://doi.org/10.1046/j.1461-0248.2002.00354.x" TargetMode="External" /><Relationship Type="http://schemas.openxmlformats.org/officeDocument/2006/relationships/hyperlink" Id="rId200" Target="https://doi.org/10.1073/pnas.2410936122" TargetMode="External" /><Relationship Type="http://schemas.openxmlformats.org/officeDocument/2006/relationships/hyperlink" Id="rId188"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100" Target="https://doi.org/10.1098/rstb.2022.0199" TargetMode="External" /><Relationship Type="http://schemas.openxmlformats.org/officeDocument/2006/relationships/hyperlink" Id="rId88" Target="https://doi.org/10.1098/rstb.2023.0166" TargetMode="External" /><Relationship Type="http://schemas.openxmlformats.org/officeDocument/2006/relationships/hyperlink" Id="rId206" Target="https://doi.org/10.1111/1365-2435.12356" TargetMode="External" /><Relationship Type="http://schemas.openxmlformats.org/officeDocument/2006/relationships/hyperlink" Id="rId142" Target="https://doi.org/10.1111/1365-2435.12763" TargetMode="External" /><Relationship Type="http://schemas.openxmlformats.org/officeDocument/2006/relationships/hyperlink" Id="rId210" Target="https://doi.org/10.1111/1365-2656.12459" TargetMode="External" /><Relationship Type="http://schemas.openxmlformats.org/officeDocument/2006/relationships/hyperlink" Id="rId132" Target="https://doi.org/10.1111/1365-2656.12912" TargetMode="External" /><Relationship Type="http://schemas.openxmlformats.org/officeDocument/2006/relationships/hyperlink" Id="rId130" Target="https://doi.org/10.1111/1365-2664.12769" TargetMode="External" /><Relationship Type="http://schemas.openxmlformats.org/officeDocument/2006/relationships/hyperlink" Id="rId136" Target="https://doi.org/10.1111/1365-2664.12959" TargetMode="External" /><Relationship Type="http://schemas.openxmlformats.org/officeDocument/2006/relationships/hyperlink" Id="rId128" Target="https://doi.org/10.1111/2041-210X.12103" TargetMode="External" /><Relationship Type="http://schemas.openxmlformats.org/officeDocument/2006/relationships/hyperlink" Id="rId108" Target="https://doi.org/10.1111/2041-210X.12308" TargetMode="External" /><Relationship Type="http://schemas.openxmlformats.org/officeDocument/2006/relationships/hyperlink" Id="rId208"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9" Target="https://doi.org/10.1111/2041-210X.14071" TargetMode="External" /><Relationship Type="http://schemas.openxmlformats.org/officeDocument/2006/relationships/hyperlink" Id="rId110" Target="https://doi.org/10.1111/acv.12356" TargetMode="External" /><Relationship Type="http://schemas.openxmlformats.org/officeDocument/2006/relationships/hyperlink" Id="rId96" Target="https://doi.org/10.1111/brv.12433" TargetMode="External" /><Relationship Type="http://schemas.openxmlformats.org/officeDocument/2006/relationships/hyperlink" Id="rId112" Target="https://doi.org/10.1111/conl.13124" TargetMode="External" /><Relationship Type="http://schemas.openxmlformats.org/officeDocument/2006/relationships/hyperlink" Id="rId190"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75" Target="https://doi.org/10.1111/ele.12002" TargetMode="External" /><Relationship Type="http://schemas.openxmlformats.org/officeDocument/2006/relationships/hyperlink" Id="rId196" Target="https://doi.org/10.1111/gcb.13460" TargetMode="External" /><Relationship Type="http://schemas.openxmlformats.org/officeDocument/2006/relationships/hyperlink" Id="rId98"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214"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73" Target="https://doi.org/10.1111/jbi.14127" TargetMode="External" /><Relationship Type="http://schemas.openxmlformats.org/officeDocument/2006/relationships/hyperlink" Id="rId218" Target="https://doi.org/10.1111/jbi.14447" TargetMode="External" /><Relationship Type="http://schemas.openxmlformats.org/officeDocument/2006/relationships/hyperlink" Id="rId177" Target="https://doi.org/10.1111/oik.01719" TargetMode="External" /><Relationship Type="http://schemas.openxmlformats.org/officeDocument/2006/relationships/hyperlink" Id="rId155"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24" Target="https://doi.org/10.1139/facets-2024-0206" TargetMode="External" /><Relationship Type="http://schemas.openxmlformats.org/officeDocument/2006/relationships/hyperlink" Id="rId116" Target="https://doi.org/10.1145/358523.358553" TargetMode="External" /><Relationship Type="http://schemas.openxmlformats.org/officeDocument/2006/relationships/hyperlink" Id="rId138" Target="https://doi.org/10.1146/annurev-ecolsys-112414-054400" TargetMode="External" /><Relationship Type="http://schemas.openxmlformats.org/officeDocument/2006/relationships/hyperlink" Id="rId66" Target="https://doi.org/10.1214/ss/1009213286" TargetMode="External" /><Relationship Type="http://schemas.openxmlformats.org/officeDocument/2006/relationships/hyperlink" Id="rId140" Target="https://doi.org/10.1371/journal.pbio.1002559" TargetMode="External" /><Relationship Type="http://schemas.openxmlformats.org/officeDocument/2006/relationships/hyperlink" Id="rId120" Target="https://doi.org/10.1371/journal.pbio.2006806" TargetMode="External" /><Relationship Type="http://schemas.openxmlformats.org/officeDocument/2006/relationships/hyperlink" Id="rId72" Target="https://doi.org/10.1371/journal.pone.0038295" TargetMode="External" /><Relationship Type="http://schemas.openxmlformats.org/officeDocument/2006/relationships/hyperlink" Id="rId179" Target="https://doi.org/10.2307/1930989" TargetMode="External" /><Relationship Type="http://schemas.openxmlformats.org/officeDocument/2006/relationships/hyperlink" Id="rId106" Target="https://doi.org/10.3354/meps273291" TargetMode="External" /><Relationship Type="http://schemas.openxmlformats.org/officeDocument/2006/relationships/hyperlink" Id="rId114" Target="https://doi.org/10.3390/microorganisms13020416" TargetMode="External" /><Relationship Type="http://schemas.openxmlformats.org/officeDocument/2006/relationships/hyperlink" Id="rId151" Target="https://doi.org/10.3390/rs11080949" TargetMode="External" /><Relationship Type="http://schemas.openxmlformats.org/officeDocument/2006/relationships/hyperlink" Id="rId86" Target="https://doi.org/10.5281/zenodo.18484358" TargetMode="External" /><Relationship Type="http://schemas.openxmlformats.org/officeDocument/2006/relationships/hyperlink" Id="rId94"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46" Target="https://ecoevorxiv.org/repository/view/7993/" TargetMode="External" /><Relationship Type="http://schemas.openxmlformats.org/officeDocument/2006/relationships/hyperlink" Id="rId171" Target="https://ecoevorxiv.org/repository/view/8041/" TargetMode="External" /><Relationship Type="http://schemas.openxmlformats.org/officeDocument/2006/relationships/hyperlink" Id="rId192" Target="https://minds.wisconsin.edu/handle/1793/60660" TargetMode="External" /><Relationship Type="http://schemas.openxmlformats.org/officeDocument/2006/relationships/hyperlink" Id="rId148" Target="https://proceedings.neurips.cc/paper_files/paper/2023/hash/82eec786fdfbbfa53450c5feb7d1ac92-Abstract-Conference.html" TargetMode="External" /><Relationship Type="http://schemas.openxmlformats.org/officeDocument/2006/relationships/hyperlink" Id="rId194" Target="https://rmnat.org/download/245251/?tmstv=1732556516" TargetMode="External" /><Relationship Type="http://schemas.openxmlformats.org/officeDocument/2006/relationships/hyperlink" Id="rId202" Target="https://www.cbd.int/convention/text" TargetMode="External" /><Relationship Type="http://schemas.openxmlformats.org/officeDocument/2006/relationships/hyperlink" Id="rId78" Target="https://www.cbd.int/doc/decisions/cop-15/cop-15-dec-04-en.pdf"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 Type="http://schemas.openxmlformats.org/officeDocument/2006/relationships/hyperlink" Id="rId122" Target="https://books.google.com?id=kh3SBQAAQBAJ" TargetMode="External" /><Relationship Type="http://schemas.openxmlformats.org/officeDocument/2006/relationships/hyperlink" Id="rId54" Target="https://doi.org/10.1002/ece3.11094" TargetMode="External" /><Relationship Type="http://schemas.openxmlformats.org/officeDocument/2006/relationships/hyperlink" Id="rId220" Target="https://doi.org/10.1002/ece3.1640" TargetMode="External" /><Relationship Type="http://schemas.openxmlformats.org/officeDocument/2006/relationships/hyperlink" Id="rId183" Target="https://doi.org/10.1002/ece3.8742" TargetMode="External" /><Relationship Type="http://schemas.openxmlformats.org/officeDocument/2006/relationships/hyperlink" Id="rId92" Target="https://doi.org/10.1002/ecs2.4786" TargetMode="External" /><Relationship Type="http://schemas.openxmlformats.org/officeDocument/2006/relationships/hyperlink" Id="rId118"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222" Target="https://doi.org/10.1007/s10531-017-1339-3" TargetMode="External" /><Relationship Type="http://schemas.openxmlformats.org/officeDocument/2006/relationships/hyperlink" Id="rId68" Target="https://doi.org/10.1007/s10661-014-3643-7" TargetMode="External" /><Relationship Type="http://schemas.openxmlformats.org/officeDocument/2006/relationships/hyperlink" Id="rId144" Target="https://doi.org/10.1007/s10661-019-7666-y" TargetMode="External" /><Relationship Type="http://schemas.openxmlformats.org/officeDocument/2006/relationships/hyperlink" Id="rId102" Target="https://doi.org/10.1007/s10980-022-01586-7" TargetMode="External" /><Relationship Type="http://schemas.openxmlformats.org/officeDocument/2006/relationships/hyperlink" Id="rId134" Target="https://doi.org/10.1007/s40823-024-00104-6" TargetMode="External" /><Relationship Type="http://schemas.openxmlformats.org/officeDocument/2006/relationships/hyperlink" Id="rId157" Target="https://doi.org/10.1016/j.baae.2022.03.011" TargetMode="External" /><Relationship Type="http://schemas.openxmlformats.org/officeDocument/2006/relationships/hyperlink" Id="rId167" Target="https://doi.org/10.1016/j.biocon.2017.02.026" TargetMode="External" /><Relationship Type="http://schemas.openxmlformats.org/officeDocument/2006/relationships/hyperlink" Id="rId70" Target="https://doi.org/10.1016/j.biocon.2021.108983" TargetMode="External" /><Relationship Type="http://schemas.openxmlformats.org/officeDocument/2006/relationships/hyperlink" Id="rId204" Target="https://doi.org/10.1016/j.biocon.2022.109568" TargetMode="External" /><Relationship Type="http://schemas.openxmlformats.org/officeDocument/2006/relationships/hyperlink" Id="rId216" Target="https://doi.org/10.1016/j.biocon.2022.109876" TargetMode="External" /><Relationship Type="http://schemas.openxmlformats.org/officeDocument/2006/relationships/hyperlink" Id="rId159" Target="https://doi.org/10.1016/j.biocon.2025.111477" TargetMode="External" /><Relationship Type="http://schemas.openxmlformats.org/officeDocument/2006/relationships/hyperlink" Id="rId163" Target="https://doi.org/10.1016/j.cosust.2018.02.005" TargetMode="External" /><Relationship Type="http://schemas.openxmlformats.org/officeDocument/2006/relationships/hyperlink" Id="rId165" Target="https://doi.org/10.1016/j.ecolind.2025.114104" TargetMode="External" /><Relationship Type="http://schemas.openxmlformats.org/officeDocument/2006/relationships/hyperlink" Id="rId224" Target="https://doi.org/10.1016/j.eehl.2022.11.001" TargetMode="External" /><Relationship Type="http://schemas.openxmlformats.org/officeDocument/2006/relationships/hyperlink" Id="rId186" Target="https://doi.org/10.1016/j.spl.2017.05.004" TargetMode="External" /><Relationship Type="http://schemas.openxmlformats.org/officeDocument/2006/relationships/hyperlink" Id="rId161" Target="https://doi.org/10.1016/j.tree.2015.03.014" TargetMode="External" /><Relationship Type="http://schemas.openxmlformats.org/officeDocument/2006/relationships/hyperlink" Id="rId90" Target="https://doi.org/10.1016/j.tree.2025.05.010" TargetMode="External" /><Relationship Type="http://schemas.openxmlformats.org/officeDocument/2006/relationships/hyperlink" Id="rId212" Target="https://doi.org/10.1038/35004572" TargetMode="External" /><Relationship Type="http://schemas.openxmlformats.org/officeDocument/2006/relationships/hyperlink" Id="rId153" Target="https://doi.org/10.1038/446029a" TargetMode="External" /><Relationship Type="http://schemas.openxmlformats.org/officeDocument/2006/relationships/hyperlink" Id="rId198" Target="https://doi.org/10.1038/s41559-017-0162" TargetMode="External" /><Relationship Type="http://schemas.openxmlformats.org/officeDocument/2006/relationships/hyperlink" Id="rId126" Target="https://doi.org/10.1038/s41559-023-02171-0" TargetMode="External" /><Relationship Type="http://schemas.openxmlformats.org/officeDocument/2006/relationships/hyperlink" Id="rId181" Target="https://doi.org/10.1038/s42003-025-08396-y" TargetMode="External" /><Relationship Type="http://schemas.openxmlformats.org/officeDocument/2006/relationships/hyperlink" Id="rId104" Target="https://doi.org/10.1046/j.1461-0248.2002.00354.x" TargetMode="External" /><Relationship Type="http://schemas.openxmlformats.org/officeDocument/2006/relationships/hyperlink" Id="rId200" Target="https://doi.org/10.1073/pnas.2410936122" TargetMode="External" /><Relationship Type="http://schemas.openxmlformats.org/officeDocument/2006/relationships/hyperlink" Id="rId188"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100" Target="https://doi.org/10.1098/rstb.2022.0199" TargetMode="External" /><Relationship Type="http://schemas.openxmlformats.org/officeDocument/2006/relationships/hyperlink" Id="rId88" Target="https://doi.org/10.1098/rstb.2023.0166" TargetMode="External" /><Relationship Type="http://schemas.openxmlformats.org/officeDocument/2006/relationships/hyperlink" Id="rId206" Target="https://doi.org/10.1111/1365-2435.12356" TargetMode="External" /><Relationship Type="http://schemas.openxmlformats.org/officeDocument/2006/relationships/hyperlink" Id="rId142" Target="https://doi.org/10.1111/1365-2435.12763" TargetMode="External" /><Relationship Type="http://schemas.openxmlformats.org/officeDocument/2006/relationships/hyperlink" Id="rId210" Target="https://doi.org/10.1111/1365-2656.12459" TargetMode="External" /><Relationship Type="http://schemas.openxmlformats.org/officeDocument/2006/relationships/hyperlink" Id="rId132" Target="https://doi.org/10.1111/1365-2656.12912" TargetMode="External" /><Relationship Type="http://schemas.openxmlformats.org/officeDocument/2006/relationships/hyperlink" Id="rId130" Target="https://doi.org/10.1111/1365-2664.12769" TargetMode="External" /><Relationship Type="http://schemas.openxmlformats.org/officeDocument/2006/relationships/hyperlink" Id="rId136" Target="https://doi.org/10.1111/1365-2664.12959" TargetMode="External" /><Relationship Type="http://schemas.openxmlformats.org/officeDocument/2006/relationships/hyperlink" Id="rId128" Target="https://doi.org/10.1111/2041-210X.12103" TargetMode="External" /><Relationship Type="http://schemas.openxmlformats.org/officeDocument/2006/relationships/hyperlink" Id="rId108" Target="https://doi.org/10.1111/2041-210X.12308" TargetMode="External" /><Relationship Type="http://schemas.openxmlformats.org/officeDocument/2006/relationships/hyperlink" Id="rId208"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9" Target="https://doi.org/10.1111/2041-210X.14071" TargetMode="External" /><Relationship Type="http://schemas.openxmlformats.org/officeDocument/2006/relationships/hyperlink" Id="rId110" Target="https://doi.org/10.1111/acv.12356" TargetMode="External" /><Relationship Type="http://schemas.openxmlformats.org/officeDocument/2006/relationships/hyperlink" Id="rId96" Target="https://doi.org/10.1111/brv.12433" TargetMode="External" /><Relationship Type="http://schemas.openxmlformats.org/officeDocument/2006/relationships/hyperlink" Id="rId112" Target="https://doi.org/10.1111/conl.13124" TargetMode="External" /><Relationship Type="http://schemas.openxmlformats.org/officeDocument/2006/relationships/hyperlink" Id="rId190"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75" Target="https://doi.org/10.1111/ele.12002" TargetMode="External" /><Relationship Type="http://schemas.openxmlformats.org/officeDocument/2006/relationships/hyperlink" Id="rId196" Target="https://doi.org/10.1111/gcb.13460" TargetMode="External" /><Relationship Type="http://schemas.openxmlformats.org/officeDocument/2006/relationships/hyperlink" Id="rId98"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214"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73" Target="https://doi.org/10.1111/jbi.14127" TargetMode="External" /><Relationship Type="http://schemas.openxmlformats.org/officeDocument/2006/relationships/hyperlink" Id="rId218" Target="https://doi.org/10.1111/jbi.14447" TargetMode="External" /><Relationship Type="http://schemas.openxmlformats.org/officeDocument/2006/relationships/hyperlink" Id="rId177" Target="https://doi.org/10.1111/oik.01719" TargetMode="External" /><Relationship Type="http://schemas.openxmlformats.org/officeDocument/2006/relationships/hyperlink" Id="rId155"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24" Target="https://doi.org/10.1139/facets-2024-0206" TargetMode="External" /><Relationship Type="http://schemas.openxmlformats.org/officeDocument/2006/relationships/hyperlink" Id="rId116" Target="https://doi.org/10.1145/358523.358553" TargetMode="External" /><Relationship Type="http://schemas.openxmlformats.org/officeDocument/2006/relationships/hyperlink" Id="rId138" Target="https://doi.org/10.1146/annurev-ecolsys-112414-054400" TargetMode="External" /><Relationship Type="http://schemas.openxmlformats.org/officeDocument/2006/relationships/hyperlink" Id="rId66" Target="https://doi.org/10.1214/ss/1009213286" TargetMode="External" /><Relationship Type="http://schemas.openxmlformats.org/officeDocument/2006/relationships/hyperlink" Id="rId140" Target="https://doi.org/10.1371/journal.pbio.1002559" TargetMode="External" /><Relationship Type="http://schemas.openxmlformats.org/officeDocument/2006/relationships/hyperlink" Id="rId120" Target="https://doi.org/10.1371/journal.pbio.2006806" TargetMode="External" /><Relationship Type="http://schemas.openxmlformats.org/officeDocument/2006/relationships/hyperlink" Id="rId72" Target="https://doi.org/10.1371/journal.pone.0038295" TargetMode="External" /><Relationship Type="http://schemas.openxmlformats.org/officeDocument/2006/relationships/hyperlink" Id="rId179" Target="https://doi.org/10.2307/1930989" TargetMode="External" /><Relationship Type="http://schemas.openxmlformats.org/officeDocument/2006/relationships/hyperlink" Id="rId106" Target="https://doi.org/10.3354/meps273291" TargetMode="External" /><Relationship Type="http://schemas.openxmlformats.org/officeDocument/2006/relationships/hyperlink" Id="rId114" Target="https://doi.org/10.3390/microorganisms13020416" TargetMode="External" /><Relationship Type="http://schemas.openxmlformats.org/officeDocument/2006/relationships/hyperlink" Id="rId151" Target="https://doi.org/10.3390/rs11080949" TargetMode="External" /><Relationship Type="http://schemas.openxmlformats.org/officeDocument/2006/relationships/hyperlink" Id="rId86" Target="https://doi.org/10.5281/zenodo.18484358" TargetMode="External" /><Relationship Type="http://schemas.openxmlformats.org/officeDocument/2006/relationships/hyperlink" Id="rId94"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46" Target="https://ecoevorxiv.org/repository/view/7993/" TargetMode="External" /><Relationship Type="http://schemas.openxmlformats.org/officeDocument/2006/relationships/hyperlink" Id="rId171" Target="https://ecoevorxiv.org/repository/view/8041/" TargetMode="External" /><Relationship Type="http://schemas.openxmlformats.org/officeDocument/2006/relationships/hyperlink" Id="rId192" Target="https://minds.wisconsin.edu/handle/1793/60660" TargetMode="External" /><Relationship Type="http://schemas.openxmlformats.org/officeDocument/2006/relationships/hyperlink" Id="rId148" Target="https://proceedings.neurips.cc/paper_files/paper/2023/hash/82eec786fdfbbfa53450c5feb7d1ac92-Abstract-Conference.html" TargetMode="External" /><Relationship Type="http://schemas.openxmlformats.org/officeDocument/2006/relationships/hyperlink" Id="rId194" Target="https://rmnat.org/download/245251/?tmstv=1732556516" TargetMode="External" /><Relationship Type="http://schemas.openxmlformats.org/officeDocument/2006/relationships/hyperlink" Id="rId202" Target="https://www.cbd.int/convention/text" TargetMode="External" /><Relationship Type="http://schemas.openxmlformats.org/officeDocument/2006/relationships/hyperlink" Id="rId78" Target="https://www.cbd.int/doc/decisions/cop-15/cop-15-dec-04-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2026-05-06T22:36:00Z</dcterms:created>
  <dcterms:modified xsi:type="dcterms:W3CDTF">2026-05-06T22:36:00Z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Our results were consistent even when the total species range was over- or underestimated by 10%, highlighting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