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cab3280670ee6531f89704cd6f04ce05dda14d"/>
    <w:p>
      <w:pPr>
        <w:pStyle w:val="Heading1"/>
        <w:spacing w:line="360" w:lineRule="auto" w:after="240"/>
        <w:jc w:val="both"/>
      </w:pPr>
      <w:r>
        <w:rPr>
          <w:rFonts w:ascii="Arial" w:hAnsi="Arial"/>
          <w:sz w:val="24"/>
        </w:rPr>
        <w:t xml:space="preserve">🤝 Handoff de Sessão: Evolução Técnica e Qualidade ISO/TCU</w:t>
      </w:r>
    </w:p>
    <w:p>
      <w:pPr>
        <w:pStyle w:val="FirstParagraph"/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Data</w:t>
      </w:r>
      <w:r>
        <w:rPr>
          <w:rFonts w:ascii="Arial" w:hAnsi="Arial"/>
          <w:sz w:val="24"/>
        </w:rPr>
        <w:t xml:space="preserve">: 23/01/2026 - 15:50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Status</w:t>
      </w:r>
      <w:r>
        <w:rPr>
          <w:rFonts w:ascii="Arial" w:hAnsi="Arial"/>
          <w:sz w:val="24"/>
        </w:rPr>
        <w:t xml:space="preserve">: [✅ Concluído / ⏭️ Preparado para Revisão Geral]</w:t>
      </w:r>
    </w:p>
    <w:bookmarkStart w:id="9" w:name="resumo-do-contexto"/>
    <w:p>
      <w:pPr>
        <w:pStyle w:val="Heading2"/>
        <w:spacing w:line="360" w:lineRule="auto" w:after="240"/>
        <w:jc w:val="both"/>
      </w:pPr>
      <w:r>
        <w:rPr>
          <w:rFonts w:ascii="Arial" w:hAnsi="Arial"/>
          <w:sz w:val="24"/>
        </w:rPr>
        <w:t xml:space="preserve">🧠 Resumo do Contexto</w:t>
      </w:r>
    </w:p>
    <w:p>
      <w:pPr>
        <w:pStyle w:val="FirstParagraph"/>
        <w:spacing w:line="360" w:lineRule="auto" w:after="240"/>
        <w:jc w:val="both"/>
      </w:pPr>
      <w:r>
        <w:rPr>
          <w:rFonts w:ascii="Arial" w:hAnsi="Arial"/>
          <w:sz w:val="24"/>
        </w:rPr>
        <w:t xml:space="preserve">A sessão de hoje representou um marco na maturidade do sistema de gestão. Saímos de uma auditoria inicial (Nota 88) para um padrão de excelência (Nota 97) através de reengenharia documental e infraestrutura agêntica.</w:t>
      </w:r>
    </w:p>
    <w:p>
      <w:pPr>
        <w:pStyle w:val="BodyText"/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Principais Entregas:</w:t>
      </w:r>
    </w:p>
    <w:p>
      <w:pPr>
        <w:pStyle w:val="Compact"/>
        <w:numPr>
          <w:ilvl w:val="0"/>
          <w:numId w:val="1001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Caderno de Indicadores v2.0</w:t>
      </w:r>
      <w:r>
        <w:rPr>
          <w:rFonts w:ascii="Arial" w:hAnsi="Arial"/>
          <w:sz w:val="24"/>
        </w:rPr>
        <w:t xml:space="preserve">: Totalmente reformulado com Histórico de Revisões, Fluxo de Feedback e campos de maturidade (Viabilidade/Origem).</w:t>
      </w:r>
    </w:p>
    <w:p>
      <w:pPr>
        <w:pStyle w:val="Compact"/>
        <w:numPr>
          <w:ilvl w:val="0"/>
          <w:numId w:val="1001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Skill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Style w:val="VerbatimChar"/>
          <w:rFonts w:ascii="Arial" w:hAnsi="Arial"/>
          <w:b/>
          <w:bCs/>
          <w:sz w:val="24"/>
        </w:rPr>
        <w:t xml:space="preserve">inteligencia-benchmarking</w:t>
      </w:r>
      <w:r>
        <w:rPr>
          <w:rFonts w:ascii="Arial" w:hAnsi="Arial"/>
          <w:sz w:val="24"/>
        </w:rPr>
        <w:t xml:space="preserve">: Nova capacidade de auditoria profissional baseada em ISO 9001 e Governança TCU.</w:t>
      </w:r>
    </w:p>
    <w:p>
      <w:pPr>
        <w:pStyle w:val="Compact"/>
        <w:numPr>
          <w:ilvl w:val="0"/>
          <w:numId w:val="1001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Orquestração de Dados</w:t>
      </w:r>
      <w:r>
        <w:rPr>
          <w:rFonts w:ascii="Arial" w:hAnsi="Arial"/>
          <w:sz w:val="24"/>
        </w:rPr>
        <w:t xml:space="preserve">: Inbox limpa, arquivos movidos para</w:t>
      </w:r>
      <w:r>
        <w:rPr>
          <w:rFonts w:ascii="Arial" w:hAnsi="Arial"/>
          <w:sz w:val="24"/>
        </w:rPr>
        <w:t xml:space="preserve"> </w:t>
      </w:r>
      <w:r>
        <w:rPr>
          <w:rStyle w:val="VerbatimChar"/>
          <w:rFonts w:ascii="Arial" w:hAnsi="Arial"/>
          <w:sz w:val="24"/>
        </w:rPr>
        <w:t xml:space="preserve">99_Base_de_Conhecimento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 </w:t>
      </w:r>
      <w:r>
        <w:rPr>
          <w:rStyle w:val="VerbatimChar"/>
          <w:rFonts w:ascii="Arial" w:hAnsi="Arial"/>
          <w:sz w:val="24"/>
        </w:rPr>
        <w:t xml:space="preserve">04_Relatorios_e_Despachos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organizada por pastas técnicas.</w:t>
      </w:r>
    </w:p>
    <w:p>
      <w:pPr>
        <w:pStyle w:val="Compact"/>
        <w:numPr>
          <w:ilvl w:val="0"/>
          <w:numId w:val="1001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Git Push</w:t>
      </w:r>
      <w:r>
        <w:rPr>
          <w:rFonts w:ascii="Arial" w:hAnsi="Arial"/>
          <w:sz w:val="24"/>
        </w:rPr>
        <w:t xml:space="preserve">: Sincronização remota realizada após resolução de conflitos de merge.</w:t>
      </w:r>
    </w:p>
    <w:bookmarkEnd w:id="9"/>
    <w:bookmarkStart w:id="10" w:name="próximas-ações"/>
    <w:p>
      <w:pPr>
        <w:pStyle w:val="Heading2"/>
        <w:spacing w:line="360" w:lineRule="auto" w:after="240"/>
        <w:jc w:val="both"/>
      </w:pPr>
      <w:r>
        <w:rPr>
          <w:rFonts w:ascii="Arial" w:hAnsi="Arial"/>
          <w:sz w:val="24"/>
        </w:rPr>
        <w:t xml:space="preserve">⏭️ Próximas Ações</w:t>
      </w:r>
    </w:p>
    <w:p>
      <w:pPr>
        <w:pStyle w:val="Compact"/>
        <w:numPr>
          <w:ilvl w:val="0"/>
          <w:numId w:val="1002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Alimentação Tática</w:t>
      </w:r>
      <w:r>
        <w:rPr>
          <w:rFonts w:ascii="Arial" w:hAnsi="Arial"/>
          <w:sz w:val="24"/>
        </w:rPr>
        <w:t xml:space="preserve">: Preencher campos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“Viabilidade”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“Origem”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para indicadores legados no Caderno V2.0.</w:t>
      </w:r>
    </w:p>
    <w:p>
      <w:pPr>
        <w:pStyle w:val="Compact"/>
        <w:numPr>
          <w:ilvl w:val="0"/>
          <w:numId w:val="1003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Benchmark CBMDF</w:t>
      </w:r>
      <w:r>
        <w:rPr>
          <w:rFonts w:ascii="Arial" w:hAnsi="Arial"/>
          <w:sz w:val="24"/>
        </w:rPr>
        <w:t xml:space="preserve">: Aplicar a nova skill para analisar a Política de Gestão de Riscos do CBMDF.</w:t>
      </w:r>
    </w:p>
    <w:p>
      <w:pPr>
        <w:pStyle w:val="Compact"/>
        <w:numPr>
          <w:ilvl w:val="0"/>
          <w:numId w:val="1004"/>
        </w:numPr>
        <w:spacing w:line="360" w:lineRule="auto" w:after="240"/>
        <w:jc w:val="both"/>
      </w:pPr>
      <w:r>
        <w:rPr>
          <w:rFonts w:ascii="Arial" w:hAnsi="Arial"/>
          <w:b/>
          <w:bCs/>
          <w:sz w:val="24"/>
        </w:rPr>
        <w:t xml:space="preserve">Publicação BGO</w:t>
      </w:r>
      <w:r>
        <w:rPr>
          <w:rFonts w:ascii="Arial" w:hAnsi="Arial"/>
          <w:sz w:val="24"/>
        </w:rPr>
        <w:t xml:space="preserve">: Preparar a minuta final (já na pasta 03_Minutas) para assinatura do Comandante-Geral.</w:t>
      </w:r>
    </w:p>
    <w:bookmarkEnd w:id="10"/>
    <w:bookmarkStart w:id="11" w:name="arquivos-críticos"/>
    <w:p>
      <w:pPr>
        <w:pStyle w:val="Heading2"/>
        <w:spacing w:line="360" w:lineRule="auto" w:after="240"/>
        <w:jc w:val="both"/>
      </w:pPr>
      <w:r>
        <w:rPr>
          <w:rFonts w:ascii="Arial" w:hAnsi="Arial"/>
          <w:sz w:val="24"/>
        </w:rPr>
        <w:t xml:space="preserve">📂 Arquivos Críticos</w:t>
      </w:r>
    </w:p>
    <w:p>
      <w:pPr>
        <w:pStyle w:val="Compact"/>
        <w:numPr>
          <w:ilvl w:val="0"/>
          <w:numId w:val="1005"/>
        </w:numPr>
        <w:spacing w:line="360" w:lineRule="auto" w:after="240"/>
        <w:jc w:val="both"/>
      </w:pPr>
      <w:r>
        <w:rPr>
          <w:rStyle w:val="VerbatimChar"/>
          <w:rFonts w:ascii="Arial" w:hAnsi="Arial"/>
          <w:sz w:val="24"/>
        </w:rPr>
        <w:t xml:space="preserve">01_Instrumentos_Oficiais/CADERNO_DE_INDICADORES_ESTRATEGICOS_v2.0.md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(Master V2)</w:t>
      </w:r>
    </w:p>
    <w:p>
      <w:pPr>
        <w:pStyle w:val="Compact"/>
        <w:numPr>
          <w:ilvl w:val="0"/>
          <w:numId w:val="1005"/>
        </w:numPr>
        <w:spacing w:line="360" w:lineRule="auto" w:after="240"/>
        <w:jc w:val="both"/>
      </w:pPr>
      <w:r>
        <w:rPr>
          <w:rStyle w:val="VerbatimChar"/>
          <w:rFonts w:ascii="Arial" w:hAnsi="Arial"/>
          <w:sz w:val="24"/>
        </w:rPr>
        <w:t xml:space="preserve">.agent/skills/inteligencia-benchmarking/SKILL.md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(Nova Skill)</w:t>
      </w:r>
    </w:p>
    <w:p>
      <w:pPr>
        <w:pStyle w:val="Compact"/>
        <w:numPr>
          <w:ilvl w:val="0"/>
          <w:numId w:val="1005"/>
        </w:numPr>
        <w:spacing w:line="360" w:lineRule="auto" w:after="240"/>
        <w:jc w:val="both"/>
      </w:pPr>
      <w:r>
        <w:rPr>
          <w:rStyle w:val="VerbatimChar"/>
          <w:rFonts w:ascii="Arial" w:hAnsi="Arial"/>
          <w:sz w:val="24"/>
        </w:rPr>
        <w:t xml:space="preserve">03_Monitoramento_e_Indicadores/04_Relatorios_e_Despachos/01_Auditorias/Auditoria_Caderno_v2.0.md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(Comprovação de Nota 97)</w:t>
      </w:r>
    </w:p>
    <w:p>
      <w:r>
        <w:pict>
          <v:rect style="width:0;height:1.5pt" o:hralign="center" o:hrstd="t" o:hr="t"/>
        </w:pict>
      </w:r>
    </w:p>
    <w:p>
      <w:pPr>
        <w:pStyle w:val="FirstParagraph"/>
        <w:spacing w:line="360" w:lineRule="auto" w:after="240"/>
        <w:jc w:val="both"/>
      </w:pPr>
      <w:r>
        <w:rPr>
          <w:rFonts w:ascii="Arial" w:hAnsi="Arial"/>
          <w:i/>
          <w:iCs/>
          <w:sz w:val="24"/>
        </w:rPr>
        <w:t xml:space="preserve">Assinatura: Agente Conductor (SGE/APO)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2026-01-23T19:34:32Z</dcterms:created>
  <dcterms:modified xsi:type="dcterms:W3CDTF">2026-01-23T19:34:32Z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