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20" w:right="12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drawing>
          <wp:inline distB="0" distT="0" distL="0" distR="0">
            <wp:extent cx="809625" cy="895350"/>
            <wp:effectExtent b="0" l="0" r="0" t="0"/>
            <wp:docPr descr="Timbre" id="1" name="image1.png"/>
            <a:graphic>
              <a:graphicData uri="http://schemas.openxmlformats.org/drawingml/2006/picture">
                <pic:pic>
                  <pic:nvPicPr>
                    <pic:cNvPr descr="Timbr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20" w:right="12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CORPO DE BOMBEIRO MILITAR DE ALAGOAS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 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1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1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PORTARIA/CBMAL Nº </w:t>
      </w:r>
      <w:r w:rsidDel="00000000" w:rsidR="00000000" w:rsidRPr="00000000">
        <w:rPr>
          <w:rFonts w:ascii="Calibri" w:cs="Calibri" w:eastAsia="Calibri" w:hAnsi="Calibri"/>
          <w:smallCaps w:val="1"/>
          <w:sz w:val="26"/>
          <w:szCs w:val="26"/>
          <w:rtl w:val="0"/>
        </w:rPr>
        <w:t xml:space="preserve">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" w:right="6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single"/>
          <w:shd w:fill="auto" w:val="clear"/>
          <w:vertAlign w:val="baseline"/>
          <w:rtl w:val="0"/>
        </w:rPr>
        <w:t xml:space="preserve">APROVAÇÃO DO PLANO DE GESTÃO 202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u w:val="single"/>
          <w:rtl w:val="0"/>
        </w:rPr>
        <w:t xml:space="preserve">5-26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20" w:right="120" w:firstLine="141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O Comandante-Geral em exercício do Corpo de Bombeiros Militar de Alagoas, CEL QOC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93939"/>
          <w:sz w:val="27"/>
          <w:szCs w:val="27"/>
          <w:highlight w:val="white"/>
          <w:u w:val="none"/>
          <w:vertAlign w:val="baseline"/>
          <w:rtl w:val="0"/>
        </w:rPr>
        <w:t xml:space="preserve">SERGIO ANDR</w:t>
      </w:r>
      <w:r w:rsidDel="00000000" w:rsidR="00000000" w:rsidRPr="00000000">
        <w:rPr>
          <w:rFonts w:ascii="Calibri" w:cs="Calibri" w:eastAsia="Calibri" w:hAnsi="Calibri"/>
          <w:color w:val="393939"/>
          <w:sz w:val="27"/>
          <w:szCs w:val="27"/>
          <w:highlight w:val="white"/>
          <w:rtl w:val="0"/>
        </w:rPr>
        <w:t xml:space="preserve">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93939"/>
          <w:sz w:val="27"/>
          <w:szCs w:val="27"/>
          <w:highlight w:val="white"/>
          <w:u w:val="none"/>
          <w:vertAlign w:val="baseline"/>
          <w:rtl w:val="0"/>
        </w:rPr>
        <w:t xml:space="preserve"> SILVA VERÇOSA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93939"/>
          <w:sz w:val="20"/>
          <w:szCs w:val="20"/>
          <w:highlight w:val="white"/>
          <w:u w:val="none"/>
          <w:vertAlign w:val="baseline"/>
          <w:rtl w:val="0"/>
        </w:rPr>
        <w:t xml:space="preserve"> 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, no uso das atribuições legais que lhe são outorgadas pela legislação em vigor, conforme inciso V do Art. 8º da Lei Estadual n° 7.444, de 28 de dezembro de 2012, em atenção ao que preconizam os art. 13 e 14 da Portaria nº 418/2021-GCG, publicada no BGO nº 207, de 09 de novembro de 2021, que institui a Política de Gestão Estratégica do CBMAL, em</w:t>
      </w:r>
      <w:r w:rsidDel="00000000" w:rsidR="00000000" w:rsidRPr="00000000">
        <w:rPr>
          <w:rFonts w:ascii="Calibri" w:cs="Calibri" w:eastAsia="Calibri" w:hAnsi="Calibri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conformidade ao que consta nos autos</w:t>
      </w:r>
      <w:r w:rsidDel="00000000" w:rsidR="00000000" w:rsidRPr="00000000">
        <w:rPr>
          <w:rFonts w:ascii="Calibri" w:cs="Calibri" w:eastAsia="Calibri" w:hAnsi="Calibri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do Processo SEI </w:t>
      </w:r>
      <w:r w:rsidDel="00000000" w:rsidR="00000000" w:rsidRPr="00000000">
        <w:rPr>
          <w:rFonts w:ascii="Calibri" w:cs="Calibri" w:eastAsia="Calibri" w:hAnsi="Calibri"/>
          <w:sz w:val="27"/>
          <w:szCs w:val="27"/>
          <w:rtl w:val="0"/>
        </w:rPr>
        <w:t xml:space="preserve">E:01203.0000006384/2024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, e considerando que: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20" w:right="120" w:firstLine="141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20" w:right="120" w:firstLine="141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a) O Comando-Geral da Corporação, conforme preconiza o inciso III do Art. 8° da Lei n.º 7.444, de 28 de dezembro de 2012 (LOB), é responsável por dirigir as atividades técnicas, operacionais e administrativas da corporação;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20" w:right="120" w:firstLine="141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20" w:right="120" w:firstLine="141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b) O Plano Estratégico 202</w:t>
      </w:r>
      <w:r w:rsidDel="00000000" w:rsidR="00000000" w:rsidRPr="00000000">
        <w:rPr>
          <w:rFonts w:ascii="Calibri" w:cs="Calibri" w:eastAsia="Calibri" w:hAnsi="Calibri"/>
          <w:sz w:val="27"/>
          <w:szCs w:val="27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-202</w:t>
      </w:r>
      <w:r w:rsidDel="00000000" w:rsidR="00000000" w:rsidRPr="00000000">
        <w:rPr>
          <w:rFonts w:ascii="Calibri" w:cs="Calibri" w:eastAsia="Calibri" w:hAnsi="Calibri"/>
          <w:sz w:val="27"/>
          <w:szCs w:val="27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do CBMAL, aprovado pela Portaria nº </w:t>
      </w:r>
      <w:r w:rsidDel="00000000" w:rsidR="00000000" w:rsidRPr="00000000">
        <w:rPr>
          <w:rFonts w:ascii="Calibri" w:cs="Calibri" w:eastAsia="Calibri" w:hAnsi="Calibri"/>
          <w:sz w:val="27"/>
          <w:szCs w:val="27"/>
          <w:rtl w:val="0"/>
        </w:rPr>
        <w:t xml:space="preserve">234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/202</w:t>
      </w:r>
      <w:r w:rsidDel="00000000" w:rsidR="00000000" w:rsidRPr="00000000">
        <w:rPr>
          <w:rFonts w:ascii="Calibri" w:cs="Calibri" w:eastAsia="Calibri" w:hAnsi="Calibri"/>
          <w:sz w:val="27"/>
          <w:szCs w:val="27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-GCG, publicada no BGO nº </w:t>
      </w:r>
      <w:r w:rsidDel="00000000" w:rsidR="00000000" w:rsidRPr="00000000">
        <w:rPr>
          <w:rFonts w:ascii="Calibri" w:cs="Calibri" w:eastAsia="Calibri" w:hAnsi="Calibri"/>
          <w:sz w:val="27"/>
          <w:szCs w:val="27"/>
          <w:rtl w:val="0"/>
        </w:rPr>
        <w:t xml:space="preserve">118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, de </w:t>
      </w:r>
      <w:r w:rsidDel="00000000" w:rsidR="00000000" w:rsidRPr="00000000">
        <w:rPr>
          <w:rFonts w:ascii="Calibri" w:cs="Calibri" w:eastAsia="Calibri" w:hAnsi="Calibri"/>
          <w:sz w:val="27"/>
          <w:szCs w:val="27"/>
          <w:rtl w:val="0"/>
        </w:rPr>
        <w:t xml:space="preserve">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sz w:val="27"/>
          <w:szCs w:val="27"/>
          <w:rtl w:val="0"/>
        </w:rPr>
        <w:t xml:space="preserve">Julho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de 202</w:t>
      </w:r>
      <w:r w:rsidDel="00000000" w:rsidR="00000000" w:rsidRPr="00000000">
        <w:rPr>
          <w:rFonts w:ascii="Calibri" w:cs="Calibri" w:eastAsia="Calibri" w:hAnsi="Calibri"/>
          <w:sz w:val="27"/>
          <w:szCs w:val="27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, prevê a adoção dos Planos de Gestão como um de seus desdobramentos;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20" w:right="120" w:firstLine="141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20" w:right="120" w:firstLine="1418"/>
        <w:jc w:val="both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c) O Plano de Gestão tem por finalidade ser um </w:t>
      </w:r>
      <w:r w:rsidDel="00000000" w:rsidR="00000000" w:rsidRPr="00000000">
        <w:rPr>
          <w:rFonts w:ascii="Calibri" w:cs="Calibri" w:eastAsia="Calibri" w:hAnsi="Calibri"/>
          <w:sz w:val="27"/>
          <w:szCs w:val="27"/>
          <w:rtl w:val="0"/>
        </w:rPr>
        <w:t xml:space="preserve">instrumento de seleção e operacionalização das entregas estratégicas previstas para o exercício corrente. Contém as iniciativas priorizadas no ano, seus responsáveis, prazos e vinculação com os objetivos estratégicos institucionais.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20" w:right="120" w:firstLine="1418"/>
        <w:jc w:val="both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20" w:right="120" w:firstLine="141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20" w:right="120" w:firstLine="141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RESOLVE: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20" w:right="120" w:firstLine="141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20" w:right="120" w:firstLine="141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Art. 1º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Aprovar o Plano de Gestão 202</w:t>
      </w:r>
      <w:r w:rsidDel="00000000" w:rsidR="00000000" w:rsidRPr="00000000">
        <w:rPr>
          <w:rFonts w:ascii="Calibri" w:cs="Calibri" w:eastAsia="Calibri" w:hAnsi="Calibri"/>
          <w:sz w:val="27"/>
          <w:szCs w:val="27"/>
          <w:rtl w:val="0"/>
        </w:rPr>
        <w:t xml:space="preserve">5-2026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(Doc. SEI nº X), formulado pela </w:t>
      </w:r>
      <w:r w:rsidDel="00000000" w:rsidR="00000000" w:rsidRPr="00000000">
        <w:rPr>
          <w:rFonts w:ascii="Calibri" w:cs="Calibri" w:eastAsia="Calibri" w:hAnsi="Calibri"/>
          <w:sz w:val="27"/>
          <w:szCs w:val="27"/>
          <w:rtl w:val="0"/>
        </w:rPr>
        <w:t xml:space="preserve">Assessoria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de Planejamento e Orçamento</w:t>
      </w:r>
      <w:r w:rsidDel="00000000" w:rsidR="00000000" w:rsidRPr="00000000">
        <w:rPr>
          <w:rFonts w:ascii="Calibri" w:cs="Calibri" w:eastAsia="Calibri" w:hAnsi="Calibri"/>
          <w:sz w:val="27"/>
          <w:szCs w:val="27"/>
          <w:rtl w:val="0"/>
        </w:rPr>
        <w:t xml:space="preserve">/EMG - CBMAL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, devendo ser adotado no âmbito da Corporação.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20" w:right="120" w:firstLine="141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Art. 2º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Esta Portaria entrará em vigor na data de sua publicação, revogando as disposições em contrário.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20" w:right="120" w:firstLine="141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" w:right="6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93939"/>
          <w:sz w:val="27"/>
          <w:szCs w:val="27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93939"/>
          <w:sz w:val="27"/>
          <w:szCs w:val="27"/>
          <w:highlight w:val="white"/>
          <w:u w:val="none"/>
          <w:vertAlign w:val="baseline"/>
          <w:rtl w:val="0"/>
        </w:rPr>
        <w:t xml:space="preserve">SERGIO ANDRE SILVA VERÇOSA  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" w:right="6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Comandante-Geral em exercício do CBMAL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