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5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IDENTIFICAÇÃO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Grupo de Técnico Trabalho (GTT): 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Governança e 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Participantes: </w:t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TEN CEL QOC BM MAT. 76533-3 CLEMENS BARBOSA DA SILVA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TEN CEL QOC BM MAT. 80826-1 MARCOS PAULO SEÁRA BARBOSA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TEN CEL QOC BM MAT. 80820-2 DIEGO LINS DE CAMPOS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MAJ QOC BM MAT. 80857-1 ARISTÓBULO CARVALHO DE JESUS SILVA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MAJ QOC BM MAT. 27594-8 GREGÓRIO DE ALBUQUERQUE VIEIRA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PROPOSTA DE INTERVENÇÃO: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2.1 Eixo temático: 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GOVERNANÇA E 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Descrição: </w:t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Compreende o planejamento, organização, direção e controle dos recursos necessários ao alcance dos resultados institucionais. Passa pelo aprimoramento da governança, da gestão corporativa e da responsabilidade socioambiental.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3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2.2 Objetivos estratégicos e descrição: </w:t>
      </w:r>
    </w:p>
    <w:p w:rsidR="00000000" w:rsidDel="00000000" w:rsidP="00000000" w:rsidRDefault="00000000" w:rsidRPr="00000000" w14:paraId="0000001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b w:val="1"/>
          <w:sz w:val="24"/>
          <w:szCs w:val="24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u w:val="single"/>
          <w:rtl w:val="0"/>
        </w:rPr>
        <w:t xml:space="preserve">Objetivo estratégico I:</w:t>
      </w:r>
    </w:p>
    <w:p w:rsidR="00000000" w:rsidDel="00000000" w:rsidP="00000000" w:rsidRDefault="00000000" w:rsidRPr="00000000" w14:paraId="00000016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Fortalecer a responsabilidade socioambiental da organização.</w:t>
      </w:r>
    </w:p>
    <w:p w:rsidR="00000000" w:rsidDel="00000000" w:rsidP="00000000" w:rsidRDefault="00000000" w:rsidRPr="00000000" w14:paraId="00000017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Descrição do objetivo: </w:t>
      </w:r>
    </w:p>
    <w:p w:rsidR="00000000" w:rsidDel="00000000" w:rsidP="00000000" w:rsidRDefault="00000000" w:rsidRPr="00000000" w14:paraId="00000019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Criar condições mais favoráveis para o desenvolvimento das iniciativas sociais e ambientais, mantendo os padrões de atendimento em quantidade e qualidade. Isso envolve o uso eficiente dos recursos humanos, de acordo com suas habilidades, e o incentivo à participação de voluntários nas ações. Também contempla a integração entre as atividades sociais e as ambientais, envolvendo os beneficiários do CBMAL na agenda ecológica.</w:t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Fatores críticos de sucesso: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Comprometimento dos líderes, gestores e diretores. 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Disponibilidade de recursos para investir e sustentar as iniciativas socioambientais.</w:t>
      </w:r>
    </w:p>
    <w:p w:rsidR="00000000" w:rsidDel="00000000" w:rsidP="00000000" w:rsidRDefault="00000000" w:rsidRPr="00000000" w14:paraId="0000001E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Iniciativas: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Formar parcerias institucionais.  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Recrutar colaboradores e voluntários para os projetos e atividades socioambientais. 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Avançar nas metas e resultados da agenda ambiental do setor público – A3P.</w:t>
      </w:r>
    </w:p>
    <w:p w:rsidR="00000000" w:rsidDel="00000000" w:rsidP="00000000" w:rsidRDefault="00000000" w:rsidRPr="00000000" w14:paraId="00000023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b w:val="1"/>
          <w:sz w:val="24"/>
          <w:szCs w:val="24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u w:val="single"/>
          <w:rtl w:val="0"/>
        </w:rPr>
        <w:t xml:space="preserve">Objetivo estratégico II:</w:t>
      </w:r>
    </w:p>
    <w:p w:rsidR="00000000" w:rsidDel="00000000" w:rsidP="00000000" w:rsidRDefault="00000000" w:rsidRPr="00000000" w14:paraId="00000025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Fortalecer a governança corporativa.</w:t>
      </w:r>
    </w:p>
    <w:p w:rsidR="00000000" w:rsidDel="00000000" w:rsidP="00000000" w:rsidRDefault="00000000" w:rsidRPr="00000000" w14:paraId="00000026">
      <w:pPr>
        <w:widowControl w:val="0"/>
        <w:spacing w:line="360" w:lineRule="auto"/>
        <w:ind w:left="144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360" w:lineRule="auto"/>
        <w:ind w:left="0"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Descrição do objetivo: </w:t>
      </w:r>
    </w:p>
    <w:p w:rsidR="00000000" w:rsidDel="00000000" w:rsidP="00000000" w:rsidRDefault="00000000" w:rsidRPr="00000000" w14:paraId="00000029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Este objetivo aborda a governança pública, a atuação da liderança pelo Comando-Geral e sua função na análise do desempenho da organização. Inclui a implementação de processos que contribuem diretamente para a formulação de uma estratégia sólida, coerente e alinhada com as metas do Governo. Também envolve a criação de um sistema de gestão de riscos integrado ao controle interno.</w:t>
      </w:r>
    </w:p>
    <w:p w:rsidR="00000000" w:rsidDel="00000000" w:rsidP="00000000" w:rsidRDefault="00000000" w:rsidRPr="00000000" w14:paraId="0000002A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Fatores críticos de sucesso: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Adotar a gestão de riscos como ferramenta de governança.  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Qualificação e estabilidade do quadro de colaboradores. 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Liderança apoiando o desenvolvimento da governança.</w:t>
      </w:r>
    </w:p>
    <w:p w:rsidR="00000000" w:rsidDel="00000000" w:rsidP="00000000" w:rsidRDefault="00000000" w:rsidRPr="00000000" w14:paraId="0000002F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Iniciativas: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Estabelecer políticas e diretrizes para o sistema de gestão de riscos e controle interno e implementá-los. 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Realizar estudos e eventos sobre gestão, políticas, estratégias e doutrina para o aprimoramento organizacional. 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Definir políticas e diretrizes para a gestão estratégica. 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Aperfeiçoar os mecanismos de comunicação com a sociedade e com o público interno.</w:t>
      </w:r>
    </w:p>
    <w:p w:rsidR="00000000" w:rsidDel="00000000" w:rsidP="00000000" w:rsidRDefault="00000000" w:rsidRPr="00000000" w14:paraId="00000035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Indicadores: </w:t>
      </w:r>
    </w:p>
    <w:p w:rsidR="00000000" w:rsidDel="00000000" w:rsidP="00000000" w:rsidRDefault="00000000" w:rsidRPr="00000000" w14:paraId="0000003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Índice geral de governança simplificado (Relatório TCDF).  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6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Auditorias internas (Indicador institucional). 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6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Demandas da ouvidoria (Indicador institucional). 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6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Transgressões disciplinares (Indicador institucional).</w:t>
      </w:r>
    </w:p>
    <w:p w:rsidR="00000000" w:rsidDel="00000000" w:rsidP="00000000" w:rsidRDefault="00000000" w:rsidRPr="00000000" w14:paraId="0000003C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u w:val="single"/>
          <w:rtl w:val="0"/>
        </w:rPr>
        <w:t xml:space="preserve">Objetivo estratégico III:</w:t>
      </w:r>
    </w:p>
    <w:p w:rsidR="00000000" w:rsidDel="00000000" w:rsidP="00000000" w:rsidRDefault="00000000" w:rsidRPr="00000000" w14:paraId="0000003E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Aprimorar a gestão.</w:t>
      </w:r>
    </w:p>
    <w:p w:rsidR="00000000" w:rsidDel="00000000" w:rsidP="00000000" w:rsidRDefault="00000000" w:rsidRPr="00000000" w14:paraId="0000003F">
      <w:pPr>
        <w:widowControl w:val="0"/>
        <w:spacing w:line="360" w:lineRule="auto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Descrição do objetivo: </w:t>
      </w:r>
    </w:p>
    <w:p w:rsidR="00000000" w:rsidDel="00000000" w:rsidP="00000000" w:rsidRDefault="00000000" w:rsidRPr="00000000" w14:paraId="00000041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Tornar os processos mais simples, rápidos e eficientes, por meio da melhoria contínua e inovação, além da eliminação de práticas desnecessárias, visando um melhor desempenho da organização.</w:t>
      </w:r>
    </w:p>
    <w:p w:rsidR="00000000" w:rsidDel="00000000" w:rsidP="00000000" w:rsidRDefault="00000000" w:rsidRPr="00000000" w14:paraId="00000042">
      <w:pPr>
        <w:widowControl w:val="0"/>
        <w:spacing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Fatores críticos de sucesso: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Qualificação e estabilidade do quadro de colaboradores.  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Liderança incentivando a otimização dos processos.</w:t>
      </w:r>
    </w:p>
    <w:p w:rsidR="00000000" w:rsidDel="00000000" w:rsidP="00000000" w:rsidRDefault="00000000" w:rsidRPr="00000000" w14:paraId="00000046">
      <w:pPr>
        <w:widowControl w:val="0"/>
        <w:spacing w:line="360" w:lineRule="auto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60" w:lineRule="auto"/>
        <w:ind w:firstLine="72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Iniciativas: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Mapear e otimizar os processos de apoio, além de atualizar os indicadores de desempenho.</w:t>
      </w:r>
    </w:p>
    <w:p w:rsidR="00000000" w:rsidDel="00000000" w:rsidP="00000000" w:rsidRDefault="00000000" w:rsidRPr="00000000" w14:paraId="00000049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Meta I:  </w:t>
      </w:r>
    </w:p>
    <w:p w:rsidR="00000000" w:rsidDel="00000000" w:rsidP="00000000" w:rsidRDefault="00000000" w:rsidRPr="00000000" w14:paraId="0000004A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Indicador: Quantidade de processos aprimorados e padronizados.</w:t>
      </w:r>
    </w:p>
    <w:p w:rsidR="00000000" w:rsidDel="00000000" w:rsidP="00000000" w:rsidRDefault="00000000" w:rsidRPr="00000000" w14:paraId="0000004B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Atualizar as normas e diretrizes corporativas.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Aperfeiçoar os mecanismos de comunicação com a sociedade e com o público interno.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Adotar práticas de gestão, educação e comunicação para priorização dos atos e entregas da gestão estratégica.</w:t>
      </w:r>
    </w:p>
    <w:p w:rsidR="00000000" w:rsidDel="00000000" w:rsidP="00000000" w:rsidRDefault="00000000" w:rsidRPr="00000000" w14:paraId="0000004F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I: Promover a instrução preliminar dos setores vinculados à execução do Plano Estratégico no início do novo ciclo.</w:t>
      </w:r>
    </w:p>
    <w:p w:rsidR="00000000" w:rsidDel="00000000" w:rsidP="00000000" w:rsidRDefault="00000000" w:rsidRPr="00000000" w14:paraId="00000051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I: Número de setores instruídos.</w:t>
      </w:r>
    </w:p>
    <w:p w:rsidR="00000000" w:rsidDel="00000000" w:rsidP="00000000" w:rsidRDefault="00000000" w:rsidRPr="00000000" w14:paraId="00000052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II: Orientar os oficiais de ligação sobre suas atribuições, uso do software de gestão e ferramentas utilizadas na Gestão Estratégica.</w:t>
      </w:r>
    </w:p>
    <w:p w:rsidR="00000000" w:rsidDel="00000000" w:rsidP="00000000" w:rsidRDefault="00000000" w:rsidRPr="00000000" w14:paraId="0000005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II: Número de oficiais de ligação instruídos.</w:t>
      </w:r>
    </w:p>
    <w:p w:rsidR="00000000" w:rsidDel="00000000" w:rsidP="00000000" w:rsidRDefault="00000000" w:rsidRPr="00000000" w14:paraId="00000055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III: Adotar práticas e ferramentas de gestão de tarefas no âmbito dos setores.</w:t>
      </w:r>
    </w:p>
    <w:p w:rsidR="00000000" w:rsidDel="00000000" w:rsidP="00000000" w:rsidRDefault="00000000" w:rsidRPr="00000000" w14:paraId="0000005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III: Ferramentas adotadas.</w:t>
      </w:r>
    </w:p>
    <w:p w:rsidR="00000000" w:rsidDel="00000000" w:rsidP="00000000" w:rsidRDefault="00000000" w:rsidRPr="00000000" w14:paraId="00000058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Empregar os planos complementares (implementação, monitoramento e avaliação) ao Plano 2025-2029.</w:t>
      </w:r>
    </w:p>
    <w:p w:rsidR="00000000" w:rsidDel="00000000" w:rsidP="00000000" w:rsidRDefault="00000000" w:rsidRPr="00000000" w14:paraId="0000005A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I: Publicar os Planos de Gestão anuais até o primeiro mês de cada ano.</w:t>
      </w:r>
    </w:p>
    <w:p w:rsidR="00000000" w:rsidDel="00000000" w:rsidP="00000000" w:rsidRDefault="00000000" w:rsidRPr="00000000" w14:paraId="0000005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I: Planos publicados anualmente.</w:t>
      </w:r>
    </w:p>
    <w:p w:rsidR="00000000" w:rsidDel="00000000" w:rsidP="00000000" w:rsidRDefault="00000000" w:rsidRPr="00000000" w14:paraId="0000005D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II: Realizar Reuniões de Monitoramento Estratégico (RME) trimestralmente.</w:t>
      </w:r>
    </w:p>
    <w:p w:rsidR="00000000" w:rsidDel="00000000" w:rsidP="00000000" w:rsidRDefault="00000000" w:rsidRPr="00000000" w14:paraId="0000005F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II: Número de reuniões realizadas.</w:t>
      </w:r>
    </w:p>
    <w:p w:rsidR="00000000" w:rsidDel="00000000" w:rsidP="00000000" w:rsidRDefault="00000000" w:rsidRPr="00000000" w14:paraId="00000060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III: Adotar práticas que permitam a participação mais ativa dos gestores setoriais no decorrer das reuniões.</w:t>
      </w:r>
    </w:p>
    <w:p w:rsidR="00000000" w:rsidDel="00000000" w:rsidP="00000000" w:rsidRDefault="00000000" w:rsidRPr="00000000" w14:paraId="00000062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III: Práticas implementadas.</w:t>
      </w:r>
    </w:p>
    <w:p w:rsidR="00000000" w:rsidDel="00000000" w:rsidP="00000000" w:rsidRDefault="00000000" w:rsidRPr="00000000" w14:paraId="00000063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IV: Coletar e tratar os resultados dos indicadores junto aos setores responsáveis, publicando-os anualmente.</w:t>
      </w:r>
    </w:p>
    <w:p w:rsidR="00000000" w:rsidDel="00000000" w:rsidP="00000000" w:rsidRDefault="00000000" w:rsidRPr="00000000" w14:paraId="00000065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IV: Relatórios de indicadores publicados.</w:t>
      </w:r>
    </w:p>
    <w:p w:rsidR="00000000" w:rsidDel="00000000" w:rsidP="00000000" w:rsidRDefault="00000000" w:rsidRPr="00000000" w14:paraId="00000066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V: Publicar os Relatórios de Gestão anuais até o primeiro mês de cada ano seguinte ao encerrado.</w:t>
      </w:r>
    </w:p>
    <w:p w:rsidR="00000000" w:rsidDel="00000000" w:rsidP="00000000" w:rsidRDefault="00000000" w:rsidRPr="00000000" w14:paraId="00000068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V: Relatórios publicados anualmente.</w:t>
      </w:r>
    </w:p>
    <w:p w:rsidR="00000000" w:rsidDel="00000000" w:rsidP="00000000" w:rsidRDefault="00000000" w:rsidRPr="00000000" w14:paraId="00000069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VI: Empregar novo sistema de gestão estratégica elaborado pelo ITEC.</w:t>
      </w:r>
    </w:p>
    <w:p w:rsidR="00000000" w:rsidDel="00000000" w:rsidP="00000000" w:rsidRDefault="00000000" w:rsidRPr="00000000" w14:paraId="0000006B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VI: Sistema implementado.</w:t>
      </w:r>
    </w:p>
    <w:p w:rsidR="00000000" w:rsidDel="00000000" w:rsidP="00000000" w:rsidRDefault="00000000" w:rsidRPr="00000000" w14:paraId="0000006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Empregar metodologia de gestão de projetos com vistas a contribuir com a gestão estratégica e aumento da maturidade organizacional.</w:t>
      </w:r>
    </w:p>
    <w:p w:rsidR="00000000" w:rsidDel="00000000" w:rsidP="00000000" w:rsidRDefault="00000000" w:rsidRPr="00000000" w14:paraId="0000006E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I: Promover instruções e treinamentos semestrais relacionados à Gestão de Projetos.</w:t>
      </w:r>
    </w:p>
    <w:p w:rsidR="00000000" w:rsidDel="00000000" w:rsidP="00000000" w:rsidRDefault="00000000" w:rsidRPr="00000000" w14:paraId="00000070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I: Número de instruções e treinamentos realizados.</w:t>
      </w:r>
    </w:p>
    <w:p w:rsidR="00000000" w:rsidDel="00000000" w:rsidP="00000000" w:rsidRDefault="00000000" w:rsidRPr="00000000" w14:paraId="00000071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II:  Criar o portfólio de projetos institucionais.</w:t>
      </w:r>
    </w:p>
    <w:p w:rsidR="00000000" w:rsidDel="00000000" w:rsidP="00000000" w:rsidRDefault="00000000" w:rsidRPr="00000000" w14:paraId="00000073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II: Portfólio de projetos criado.</w:t>
      </w:r>
    </w:p>
    <w:p w:rsidR="00000000" w:rsidDel="00000000" w:rsidP="00000000" w:rsidRDefault="00000000" w:rsidRPr="00000000" w14:paraId="00000074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III: Revisar e atualizar a Metodologia de Gerenciamento de Projetos do CBMAL (MGP/CBMAL), adaptando-a ao sistema de gestão de projetos elaborado pelo ITEC.</w:t>
      </w:r>
    </w:p>
    <w:p w:rsidR="00000000" w:rsidDel="00000000" w:rsidP="00000000" w:rsidRDefault="00000000" w:rsidRPr="00000000" w14:paraId="00000076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III: MGP/CBMAL atualizada.</w:t>
      </w:r>
    </w:p>
    <w:p w:rsidR="00000000" w:rsidDel="00000000" w:rsidP="00000000" w:rsidRDefault="00000000" w:rsidRPr="00000000" w14:paraId="00000077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IV: Empregar novo sistema de gestão de projetos elaborado pelo ITEC.</w:t>
      </w:r>
    </w:p>
    <w:p w:rsidR="00000000" w:rsidDel="00000000" w:rsidP="00000000" w:rsidRDefault="00000000" w:rsidRPr="00000000" w14:paraId="00000079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IV: Sistema implementado.</w:t>
      </w:r>
    </w:p>
    <w:p w:rsidR="00000000" w:rsidDel="00000000" w:rsidP="00000000" w:rsidRDefault="00000000" w:rsidRPr="00000000" w14:paraId="0000007A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Meta V: Aumentar o nível de maturidade em gerenciamento de projetos para o estágio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yellow"/>
          <w:rtl w:val="0"/>
        </w:rPr>
        <w:t xml:space="preserve">gerenciado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highlight w:val="yellow"/>
          <w:rtl w:val="0"/>
        </w:rPr>
        <w:t xml:space="preserve">(sugiro padronizado)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(Plataforma para gerenciamento de projetos Darci Prado).  </w:t>
      </w:r>
    </w:p>
    <w:p w:rsidR="00000000" w:rsidDel="00000000" w:rsidP="00000000" w:rsidRDefault="00000000" w:rsidRPr="00000000" w14:paraId="0000007C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360" w:lineRule="auto"/>
        <w:ind w:left="72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Indicador V: Nível de maturidade em gerenciamento de projetos (Pesquisa Modelo Prado-MMGP).</w:t>
      </w:r>
    </w:p>
    <w:p w:rsidR="00000000" w:rsidDel="00000000" w:rsidP="00000000" w:rsidRDefault="00000000" w:rsidRPr="00000000" w14:paraId="0000007E">
      <w:pPr>
        <w:widowControl w:val="0"/>
        <w:spacing w:line="360" w:lineRule="auto"/>
        <w:ind w:left="0" w:firstLine="0"/>
        <w:jc w:val="both"/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widowControl w:val="0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1"/>
        <w:tab w:val="left" w:leader="none" w:pos="7790"/>
        <w:tab w:val="left" w:leader="none" w:pos="8498"/>
        <w:tab w:val="left" w:leader="none" w:pos="9207"/>
      </w:tabs>
      <w:spacing w:line="240" w:lineRule="auto"/>
      <w:jc w:val="center"/>
      <w:rPr>
        <w:rFonts w:ascii="Roboto Mono" w:cs="Roboto Mono" w:eastAsia="Roboto Mono" w:hAnsi="Roboto Mono"/>
        <w:b w:val="1"/>
        <w:sz w:val="24"/>
        <w:szCs w:val="24"/>
      </w:rPr>
    </w:pPr>
    <w:r w:rsidDel="00000000" w:rsidR="00000000" w:rsidRPr="00000000">
      <w:rPr>
        <w:rFonts w:ascii="Roboto Mono" w:cs="Roboto Mono" w:eastAsia="Roboto Mono" w:hAnsi="Roboto Mono"/>
        <w:b w:val="1"/>
        <w:sz w:val="24"/>
        <w:szCs w:val="24"/>
        <w:rtl w:val="0"/>
      </w:rPr>
      <w:t xml:space="preserve">ESTADO DE ALAGOAS</w:t>
    </w:r>
  </w:p>
  <w:p w:rsidR="00000000" w:rsidDel="00000000" w:rsidP="00000000" w:rsidRDefault="00000000" w:rsidRPr="00000000" w14:paraId="00000083">
    <w:pPr>
      <w:widowControl w:val="0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1"/>
        <w:tab w:val="left" w:leader="none" w:pos="7790"/>
        <w:tab w:val="left" w:leader="none" w:pos="8498"/>
        <w:tab w:val="left" w:leader="none" w:pos="9207"/>
      </w:tabs>
      <w:spacing w:line="240" w:lineRule="auto"/>
      <w:jc w:val="center"/>
      <w:rPr>
        <w:rFonts w:ascii="Roboto Mono" w:cs="Roboto Mono" w:eastAsia="Roboto Mono" w:hAnsi="Roboto Mono"/>
        <w:b w:val="1"/>
        <w:sz w:val="24"/>
        <w:szCs w:val="24"/>
      </w:rPr>
    </w:pPr>
    <w:r w:rsidDel="00000000" w:rsidR="00000000" w:rsidRPr="00000000">
      <w:rPr>
        <w:rFonts w:ascii="Roboto Mono" w:cs="Roboto Mono" w:eastAsia="Roboto Mono" w:hAnsi="Roboto Mono"/>
        <w:b w:val="1"/>
        <w:sz w:val="24"/>
        <w:szCs w:val="24"/>
        <w:rtl w:val="0"/>
      </w:rPr>
      <w:t xml:space="preserve">SECRETARIA DE ESTADO DA SEGURANÇA PÚBLICA</w:t>
    </w:r>
  </w:p>
  <w:p w:rsidR="00000000" w:rsidDel="00000000" w:rsidP="00000000" w:rsidRDefault="00000000" w:rsidRPr="00000000" w14:paraId="00000084">
    <w:pPr>
      <w:widowControl w:val="0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1"/>
        <w:tab w:val="left" w:leader="none" w:pos="7790"/>
        <w:tab w:val="left" w:leader="none" w:pos="8498"/>
        <w:tab w:val="left" w:leader="none" w:pos="9207"/>
      </w:tabs>
      <w:spacing w:line="240" w:lineRule="auto"/>
      <w:jc w:val="center"/>
      <w:rPr>
        <w:rFonts w:ascii="Roboto Mono" w:cs="Roboto Mono" w:eastAsia="Roboto Mono" w:hAnsi="Roboto Mono"/>
        <w:b w:val="1"/>
        <w:sz w:val="24"/>
        <w:szCs w:val="24"/>
      </w:rPr>
    </w:pPr>
    <w:r w:rsidDel="00000000" w:rsidR="00000000" w:rsidRPr="00000000">
      <w:rPr>
        <w:rFonts w:ascii="Roboto Mono" w:cs="Roboto Mono" w:eastAsia="Roboto Mono" w:hAnsi="Roboto Mono"/>
        <w:b w:val="1"/>
        <w:sz w:val="24"/>
        <w:szCs w:val="24"/>
        <w:rtl w:val="0"/>
      </w:rPr>
      <w:t xml:space="preserve">CORPO DE BOMBEIROS MILITAR DE ALAGOAS</w:t>
    </w:r>
  </w:p>
  <w:p w:rsidR="00000000" w:rsidDel="00000000" w:rsidP="00000000" w:rsidRDefault="00000000" w:rsidRPr="00000000" w14:paraId="00000085">
    <w:pPr>
      <w:widowControl w:val="0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1"/>
        <w:tab w:val="left" w:leader="none" w:pos="7790"/>
        <w:tab w:val="left" w:leader="none" w:pos="8498"/>
        <w:tab w:val="left" w:leader="none" w:pos="9207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rFonts w:ascii="Roboto Mono" w:cs="Roboto Mono" w:eastAsia="Roboto Mono" w:hAnsi="Roboto Mono"/>
        <w:b w:val="1"/>
        <w:sz w:val="24"/>
        <w:szCs w:val="24"/>
        <w:rtl w:val="0"/>
      </w:rPr>
      <w:t xml:space="preserve">ASSESSORIA DE PLANEJAMENTO E ORÇAMENTO</w:t>
    </w: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2589374</wp:posOffset>
              </wp:positionH>
              <wp:positionV relativeFrom="page">
                <wp:posOffset>228600</wp:posOffset>
              </wp:positionV>
              <wp:extent cx="554355" cy="686435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68800" y="3436775"/>
                        <a:ext cx="554355" cy="686435"/>
                        <a:chOff x="5068800" y="3436775"/>
                        <a:chExt cx="554400" cy="686450"/>
                      </a:xfrm>
                    </wpg:grpSpPr>
                    <wpg:grpSp>
                      <wpg:cNvGrpSpPr/>
                      <wpg:grpSpPr>
                        <a:xfrm>
                          <a:off x="5068823" y="3436783"/>
                          <a:ext cx="554355" cy="686435"/>
                          <a:chOff x="5069150" y="3437100"/>
                          <a:chExt cx="553700" cy="685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069150" y="3437100"/>
                            <a:ext cx="5537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069160" y="3437100"/>
                            <a:ext cx="553680" cy="685800"/>
                            <a:chOff x="0" y="0"/>
                            <a:chExt cx="553680" cy="6858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53675" cy="68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53680" cy="685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53680" cy="68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margin">
                <wp:posOffset>2589374</wp:posOffset>
              </wp:positionH>
              <wp:positionV relativeFrom="page">
                <wp:posOffset>228600</wp:posOffset>
              </wp:positionV>
              <wp:extent cx="554355" cy="686435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4355" cy="686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10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ce6f2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ec5e1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f81bd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afad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c0504d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1e0b3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9bbb59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5b8d4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8064a2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cd9e5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cfaa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e6da5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c732f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c732f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5c732f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c732f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66879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5f2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e6da5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e6da5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e6da5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9f3a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c732f" w:themeColor="accent3" w:themeShade="000095" w:themeTint="0000FE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5c732f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c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5c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c732f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5c732f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6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66879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66879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66879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b25408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b25408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b25408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f81bd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0504d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9bbb59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064a2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4f81bd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4f81bd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4f81bd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da9796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3d69c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3d69c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b2a1c7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92cddd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92cddd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fac091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fac091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b4b72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9f3a38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c993f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c993f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c993f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c993f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64f84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8ba3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8ba3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8ba3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8ba3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d680a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d680a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dd680a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d680a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3dfee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b4b72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b4b72" w:themeColor="accent1" w:themeShade="000095"/>
        <w:sz w:val="22"/>
      </w:r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fd3d2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9f3a38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9f3a38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c993f" w:themeColor="accent3" w:themeShade="000095" w:themeTint="000098"/>
        <w:sz w:val="22"/>
      </w:r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6eed5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c993f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c99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c99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c993f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c993f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c993f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fd8e8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664f84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664f84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8ba3" w:themeColor="accent5" w:themeShade="000095" w:themeTint="00009A"/>
        <w:sz w:val="22"/>
      </w:r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2eaf1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8ba3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3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8ba3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38ba3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8ba3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d680a" w:themeColor="accent6" w:themeShade="000095" w:themeTint="000098"/>
        <w:sz w:val="22"/>
      </w:r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de5d1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d680a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d68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d68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d680a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d680a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d680a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8d7ea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5d8bc2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3dddc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da9796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bf1d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9bbb5a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5dfec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b2a1c7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aee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bacc6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dea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79646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727"/>
    <w:next w:val="727"/>
    <w:link w:val="155"/>
    <w:uiPriority w:val="9"/>
    <w:unhideWhenUsed w:val="1"/>
    <w:qFormat w:val="1"/>
    <w:pPr>
      <w:keepNext w:val="1"/>
      <w:keepLines w:val="1"/>
      <w:pBdr/>
      <w:spacing w:after="0" w:before="40"/>
      <w:ind/>
      <w:outlineLvl w:val="6"/>
    </w:pPr>
    <w:rPr>
      <w:rFonts w:ascii="Arial" w:cs="Arial" w:eastAsia="Arial" w:hAnsi="Arial"/>
      <w:color w:val="595959" w:themeColor="text1" w:themeTint="0000A6"/>
    </w:rPr>
  </w:style>
  <w:style w:type="paragraph" w:styleId="145">
    <w:name w:val="Heading 8"/>
    <w:basedOn w:val="727"/>
    <w:next w:val="727"/>
    <w:link w:val="156"/>
    <w:uiPriority w:val="9"/>
    <w:unhideWhenUsed w:val="1"/>
    <w:qFormat w:val="1"/>
    <w:pPr>
      <w:keepNext w:val="1"/>
      <w:keepLines w:val="1"/>
      <w:pBdr/>
      <w:spacing w:after="0"/>
      <w:ind/>
      <w:outlineLvl w:val="7"/>
    </w:pPr>
    <w:rPr>
      <w:rFonts w:ascii="Arial" w:cs="Arial" w:eastAsia="Arial" w:hAnsi="Arial"/>
      <w:i w:val="1"/>
      <w:iCs w:val="1"/>
      <w:color w:val="272727" w:themeColor="text1" w:themeTint="0000D8"/>
    </w:rPr>
  </w:style>
  <w:style w:type="paragraph" w:styleId="146">
    <w:name w:val="Heading 9"/>
    <w:basedOn w:val="727"/>
    <w:next w:val="727"/>
    <w:link w:val="157"/>
    <w:uiPriority w:val="9"/>
    <w:unhideWhenUsed w:val="1"/>
    <w:qFormat w:val="1"/>
    <w:pPr>
      <w:keepNext w:val="1"/>
      <w:keepLines w:val="1"/>
      <w:pBdr/>
      <w:spacing w:after="0"/>
      <w:ind/>
      <w:outlineLvl w:val="8"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47" w:default="1">
    <w:name w:val="Default Paragraph Font"/>
    <w:uiPriority w:val="1"/>
    <w:semiHidden w:val="1"/>
    <w:unhideWhenUsed w:val="1"/>
    <w:pPr>
      <w:pBdr/>
      <w:spacing/>
      <w:ind/>
    </w:pPr>
  </w:style>
  <w:style w:type="numbering" w:styleId="148" w:default="1">
    <w:name w:val="No List"/>
    <w:uiPriority w:val="99"/>
    <w:semiHidden w:val="1"/>
    <w:unhideWhenUsed w:val="1"/>
    <w:pPr>
      <w:pBdr/>
      <w:spacing/>
      <w:ind/>
    </w:pPr>
  </w:style>
  <w:style w:type="character" w:styleId="149">
    <w:name w:val="Heading 1 Char"/>
    <w:basedOn w:val="147"/>
    <w:link w:val="729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40"/>
      <w:szCs w:val="40"/>
    </w:rPr>
  </w:style>
  <w:style w:type="character" w:styleId="150">
    <w:name w:val="Heading 2 Char"/>
    <w:basedOn w:val="147"/>
    <w:link w:val="730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32"/>
      <w:szCs w:val="32"/>
    </w:rPr>
  </w:style>
  <w:style w:type="character" w:styleId="151">
    <w:name w:val="Heading 3 Char"/>
    <w:basedOn w:val="147"/>
    <w:link w:val="731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  <w:sz w:val="28"/>
      <w:szCs w:val="28"/>
    </w:rPr>
  </w:style>
  <w:style w:type="character" w:styleId="152">
    <w:name w:val="Heading 4 Char"/>
    <w:basedOn w:val="147"/>
    <w:link w:val="732"/>
    <w:uiPriority w:val="9"/>
    <w:pPr>
      <w:pBdr/>
      <w:spacing/>
      <w:ind/>
    </w:pPr>
    <w:rPr>
      <w:rFonts w:ascii="Arial" w:cs="Arial" w:eastAsia="Arial" w:hAnsi="Arial"/>
      <w:i w:val="1"/>
      <w:iCs w:val="1"/>
      <w:color w:val="0f4761" w:themeColor="accent1" w:themeShade="0000BF"/>
    </w:rPr>
  </w:style>
  <w:style w:type="character" w:styleId="153">
    <w:name w:val="Heading 5 Char"/>
    <w:basedOn w:val="147"/>
    <w:link w:val="733"/>
    <w:uiPriority w:val="9"/>
    <w:pPr>
      <w:pBdr/>
      <w:spacing/>
      <w:ind/>
    </w:pPr>
    <w:rPr>
      <w:rFonts w:ascii="Arial" w:cs="Arial" w:eastAsia="Arial" w:hAnsi="Arial"/>
      <w:color w:val="0f4761" w:themeColor="accent1" w:themeShade="0000BF"/>
    </w:rPr>
  </w:style>
  <w:style w:type="character" w:styleId="154">
    <w:name w:val="Heading 6 Char"/>
    <w:basedOn w:val="147"/>
    <w:link w:val="734"/>
    <w:uiPriority w:val="9"/>
    <w:pPr>
      <w:pBdr/>
      <w:spacing/>
      <w:ind/>
    </w:pPr>
    <w:rPr>
      <w:rFonts w:ascii="Arial" w:cs="Arial" w:eastAsia="Arial" w:hAnsi="Arial"/>
      <w:i w:val="1"/>
      <w:iCs w:val="1"/>
      <w:color w:val="595959" w:themeColor="text1" w:themeTint="0000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cs="Arial" w:eastAsia="Arial" w:hAnsi="Arial"/>
      <w:color w:val="595959" w:themeColor="text1" w:themeTint="0000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cs="Arial" w:eastAsia="Arial" w:hAnsi="Arial"/>
      <w:i w:val="1"/>
      <w:iCs w:val="1"/>
      <w:color w:val="272727" w:themeColor="text1" w:themeTint="0000D8"/>
    </w:rPr>
  </w:style>
  <w:style w:type="character" w:styleId="159">
    <w:name w:val="Title Char"/>
    <w:basedOn w:val="147"/>
    <w:link w:val="735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type="character" w:styleId="161">
    <w:name w:val="Subtitle Char"/>
    <w:basedOn w:val="147"/>
    <w:link w:val="736"/>
    <w:uiPriority w:val="11"/>
    <w:pPr>
      <w:pBdr/>
      <w:spacing/>
      <w:ind/>
    </w:pPr>
    <w:rPr>
      <w:color w:val="595959" w:themeColor="text1" w:themeTint="0000A6"/>
      <w:spacing w:val="15"/>
      <w:sz w:val="28"/>
      <w:szCs w:val="28"/>
    </w:rPr>
  </w:style>
  <w:style w:type="paragraph" w:styleId="162">
    <w:name w:val="Quote"/>
    <w:basedOn w:val="727"/>
    <w:next w:val="727"/>
    <w:link w:val="163"/>
    <w:uiPriority w:val="29"/>
    <w:qFormat w:val="1"/>
    <w:pPr>
      <w:pBdr/>
      <w:spacing w:before="160"/>
      <w:ind/>
      <w:jc w:val="center"/>
    </w:pPr>
    <w:rPr>
      <w:i w:val="1"/>
      <w:iCs w:val="1"/>
      <w:color w:val="404040" w:themeColor="text1" w:themeTint="0000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 w:val="1"/>
      <w:iCs w:val="1"/>
      <w:color w:val="404040" w:themeColor="text1" w:themeTint="0000BF"/>
    </w:rPr>
  </w:style>
  <w:style w:type="paragraph" w:styleId="164">
    <w:name w:val="List Paragraph"/>
    <w:basedOn w:val="727"/>
    <w:uiPriority w:val="34"/>
    <w:qFormat w:val="1"/>
    <w:pPr>
      <w:pBdr/>
      <w:spacing/>
      <w:ind w:left="720"/>
      <w:contextualSpacing w:val="1"/>
    </w:pPr>
  </w:style>
  <w:style w:type="character" w:styleId="165">
    <w:name w:val="Intense Emphasis"/>
    <w:basedOn w:val="147"/>
    <w:uiPriority w:val="21"/>
    <w:qFormat w:val="1"/>
    <w:pPr>
      <w:pBdr/>
      <w:spacing/>
      <w:ind/>
    </w:pPr>
    <w:rPr>
      <w:i w:val="1"/>
      <w:iCs w:val="1"/>
      <w:color w:val="0f4761" w:themeColor="accent1" w:themeShade="0000BF"/>
    </w:rPr>
  </w:style>
  <w:style w:type="paragraph" w:styleId="166">
    <w:name w:val="Intense Quote"/>
    <w:basedOn w:val="727"/>
    <w:next w:val="727"/>
    <w:link w:val="167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 w:val="1"/>
      <w:iCs w:val="1"/>
      <w:color w:val="0f4761" w:themeColor="accent1" w:themeShade="0000BF"/>
    </w:rPr>
  </w:style>
  <w:style w:type="character" w:styleId="168">
    <w:name w:val="Intense Reference"/>
    <w:basedOn w:val="147"/>
    <w:uiPriority w:val="32"/>
    <w:qFormat w:val="1"/>
    <w:pPr>
      <w:pBdr/>
      <w:spacing/>
      <w:ind/>
    </w:pPr>
    <w:rPr>
      <w:b w:val="1"/>
      <w:bCs w:val="1"/>
      <w:smallCaps w:val="1"/>
      <w:color w:val="0f4761" w:themeColor="accent1" w:themeShade="0000BF"/>
      <w:spacing w:val="5"/>
    </w:rPr>
  </w:style>
  <w:style w:type="paragraph" w:styleId="169">
    <w:name w:val="No Spacing"/>
    <w:basedOn w:val="727"/>
    <w:uiPriority w:val="1"/>
    <w:qFormat w:val="1"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 w:val="1"/>
    <w:pPr>
      <w:pBdr/>
      <w:spacing/>
      <w:ind/>
    </w:pPr>
    <w:rPr>
      <w:i w:val="1"/>
      <w:iCs w:val="1"/>
      <w:color w:val="404040" w:themeColor="text1" w:themeTint="0000BF"/>
    </w:rPr>
  </w:style>
  <w:style w:type="character" w:styleId="171">
    <w:name w:val="Emphasis"/>
    <w:basedOn w:val="147"/>
    <w:uiPriority w:val="20"/>
    <w:qFormat w:val="1"/>
    <w:pPr>
      <w:pBdr/>
      <w:spacing/>
      <w:ind/>
    </w:pPr>
    <w:rPr>
      <w:i w:val="1"/>
      <w:iCs w:val="1"/>
    </w:rPr>
  </w:style>
  <w:style w:type="character" w:styleId="172">
    <w:name w:val="Strong"/>
    <w:basedOn w:val="147"/>
    <w:uiPriority w:val="22"/>
    <w:qFormat w:val="1"/>
    <w:pPr>
      <w:pBdr/>
      <w:spacing/>
      <w:ind/>
    </w:pPr>
    <w:rPr>
      <w:b w:val="1"/>
      <w:bCs w:val="1"/>
    </w:rPr>
  </w:style>
  <w:style w:type="character" w:styleId="173">
    <w:name w:val="Subtle Reference"/>
    <w:basedOn w:val="147"/>
    <w:uiPriority w:val="31"/>
    <w:qFormat w:val="1"/>
    <w:pPr>
      <w:pBdr/>
      <w:spacing/>
      <w:ind/>
    </w:pPr>
    <w:rPr>
      <w:smallCaps w:val="1"/>
      <w:color w:val="5a5a5a" w:themeColor="text1" w:themeTint="0000A5"/>
    </w:rPr>
  </w:style>
  <w:style w:type="character" w:styleId="174">
    <w:name w:val="Book Title"/>
    <w:basedOn w:val="147"/>
    <w:uiPriority w:val="33"/>
    <w:qFormat w:val="1"/>
    <w:pPr>
      <w:pBdr/>
      <w:spacing/>
      <w:ind/>
    </w:pPr>
    <w:rPr>
      <w:b w:val="1"/>
      <w:bCs w:val="1"/>
      <w:i w:val="1"/>
      <w:iCs w:val="1"/>
      <w:spacing w:val="5"/>
    </w:rPr>
  </w:style>
  <w:style w:type="paragraph" w:styleId="175">
    <w:name w:val="Header"/>
    <w:basedOn w:val="727"/>
    <w:link w:val="176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727"/>
    <w:link w:val="178"/>
    <w:uiPriority w:val="99"/>
    <w:unhideWhenUsed w:val="1"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727"/>
    <w:next w:val="727"/>
    <w:uiPriority w:val="35"/>
    <w:unhideWhenUsed w:val="1"/>
    <w:qFormat w:val="1"/>
    <w:pPr>
      <w:pBdr/>
      <w:spacing w:after="200" w:line="240" w:lineRule="auto"/>
      <w:ind/>
    </w:pPr>
    <w:rPr>
      <w:i w:val="1"/>
      <w:iCs w:val="1"/>
      <w:color w:val="0e2841" w:themeColor="text2"/>
      <w:sz w:val="18"/>
      <w:szCs w:val="18"/>
    </w:rPr>
  </w:style>
  <w:style w:type="paragraph" w:styleId="180">
    <w:name w:val="footnote text"/>
    <w:basedOn w:val="727"/>
    <w:link w:val="181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 w:val="1"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3">
    <w:name w:val="endnote text"/>
    <w:basedOn w:val="727"/>
    <w:link w:val="184"/>
    <w:uiPriority w:val="99"/>
    <w:semiHidden w:val="1"/>
    <w:unhideWhenUsed w:val="1"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 w:val="1"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 w:val="1"/>
    <w:unhideWhenUsed w:val="1"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 w:val="1"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 w:val="1"/>
    <w:unhideWhenUsed w:val="1"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 w:val="1"/>
    <w:pPr>
      <w:pBdr/>
      <w:spacing/>
      <w:ind/>
    </w:pPr>
  </w:style>
  <w:style w:type="paragraph" w:styleId="198">
    <w:name w:val="table of figures"/>
    <w:basedOn w:val="727"/>
    <w:next w:val="727"/>
    <w:uiPriority w:val="99"/>
    <w:unhideWhenUsed w:val="1"/>
    <w:pPr>
      <w:pBdr/>
      <w:spacing w:after="0" w:afterAutospacing="0"/>
      <w:ind/>
    </w:pPr>
  </w:style>
  <w:style w:type="paragraph" w:styleId="727" w:default="1">
    <w:name w:val="Normal"/>
    <w:pPr>
      <w:pBdr/>
      <w:spacing/>
      <w:ind/>
    </w:pPr>
  </w:style>
  <w:style w:type="table" w:styleId="728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9">
    <w:name w:val="Heading 1"/>
    <w:basedOn w:val="727"/>
    <w:next w:val="727"/>
    <w:pPr>
      <w:keepNext w:val="1"/>
      <w:keepLines w:val="1"/>
      <w:pageBreakBefore w:val="0"/>
      <w:pBdr/>
      <w:spacing w:after="120" w:before="400"/>
      <w:ind/>
    </w:pPr>
    <w:rPr>
      <w:sz w:val="40"/>
      <w:szCs w:val="40"/>
    </w:rPr>
  </w:style>
  <w:style w:type="paragraph" w:styleId="730">
    <w:name w:val="Heading 2"/>
    <w:basedOn w:val="727"/>
    <w:next w:val="727"/>
    <w:pPr>
      <w:keepNext w:val="1"/>
      <w:keepLines w:val="1"/>
      <w:pageBreakBefore w:val="0"/>
      <w:pBdr/>
      <w:spacing w:after="120" w:before="360"/>
      <w:ind/>
    </w:pPr>
    <w:rPr>
      <w:b w:val="0"/>
      <w:sz w:val="32"/>
      <w:szCs w:val="32"/>
    </w:rPr>
  </w:style>
  <w:style w:type="paragraph" w:styleId="731">
    <w:name w:val="Heading 3"/>
    <w:basedOn w:val="727"/>
    <w:next w:val="727"/>
    <w:pPr>
      <w:keepNext w:val="1"/>
      <w:keepLines w:val="1"/>
      <w:pageBreakBefore w:val="0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732">
    <w:name w:val="Heading 4"/>
    <w:basedOn w:val="727"/>
    <w:next w:val="727"/>
    <w:pPr>
      <w:keepNext w:val="1"/>
      <w:keepLines w:val="1"/>
      <w:pageBreakBefore w:val="0"/>
      <w:pBdr/>
      <w:spacing w:after="80" w:before="280"/>
      <w:ind/>
    </w:pPr>
    <w:rPr>
      <w:color w:val="666666"/>
      <w:sz w:val="24"/>
      <w:szCs w:val="24"/>
    </w:rPr>
  </w:style>
  <w:style w:type="paragraph" w:styleId="733">
    <w:name w:val="Heading 5"/>
    <w:basedOn w:val="727"/>
    <w:next w:val="727"/>
    <w:pPr>
      <w:keepNext w:val="1"/>
      <w:keepLines w:val="1"/>
      <w:pageBreakBefore w:val="0"/>
      <w:pBdr/>
      <w:spacing w:after="80" w:before="240"/>
      <w:ind/>
    </w:pPr>
    <w:rPr>
      <w:color w:val="666666"/>
      <w:sz w:val="22"/>
      <w:szCs w:val="22"/>
    </w:rPr>
  </w:style>
  <w:style w:type="paragraph" w:styleId="734">
    <w:name w:val="Heading 6"/>
    <w:basedOn w:val="727"/>
    <w:next w:val="727"/>
    <w:pPr>
      <w:keepNext w:val="1"/>
      <w:keepLines w:val="1"/>
      <w:pageBreakBefore w:val="0"/>
      <w:pBdr/>
      <w:spacing w:after="80" w:before="240"/>
      <w:ind/>
    </w:pPr>
    <w:rPr>
      <w:i w:val="1"/>
      <w:color w:val="666666"/>
      <w:sz w:val="22"/>
      <w:szCs w:val="22"/>
    </w:rPr>
  </w:style>
  <w:style w:type="paragraph" w:styleId="735">
    <w:name w:val="Title"/>
    <w:basedOn w:val="727"/>
    <w:next w:val="727"/>
    <w:pPr>
      <w:keepNext w:val="1"/>
      <w:keepLines w:val="1"/>
      <w:pageBreakBefore w:val="0"/>
      <w:pBdr/>
      <w:spacing w:after="60" w:before="0"/>
      <w:ind/>
    </w:pPr>
    <w:rPr>
      <w:sz w:val="52"/>
      <w:szCs w:val="52"/>
    </w:rPr>
  </w:style>
  <w:style w:type="paragraph" w:styleId="736">
    <w:name w:val="Subtitle"/>
    <w:basedOn w:val="727"/>
    <w:next w:val="727"/>
    <w:pPr>
      <w:keepNext w:val="1"/>
      <w:keepLines w:val="1"/>
      <w:pageBreakBefore w:val="0"/>
      <w:pBdr/>
      <w:spacing w:after="320" w:before="0"/>
      <w:ind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ZbHcWu3IwQTgoWbiJFIyPi7wkA==">CgMxLjA4AHIhMWVyR2RBbUxRN3Q3aldZRW9BeHlNVGwzelZGZHRLZXJX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