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5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IDENTIFICAÇÃO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Grupo de Técnico Trabalho (GTT): </w:t>
      </w:r>
    </w:p>
    <w:p w:rsidR="00000000" w:rsidDel="00000000" w:rsidP="00000000" w:rsidRDefault="00000000" w:rsidRPr="00000000" w14:paraId="00000005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5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PROPOSTA DE INTERVENÇÃO: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2.1 Eixo temático: </w:t>
      </w:r>
    </w:p>
    <w:p w:rsidR="00000000" w:rsidDel="00000000" w:rsidP="00000000" w:rsidRDefault="00000000" w:rsidRPr="00000000" w14:paraId="00000009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Contempla os resultados produzidos pela organização para a sociedade, no cumprimento da sua missão. Agrega os objetivos diretamente ligados à atividade finalística da instituição, balizando, portanto, os demais temas estratégicos.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D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2.2 Objetivos estratégicos e descrição: </w:t>
      </w:r>
    </w:p>
    <w:p w:rsidR="00000000" w:rsidDel="00000000" w:rsidP="00000000" w:rsidRDefault="00000000" w:rsidRPr="00000000" w14:paraId="0000000E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b w:val="1"/>
          <w:sz w:val="24"/>
          <w:szCs w:val="24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u w:val="single"/>
          <w:rtl w:val="0"/>
        </w:rPr>
        <w:t xml:space="preserve">Objetivo estratégico I:</w:t>
      </w:r>
    </w:p>
    <w:p w:rsidR="00000000" w:rsidDel="00000000" w:rsidP="00000000" w:rsidRDefault="00000000" w:rsidRPr="00000000" w14:paraId="00000010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Aprimorar as ações preventivas contra incêndio, pânico e emergência.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Descrição do objetivo: </w:t>
      </w:r>
    </w:p>
    <w:p w:rsidR="00000000" w:rsidDel="00000000" w:rsidP="00000000" w:rsidRDefault="00000000" w:rsidRPr="00000000" w14:paraId="00000013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Como parte da segurança pública, ao CBMAL é atribuída a responsabilidade de preservação da incolumidade das pessoas e do patrimônio, que se inicia com o trabalho preventivo. Nesse contexto, as atividades de Segurança Contra Incêndio e Emergências (SCIE) apresentam resultados de alto impacto à medida que amenizam a ocorrência de sinistros e potencializam as ações de resposta operacional. Para o fortalecimento das ações preventivas, a instituição deve estar atenta às demandas sociais e tecnológicas que incidem nessa frente de atuação. Ao mesmo tempo, deve se estruturar internamente, simplificando processos e aprimorando a capacitação dos militares envolvidos neste universo das atividades técnicas, manifestada pelos serviços de análise de projetos, vistoria técnica e perícia de incêndio.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Iniciativas: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Estabelecer políticas e diretrizes para o sistema de gestão de riscos e controle interno e implementá-los.</w:t>
      </w:r>
    </w:p>
    <w:p w:rsidR="00000000" w:rsidDel="00000000" w:rsidP="00000000" w:rsidRDefault="00000000" w:rsidRPr="00000000" w14:paraId="00000017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Revisão das:</w:t>
      </w:r>
    </w:p>
    <w:p w:rsidR="00000000" w:rsidDel="00000000" w:rsidP="00000000" w:rsidRDefault="00000000" w:rsidRPr="00000000" w14:paraId="00000018">
      <w:pPr>
        <w:widowControl w:val="0"/>
        <w:spacing w:line="360" w:lineRule="auto"/>
        <w:ind w:left="72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Diretriz Operacional de Bombeiros de Atividades Técnica (DOB nº04);</w:t>
      </w:r>
    </w:p>
    <w:p w:rsidR="00000000" w:rsidDel="00000000" w:rsidP="00000000" w:rsidRDefault="00000000" w:rsidRPr="00000000" w14:paraId="00000019">
      <w:pPr>
        <w:widowControl w:val="0"/>
        <w:spacing w:line="360" w:lineRule="auto"/>
        <w:ind w:left="72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Norma Operacional de Bombeiros - Regulação do serviço de perícia (NOB n°08).</w:t>
      </w:r>
    </w:p>
    <w:p w:rsidR="00000000" w:rsidDel="00000000" w:rsidP="00000000" w:rsidRDefault="00000000" w:rsidRPr="00000000" w14:paraId="0000001A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II: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Revisão das seguintes Instruções Técnicas:</w:t>
      </w:r>
    </w:p>
    <w:p w:rsidR="00000000" w:rsidDel="00000000" w:rsidP="00000000" w:rsidRDefault="00000000" w:rsidRPr="00000000" w14:paraId="0000001C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60" w:lineRule="auto"/>
        <w:ind w:left="72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IT 01_2021 CBMAL - Procedimentos Administrativos - Parte 2 - Classificação das edificações;</w:t>
      </w:r>
    </w:p>
    <w:p w:rsidR="00000000" w:rsidDel="00000000" w:rsidP="00000000" w:rsidRDefault="00000000" w:rsidRPr="00000000" w14:paraId="0000001E">
      <w:pPr>
        <w:widowControl w:val="0"/>
        <w:spacing w:line="360" w:lineRule="auto"/>
        <w:ind w:left="72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IT 08_2021 CBMAL - Resistência ao fogo dos materiais de construção;</w:t>
      </w:r>
    </w:p>
    <w:p w:rsidR="00000000" w:rsidDel="00000000" w:rsidP="00000000" w:rsidRDefault="00000000" w:rsidRPr="00000000" w14:paraId="0000001F">
      <w:pPr>
        <w:widowControl w:val="0"/>
        <w:spacing w:line="360" w:lineRule="auto"/>
        <w:ind w:left="72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IT 09_2021 CBMAL - Compartimentação horizontal e vertical;</w:t>
      </w:r>
    </w:p>
    <w:p w:rsidR="00000000" w:rsidDel="00000000" w:rsidP="00000000" w:rsidRDefault="00000000" w:rsidRPr="00000000" w14:paraId="00000020">
      <w:pPr>
        <w:widowControl w:val="0"/>
        <w:spacing w:line="360" w:lineRule="auto"/>
        <w:ind w:left="72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IT 10_2021 CBMAL - Controle de materiais de acabamento e de revestimento;</w:t>
      </w:r>
    </w:p>
    <w:p w:rsidR="00000000" w:rsidDel="00000000" w:rsidP="00000000" w:rsidRDefault="00000000" w:rsidRPr="00000000" w14:paraId="00000021">
      <w:pPr>
        <w:widowControl w:val="0"/>
        <w:spacing w:line="360" w:lineRule="auto"/>
        <w:ind w:left="72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IT 11_2021 CBMAL  - Saída de emergência;</w:t>
      </w:r>
    </w:p>
    <w:p w:rsidR="00000000" w:rsidDel="00000000" w:rsidP="00000000" w:rsidRDefault="00000000" w:rsidRPr="00000000" w14:paraId="00000022">
      <w:pPr>
        <w:widowControl w:val="0"/>
        <w:spacing w:line="360" w:lineRule="auto"/>
        <w:ind w:left="72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IT 13_2021 CBMAL - Pressurização de escada de segurança;</w:t>
      </w:r>
    </w:p>
    <w:p w:rsidR="00000000" w:rsidDel="00000000" w:rsidP="00000000" w:rsidRDefault="00000000" w:rsidRPr="00000000" w14:paraId="00000023">
      <w:pPr>
        <w:widowControl w:val="0"/>
        <w:spacing w:line="360" w:lineRule="auto"/>
        <w:ind w:left="72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IT 14_2021 CBMAL - Carga Incêndio nas edificações e áreas de risco.</w:t>
      </w:r>
    </w:p>
    <w:p w:rsidR="00000000" w:rsidDel="00000000" w:rsidP="00000000" w:rsidRDefault="00000000" w:rsidRPr="00000000" w14:paraId="00000024">
      <w:pPr>
        <w:widowControl w:val="0"/>
        <w:spacing w:line="360" w:lineRule="auto"/>
        <w:ind w:left="72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IT 17_2021 CBMAL - Brigada de incêndio </w:t>
      </w:r>
    </w:p>
    <w:p w:rsidR="00000000" w:rsidDel="00000000" w:rsidP="00000000" w:rsidRDefault="00000000" w:rsidRPr="00000000" w14:paraId="00000025">
      <w:pPr>
        <w:widowControl w:val="0"/>
        <w:spacing w:line="360" w:lineRule="auto"/>
        <w:ind w:left="72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IT 22_2021 CBMAL - Sistemas de hidrantes e de mangotinhos para combate a incêndio </w:t>
      </w:r>
    </w:p>
    <w:p w:rsidR="00000000" w:rsidDel="00000000" w:rsidP="00000000" w:rsidRDefault="00000000" w:rsidRPr="00000000" w14:paraId="00000026">
      <w:pPr>
        <w:widowControl w:val="0"/>
        <w:spacing w:line="360" w:lineRule="auto"/>
        <w:ind w:left="72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IT 22_2021 CBMAL - Sistemas de hidrantes e de mangotinhos para combate a incêndio.</w:t>
      </w:r>
    </w:p>
    <w:p w:rsidR="00000000" w:rsidDel="00000000" w:rsidP="00000000" w:rsidRDefault="00000000" w:rsidRPr="00000000" w14:paraId="00000027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III: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Criar Instruções Técnicas referente à: </w:t>
      </w:r>
    </w:p>
    <w:p w:rsidR="00000000" w:rsidDel="00000000" w:rsidP="00000000" w:rsidRDefault="00000000" w:rsidRPr="00000000" w14:paraId="00000029">
      <w:pPr>
        <w:widowControl w:val="0"/>
        <w:spacing w:line="360" w:lineRule="auto"/>
        <w:ind w:left="72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(i) áreas recreativas com opção aquática de lazer aberta ao público; </w:t>
      </w:r>
    </w:p>
    <w:p w:rsidR="00000000" w:rsidDel="00000000" w:rsidP="00000000" w:rsidRDefault="00000000" w:rsidRPr="00000000" w14:paraId="0000002A">
      <w:pPr>
        <w:widowControl w:val="0"/>
        <w:spacing w:line="360" w:lineRule="auto"/>
        <w:ind w:left="72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(ii) áreas destinadas à produção de energia solar por meio de sistema fotovoltaico;</w:t>
      </w:r>
    </w:p>
    <w:p w:rsidR="00000000" w:rsidDel="00000000" w:rsidP="00000000" w:rsidRDefault="00000000" w:rsidRPr="00000000" w14:paraId="0000002B">
      <w:pPr>
        <w:widowControl w:val="0"/>
        <w:spacing w:line="360" w:lineRule="auto"/>
        <w:ind w:left="72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(iii) Ocupações com estações de recarga para veículos elétricos.</w:t>
      </w:r>
    </w:p>
    <w:p w:rsidR="00000000" w:rsidDel="00000000" w:rsidP="00000000" w:rsidRDefault="00000000" w:rsidRPr="00000000" w14:paraId="0000002C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IV: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propor revisão do Decreto nº 55.175/17 - Código de Segurança de Segurança contra Incêndio e Emergência (COSCIE).</w:t>
      </w:r>
    </w:p>
    <w:p w:rsidR="00000000" w:rsidDel="00000000" w:rsidP="00000000" w:rsidRDefault="00000000" w:rsidRPr="00000000" w14:paraId="0000002D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Realizar estudos e eventos sobre gestão, políticas, estratégias e doutrina para o aprimoramento organizacional.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highlight w:val="yellow"/>
          <w:rtl w:val="0"/>
        </w:rPr>
        <w:t xml:space="preserve">Meta I: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yellow"/>
          <w:rtl w:val="0"/>
        </w:rPr>
        <w:t xml:space="preserve">Digitalizar todos os serviços oferecidos, através da nova versão do SAPS, até 2025. (DTI)</w:t>
      </w:r>
    </w:p>
    <w:p w:rsidR="00000000" w:rsidDel="00000000" w:rsidP="00000000" w:rsidRDefault="00000000" w:rsidRPr="00000000" w14:paraId="00000030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II: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Promover estudo da percepção do cliente dos serviços oferecidos pela DAT, realizando pesquisa de satisfação do cliente. Periodicidade: anual (ação contínua).</w:t>
      </w:r>
    </w:p>
    <w:p w:rsidR="00000000" w:rsidDel="00000000" w:rsidP="00000000" w:rsidRDefault="00000000" w:rsidRPr="00000000" w14:paraId="00000032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highlight w:val="yellow"/>
          <w:rtl w:val="0"/>
        </w:rPr>
        <w:t xml:space="preserve">Meta III: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yellow"/>
          <w:rtl w:val="0"/>
        </w:rPr>
        <w:t xml:space="preserve">realizar reforma predial da DAT, até 2028. (DAL).</w:t>
      </w:r>
    </w:p>
    <w:p w:rsidR="00000000" w:rsidDel="00000000" w:rsidP="00000000" w:rsidRDefault="00000000" w:rsidRPr="00000000" w14:paraId="00000034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Definir políticas e diretrizes para a gestão estratégica.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6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adotar base itinerante oferecendo serviços técnicos em municípios que não tem sede do CBMAL, oferecido pela sede do Batalhão responsável pela área;</w:t>
      </w:r>
    </w:p>
    <w:p w:rsidR="00000000" w:rsidDel="00000000" w:rsidP="00000000" w:rsidRDefault="00000000" w:rsidRPr="00000000" w14:paraId="00000037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II: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Instituir que todos batalhões do Interior participem das vistorias técnicas dentro de seu município das principais edificações.</w:t>
      </w:r>
    </w:p>
    <w:p w:rsidR="00000000" w:rsidDel="00000000" w:rsidP="00000000" w:rsidRDefault="00000000" w:rsidRPr="00000000" w14:paraId="00000039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Aperfeiçoar os mecanismos de comunicação com a sociedade e com o público interno.</w:t>
      </w:r>
    </w:p>
    <w:p w:rsidR="00000000" w:rsidDel="00000000" w:rsidP="00000000" w:rsidRDefault="00000000" w:rsidRPr="00000000" w14:paraId="0000003B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Realizar 02 palestras educativas com orientação  preventiva de acidentes, anuais (ação contínua);</w:t>
      </w:r>
    </w:p>
    <w:p w:rsidR="00000000" w:rsidDel="00000000" w:rsidP="00000000" w:rsidRDefault="00000000" w:rsidRPr="00000000" w14:paraId="0000003C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II: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Realizar 05 entrevistas, anuais (ação contínua);</w:t>
      </w:r>
    </w:p>
    <w:p w:rsidR="00000000" w:rsidDel="00000000" w:rsidP="00000000" w:rsidRDefault="00000000" w:rsidRPr="00000000" w14:paraId="0000003E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III: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Produzir 02 vídeos institucionais, anuais (ação contínua).</w:t>
      </w:r>
    </w:p>
    <w:p w:rsidR="00000000" w:rsidDel="00000000" w:rsidP="00000000" w:rsidRDefault="00000000" w:rsidRPr="00000000" w14:paraId="00000040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Revisar o arcabouço normativo relacionado à perícia de incêndio.</w:t>
      </w:r>
    </w:p>
    <w:p w:rsidR="00000000" w:rsidDel="00000000" w:rsidP="00000000" w:rsidRDefault="00000000" w:rsidRPr="00000000" w14:paraId="00000042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Revisão do modelo de laudos de incêndio para edificações, veículos e vegetação, com padronização de nomenclatura;</w:t>
      </w:r>
    </w:p>
    <w:p w:rsidR="00000000" w:rsidDel="00000000" w:rsidP="00000000" w:rsidRDefault="00000000" w:rsidRPr="00000000" w14:paraId="00000043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II: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Criação do Fluxograma da investigação de incêndios no CBMAL.</w:t>
      </w:r>
    </w:p>
    <w:p w:rsidR="00000000" w:rsidDel="00000000" w:rsidP="00000000" w:rsidRDefault="00000000" w:rsidRPr="00000000" w14:paraId="00000045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Modernizar o serviço de Perícia administrativa.</w:t>
      </w:r>
    </w:p>
    <w:p w:rsidR="00000000" w:rsidDel="00000000" w:rsidP="00000000" w:rsidRDefault="00000000" w:rsidRPr="00000000" w14:paraId="00000047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Propor implementação de sistema eletrônico integrado de solicitação e emissão de laudos periciais até dezembro de 2028; </w:t>
      </w:r>
    </w:p>
    <w:p w:rsidR="00000000" w:rsidDel="00000000" w:rsidP="00000000" w:rsidRDefault="00000000" w:rsidRPr="00000000" w14:paraId="00000048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II: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Realizar estudo de viabilidade técnica para integração dos sistemas existentes;</w:t>
      </w:r>
    </w:p>
    <w:p w:rsidR="00000000" w:rsidDel="00000000" w:rsidP="00000000" w:rsidRDefault="00000000" w:rsidRPr="00000000" w14:paraId="0000004A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III: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Capacitar usuários do sistema com treinamentos específicos;</w:t>
      </w:r>
    </w:p>
    <w:p w:rsidR="00000000" w:rsidDel="00000000" w:rsidP="00000000" w:rsidRDefault="00000000" w:rsidRPr="00000000" w14:paraId="0000004C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IV: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Retroalimentação do ciclo operacional no Corpo de Bombeiros Militar de Alagoas;</w:t>
      </w:r>
    </w:p>
    <w:p w:rsidR="00000000" w:rsidDel="00000000" w:rsidP="00000000" w:rsidRDefault="00000000" w:rsidRPr="00000000" w14:paraId="0000004E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V: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Criar o manual de investigação de incêndios do CBMAL;</w:t>
      </w:r>
    </w:p>
    <w:p w:rsidR="00000000" w:rsidDel="00000000" w:rsidP="00000000" w:rsidRDefault="00000000" w:rsidRPr="00000000" w14:paraId="00000050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VI: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Aquisição de materiais e equipamentos para reestruturação da Seção de Perícias e Pesquisas da DAT, até dezembro de 2029. Valor estimado: Investimento de R$ 500.000,00.</w:t>
      </w:r>
    </w:p>
    <w:p w:rsidR="00000000" w:rsidDel="00000000" w:rsidP="00000000" w:rsidRDefault="00000000" w:rsidRPr="00000000" w14:paraId="00000052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VII: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Criação do caderno de referências para equipamentos de perícia;</w:t>
      </w:r>
    </w:p>
    <w:p w:rsidR="00000000" w:rsidDel="00000000" w:rsidP="00000000" w:rsidRDefault="00000000" w:rsidRPr="00000000" w14:paraId="00000054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VIII: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Aquisição de Viaturas para a Seção de Perícias e Pesquisas;</w:t>
      </w:r>
    </w:p>
    <w:p w:rsidR="00000000" w:rsidDel="00000000" w:rsidP="00000000" w:rsidRDefault="00000000" w:rsidRPr="00000000" w14:paraId="00000056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IX: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Aquisição dos equipamentos, materiais e EPIs constantes no caderno de referências;</w:t>
      </w:r>
    </w:p>
    <w:p w:rsidR="00000000" w:rsidDel="00000000" w:rsidP="00000000" w:rsidRDefault="00000000" w:rsidRPr="00000000" w14:paraId="00000058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Padronização da doutrina e difusão da cultura de investigação de incêndios no CBMAL.</w:t>
      </w:r>
    </w:p>
    <w:p w:rsidR="00000000" w:rsidDel="00000000" w:rsidP="00000000" w:rsidRDefault="00000000" w:rsidRPr="00000000" w14:paraId="0000005A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Implantação do Curso de investigação de incêndios no CBMAL até dezembro de 2027 e execução de 02 edições até dezembro de 2029; (junto com a DE)Iniciativa II: Fortalecimento da doutrina de investigação de incêndios em Alagoas;</w:t>
      </w:r>
    </w:p>
    <w:p w:rsidR="00000000" w:rsidDel="00000000" w:rsidP="00000000" w:rsidRDefault="00000000" w:rsidRPr="00000000" w14:paraId="0000005B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II: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Setorizar as regiões do estado para que as perícias sejam mais efetivas e otimização de recursos;</w:t>
      </w:r>
    </w:p>
    <w:p w:rsidR="00000000" w:rsidDel="00000000" w:rsidP="00000000" w:rsidRDefault="00000000" w:rsidRPr="00000000" w14:paraId="0000005D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Meta III: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Ampliação do número de peritos no CBMAL em 50% até 2029.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360" w:lineRule="auto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360" w:lineRule="auto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b w:val="1"/>
          <w:sz w:val="24"/>
          <w:szCs w:val="24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u w:val="single"/>
          <w:rtl w:val="0"/>
        </w:rPr>
        <w:t xml:space="preserve">Objetivo estratégico III:</w:t>
      </w:r>
    </w:p>
    <w:p w:rsidR="00000000" w:rsidDel="00000000" w:rsidP="00000000" w:rsidRDefault="00000000" w:rsidRPr="00000000" w14:paraId="00000062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Aprimorar a gestão.</w:t>
      </w:r>
    </w:p>
    <w:p w:rsidR="00000000" w:rsidDel="00000000" w:rsidP="00000000" w:rsidRDefault="00000000" w:rsidRPr="00000000" w14:paraId="00000063">
      <w:pPr>
        <w:widowControl w:val="0"/>
        <w:spacing w:line="360" w:lineRule="auto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Descrição do objetivo: </w:t>
      </w:r>
    </w:p>
    <w:p w:rsidR="00000000" w:rsidDel="00000000" w:rsidP="00000000" w:rsidRDefault="00000000" w:rsidRPr="00000000" w14:paraId="00000065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Tornar os processos mais simples, rápidos e eficientes, por meio da melhoria contínua e inovação, além da eliminação de práticas desnecessárias, visando um melhor desempenho da organização.</w:t>
      </w:r>
    </w:p>
    <w:p w:rsidR="00000000" w:rsidDel="00000000" w:rsidP="00000000" w:rsidRDefault="00000000" w:rsidRPr="00000000" w14:paraId="00000066">
      <w:pPr>
        <w:widowControl w:val="0"/>
        <w:spacing w:line="360" w:lineRule="auto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Fatores críticos de sucesso: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Qualificação e estabilidade do quadro de colaboradores.  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Liderança incentivando a otimização dos processos.</w:t>
      </w:r>
    </w:p>
    <w:p w:rsidR="00000000" w:rsidDel="00000000" w:rsidP="00000000" w:rsidRDefault="00000000" w:rsidRPr="00000000" w14:paraId="0000006A">
      <w:pPr>
        <w:widowControl w:val="0"/>
        <w:spacing w:line="360" w:lineRule="auto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Iniciativas: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5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IDENTIFICAÇÃO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Grupo de Técnico Trabalho (GTT): </w:t>
      </w:r>
    </w:p>
    <w:p w:rsidR="00000000" w:rsidDel="00000000" w:rsidP="00000000" w:rsidRDefault="00000000" w:rsidRPr="00000000" w14:paraId="00000071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Governança e Gestão.</w:t>
      </w:r>
    </w:p>
    <w:p w:rsidR="00000000" w:rsidDel="00000000" w:rsidP="00000000" w:rsidRDefault="00000000" w:rsidRPr="00000000" w14:paraId="00000072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Participantes: </w:t>
      </w:r>
    </w:p>
    <w:p w:rsidR="00000000" w:rsidDel="00000000" w:rsidP="00000000" w:rsidRDefault="00000000" w:rsidRPr="00000000" w14:paraId="00000074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TEN CEL QOC BM MAT. 76533-3 CLEMENS BARBOSA DA SILVA</w:t>
      </w:r>
    </w:p>
    <w:p w:rsidR="00000000" w:rsidDel="00000000" w:rsidP="00000000" w:rsidRDefault="00000000" w:rsidRPr="00000000" w14:paraId="00000075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TEN CEL QOC BM MAT. 80826-1 MARCOS PAULO SEÁRA BARBOSA</w:t>
      </w:r>
    </w:p>
    <w:p w:rsidR="00000000" w:rsidDel="00000000" w:rsidP="00000000" w:rsidRDefault="00000000" w:rsidRPr="00000000" w14:paraId="00000076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TEN CEL QOC BM MAT. 80820-2 DIEGO LINS DE CAMPOS</w:t>
      </w:r>
    </w:p>
    <w:p w:rsidR="00000000" w:rsidDel="00000000" w:rsidP="00000000" w:rsidRDefault="00000000" w:rsidRPr="00000000" w14:paraId="00000077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MAJ QOC BM MAT. 80857-1 ARISTÓBULO CARVALHO DE JESUS SILVA</w:t>
      </w:r>
    </w:p>
    <w:p w:rsidR="00000000" w:rsidDel="00000000" w:rsidP="00000000" w:rsidRDefault="00000000" w:rsidRPr="00000000" w14:paraId="00000078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MAJ QOC BM MAT. 27594-8 GREGÓRIO DE ALBUQUERQUE VIEIRA</w:t>
      </w:r>
    </w:p>
    <w:p w:rsidR="00000000" w:rsidDel="00000000" w:rsidP="00000000" w:rsidRDefault="00000000" w:rsidRPr="00000000" w14:paraId="00000079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5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PROPOSTA DE INTERVENÇÃO: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2.1 Eixo temático: </w:t>
      </w:r>
    </w:p>
    <w:p w:rsidR="00000000" w:rsidDel="00000000" w:rsidP="00000000" w:rsidRDefault="00000000" w:rsidRPr="00000000" w14:paraId="0000007C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GOVERNANÇA E GESTÃO.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Descrição: </w:t>
      </w:r>
    </w:p>
    <w:p w:rsidR="00000000" w:rsidDel="00000000" w:rsidP="00000000" w:rsidRDefault="00000000" w:rsidRPr="00000000" w14:paraId="0000007E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Compreende o planejamento, organização, direção e controle dos recursos necessários ao alcance dos resultados institucionais. Passa pelo aprimoramento da governança, da gestão corporativa e da responsabilidade socioambiental.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0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2.2 Objetivos estratégicos e descrição: </w:t>
      </w:r>
    </w:p>
    <w:p w:rsidR="00000000" w:rsidDel="00000000" w:rsidP="00000000" w:rsidRDefault="00000000" w:rsidRPr="00000000" w14:paraId="00000081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b w:val="1"/>
          <w:sz w:val="24"/>
          <w:szCs w:val="24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u w:val="single"/>
          <w:rtl w:val="0"/>
        </w:rPr>
        <w:t xml:space="preserve">Objetivo estratégico I:</w:t>
      </w:r>
    </w:p>
    <w:p w:rsidR="00000000" w:rsidDel="00000000" w:rsidP="00000000" w:rsidRDefault="00000000" w:rsidRPr="00000000" w14:paraId="00000083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Fortalecer a responsabilidade socioambiental da organização.</w:t>
      </w:r>
    </w:p>
    <w:p w:rsidR="00000000" w:rsidDel="00000000" w:rsidP="00000000" w:rsidRDefault="00000000" w:rsidRPr="00000000" w14:paraId="00000084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Descrição do objetivo: </w:t>
      </w:r>
    </w:p>
    <w:p w:rsidR="00000000" w:rsidDel="00000000" w:rsidP="00000000" w:rsidRDefault="00000000" w:rsidRPr="00000000" w14:paraId="00000086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Criar condições mais favoráveis para o desenvolvimento das iniciativas sociais e ambientais, mantendo os padrões de atendimento em quantidade e qualidade. Isso envolve o uso eficiente dos recursos humanos, de acordo com suas habilidades, e o incentivo à participação de voluntários nas ações. Também contempla a integração entre as atividades sociais e as ambientais, envolvendo os beneficiários do CBMAL na agenda ecológica.</w:t>
      </w:r>
    </w:p>
    <w:p w:rsidR="00000000" w:rsidDel="00000000" w:rsidP="00000000" w:rsidRDefault="00000000" w:rsidRPr="00000000" w14:paraId="00000087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Fatores críticos de sucesso: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Comprometimento dos líderes, gestores e diretores.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Disponibilidade de recursos para investir e sustentar as iniciativas socioambientais.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Iniciativas: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3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Formar parcerias institucionais.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3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Recrutar colaboradores e voluntários para os projetos e atividades socioambientais.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3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Avançar nas metas e resultados da agenda ambiental do setor público – A3P.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b w:val="1"/>
          <w:sz w:val="24"/>
          <w:szCs w:val="24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u w:val="single"/>
          <w:rtl w:val="0"/>
        </w:rPr>
        <w:t xml:space="preserve">Objetivo estratégico II:</w:t>
      </w:r>
    </w:p>
    <w:p w:rsidR="00000000" w:rsidDel="00000000" w:rsidP="00000000" w:rsidRDefault="00000000" w:rsidRPr="00000000" w14:paraId="00000092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Fortalecer a governança corporativa.</w:t>
      </w:r>
    </w:p>
    <w:p w:rsidR="00000000" w:rsidDel="00000000" w:rsidP="00000000" w:rsidRDefault="00000000" w:rsidRPr="00000000" w14:paraId="00000093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Descrição do objetivo: </w:t>
      </w:r>
    </w:p>
    <w:p w:rsidR="00000000" w:rsidDel="00000000" w:rsidP="00000000" w:rsidRDefault="00000000" w:rsidRPr="00000000" w14:paraId="00000096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Este objetivo aborda a governança pública, a atuação da liderança pelo Comando-Geral e sua função na análise do desempenho da organização. Inclui a implementação de processos que contribuem diretamente para a formulação de uma estratégia sólida, coerente e alinhada com as metas do Governo. Também envolve a criação de um sistema de gestão de riscos integrado ao controle interno.</w:t>
      </w:r>
    </w:p>
    <w:p w:rsidR="00000000" w:rsidDel="00000000" w:rsidP="00000000" w:rsidRDefault="00000000" w:rsidRPr="00000000" w14:paraId="00000097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Fatores críticos de sucesso: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Adotar a gestão de riscos como ferramenta de governança.  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Qualificação e estabilidade do quadro de colaboradores.  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Liderança apoiando o desenvolvimento da governança.</w:t>
      </w:r>
    </w:p>
    <w:p w:rsidR="00000000" w:rsidDel="00000000" w:rsidP="00000000" w:rsidRDefault="00000000" w:rsidRPr="00000000" w14:paraId="0000009C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Iniciativas: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Estabelecer políticas e diretrizes para o sistema de gestão de riscos e controle interno e implementá-los.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Realizar estudos e eventos sobre gestão, políticas, estratégias e doutrina para o aprimoramento organizacional.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Definir políticas e diretrizes para a gestão estratégica.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Aperfeiçoar os mecanismos de comunicação com a sociedade e com o público interno.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Indicadores: </w:t>
      </w:r>
    </w:p>
    <w:p w:rsidR="00000000" w:rsidDel="00000000" w:rsidP="00000000" w:rsidRDefault="00000000" w:rsidRPr="00000000" w14:paraId="000000A4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6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Índice geral de governança simplificado (Relatório TCDF).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6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Auditorias internas (Indicador institucional).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6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Demandas da ouvidoria (Indicador institucional).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6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Transgressões disciplinares (Indicador institucional).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b w:val="1"/>
          <w:sz w:val="24"/>
          <w:szCs w:val="24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u w:val="single"/>
          <w:rtl w:val="0"/>
        </w:rPr>
        <w:t xml:space="preserve">Objetivo estratégico III:</w:t>
      </w:r>
    </w:p>
    <w:p w:rsidR="00000000" w:rsidDel="00000000" w:rsidP="00000000" w:rsidRDefault="00000000" w:rsidRPr="00000000" w14:paraId="000000AB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Aprimorar a gestão.</w:t>
      </w:r>
    </w:p>
    <w:p w:rsidR="00000000" w:rsidDel="00000000" w:rsidP="00000000" w:rsidRDefault="00000000" w:rsidRPr="00000000" w14:paraId="000000AC">
      <w:pPr>
        <w:widowControl w:val="0"/>
        <w:spacing w:line="360" w:lineRule="auto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Descrição do objetivo: </w:t>
      </w:r>
    </w:p>
    <w:p w:rsidR="00000000" w:rsidDel="00000000" w:rsidP="00000000" w:rsidRDefault="00000000" w:rsidRPr="00000000" w14:paraId="000000AE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Tornar os processos mais simples, rápidos e eficientes, por meio da melhoria contínua e inovação, além da eliminação de práticas desnecessárias, visando um melhor desempenho da organização.</w:t>
      </w:r>
    </w:p>
    <w:p w:rsidR="00000000" w:rsidDel="00000000" w:rsidP="00000000" w:rsidRDefault="00000000" w:rsidRPr="00000000" w14:paraId="000000AF">
      <w:pPr>
        <w:widowControl w:val="0"/>
        <w:spacing w:line="360" w:lineRule="auto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Fatores críticos de sucesso: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Qualificação e estabilidade do quadro de colaboradores.  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Liderança incentivando a otimização dos processos.</w:t>
      </w:r>
    </w:p>
    <w:p w:rsidR="00000000" w:rsidDel="00000000" w:rsidP="00000000" w:rsidRDefault="00000000" w:rsidRPr="00000000" w14:paraId="000000B3">
      <w:pPr>
        <w:widowControl w:val="0"/>
        <w:spacing w:line="360" w:lineRule="auto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Iniciativas: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Mapear e otimizar os processos de apoio, além de atualizar os indicadores de desempenho.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yellow"/>
          <w:rtl w:val="0"/>
        </w:rPr>
        <w:t xml:space="preserve">Meta I:  </w:t>
      </w:r>
    </w:p>
    <w:p w:rsidR="00000000" w:rsidDel="00000000" w:rsidP="00000000" w:rsidRDefault="00000000" w:rsidRPr="00000000" w14:paraId="000000B7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Indicador: Quantidade de processos aprimorados e padronizados.</w:t>
      </w:r>
    </w:p>
    <w:p w:rsidR="00000000" w:rsidDel="00000000" w:rsidP="00000000" w:rsidRDefault="00000000" w:rsidRPr="00000000" w14:paraId="000000B8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yellow"/>
          <w:rtl w:val="0"/>
        </w:rPr>
        <w:t xml:space="preserve">Atualizar as normas e diretrizes corporativas.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Aperfeiçoar os mecanismos de comunicação com a sociedade e com o público interno.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Adotar práticas de gestão, educação e comunicação para priorização dos atos e entregas da gestão estratégica.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I: Promover a instrução preliminar dos setores vinculados à execução do Plano Estratégico no início do novo ciclo.</w:t>
      </w:r>
    </w:p>
    <w:p w:rsidR="00000000" w:rsidDel="00000000" w:rsidP="00000000" w:rsidRDefault="00000000" w:rsidRPr="00000000" w14:paraId="000000BE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I: Número de setores instruídos.</w:t>
      </w:r>
    </w:p>
    <w:p w:rsidR="00000000" w:rsidDel="00000000" w:rsidP="00000000" w:rsidRDefault="00000000" w:rsidRPr="00000000" w14:paraId="000000BF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II: Orientar os oficiais de ligação sobre suas atribuições, uso do software de gestão e ferramentas utilizadas na Gestão Estratégica.</w:t>
      </w:r>
    </w:p>
    <w:p w:rsidR="00000000" w:rsidDel="00000000" w:rsidP="00000000" w:rsidRDefault="00000000" w:rsidRPr="00000000" w14:paraId="000000C1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II: Número de oficiais de ligação instruídos.</w:t>
      </w:r>
    </w:p>
    <w:p w:rsidR="00000000" w:rsidDel="00000000" w:rsidP="00000000" w:rsidRDefault="00000000" w:rsidRPr="00000000" w14:paraId="000000C2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III: Adotar práticas e ferramentas de gestão de tarefas no âmbito dos setores.</w:t>
      </w:r>
    </w:p>
    <w:p w:rsidR="00000000" w:rsidDel="00000000" w:rsidP="00000000" w:rsidRDefault="00000000" w:rsidRPr="00000000" w14:paraId="000000C4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III: Ferramentas adotadas.</w:t>
      </w:r>
    </w:p>
    <w:p w:rsidR="00000000" w:rsidDel="00000000" w:rsidP="00000000" w:rsidRDefault="00000000" w:rsidRPr="00000000" w14:paraId="000000C5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Empregar os planos complementares (implementação, monitoramento e avaliação) ao Plano 2025-2029.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I: Publicar os Planos de Gestão anuais até o primeiro mês de cada ano.</w:t>
      </w:r>
    </w:p>
    <w:p w:rsidR="00000000" w:rsidDel="00000000" w:rsidP="00000000" w:rsidRDefault="00000000" w:rsidRPr="00000000" w14:paraId="000000C9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I: Planos publicados anualmente.</w:t>
      </w:r>
    </w:p>
    <w:p w:rsidR="00000000" w:rsidDel="00000000" w:rsidP="00000000" w:rsidRDefault="00000000" w:rsidRPr="00000000" w14:paraId="000000CA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II: Realizar Reuniões de Monitoramento Estratégico (RME) trimestralmente.</w:t>
      </w:r>
    </w:p>
    <w:p w:rsidR="00000000" w:rsidDel="00000000" w:rsidP="00000000" w:rsidRDefault="00000000" w:rsidRPr="00000000" w14:paraId="000000CC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II: Número de reuniões realizadas.</w:t>
      </w:r>
    </w:p>
    <w:p w:rsidR="00000000" w:rsidDel="00000000" w:rsidP="00000000" w:rsidRDefault="00000000" w:rsidRPr="00000000" w14:paraId="000000CD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III: Adotar práticas que permitam a participação mais ativa dos gestores setoriais no decorrer das reuniões.</w:t>
      </w:r>
    </w:p>
    <w:p w:rsidR="00000000" w:rsidDel="00000000" w:rsidP="00000000" w:rsidRDefault="00000000" w:rsidRPr="00000000" w14:paraId="000000CF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III: Práticas implementadas.</w:t>
      </w:r>
    </w:p>
    <w:p w:rsidR="00000000" w:rsidDel="00000000" w:rsidP="00000000" w:rsidRDefault="00000000" w:rsidRPr="00000000" w14:paraId="000000D0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IV: Coletar e tratar os resultados dos indicadores junto aos setores responsáveis, publicando-os anualmente.</w:t>
      </w:r>
    </w:p>
    <w:p w:rsidR="00000000" w:rsidDel="00000000" w:rsidP="00000000" w:rsidRDefault="00000000" w:rsidRPr="00000000" w14:paraId="000000D2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IV: Relatórios de indicadores publicados.</w:t>
      </w:r>
    </w:p>
    <w:p w:rsidR="00000000" w:rsidDel="00000000" w:rsidP="00000000" w:rsidRDefault="00000000" w:rsidRPr="00000000" w14:paraId="000000D3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V: Publicar os Relatórios de Gestão anuais até o primeiro mês de cada ano seguinte ao encerrado.</w:t>
      </w:r>
    </w:p>
    <w:p w:rsidR="00000000" w:rsidDel="00000000" w:rsidP="00000000" w:rsidRDefault="00000000" w:rsidRPr="00000000" w14:paraId="000000D5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V: Relatórios publicados anualmente.</w:t>
      </w:r>
    </w:p>
    <w:p w:rsidR="00000000" w:rsidDel="00000000" w:rsidP="00000000" w:rsidRDefault="00000000" w:rsidRPr="00000000" w14:paraId="000000D6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VI: Empregar novo sistema de gestão estratégica elaborado pelo ITEC.</w:t>
      </w:r>
    </w:p>
    <w:p w:rsidR="00000000" w:rsidDel="00000000" w:rsidP="00000000" w:rsidRDefault="00000000" w:rsidRPr="00000000" w14:paraId="000000D8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VI: Sistema implementado.</w:t>
      </w:r>
    </w:p>
    <w:p w:rsidR="00000000" w:rsidDel="00000000" w:rsidP="00000000" w:rsidRDefault="00000000" w:rsidRPr="00000000" w14:paraId="000000D9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Empregar metodologia de gestão de projetos com vistas a contribuir com a gestão estratégica e aumento da maturidade organizacional.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I: Promover instruções e treinamentos semestrais relacionados à Gestão de Projetos.</w:t>
      </w:r>
    </w:p>
    <w:p w:rsidR="00000000" w:rsidDel="00000000" w:rsidP="00000000" w:rsidRDefault="00000000" w:rsidRPr="00000000" w14:paraId="000000DD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I: Número de instruções e treinamentos realizados.</w:t>
      </w:r>
    </w:p>
    <w:p w:rsidR="00000000" w:rsidDel="00000000" w:rsidP="00000000" w:rsidRDefault="00000000" w:rsidRPr="00000000" w14:paraId="000000DE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II:  Criar o portfólio de projetos institucionais.</w:t>
      </w:r>
    </w:p>
    <w:p w:rsidR="00000000" w:rsidDel="00000000" w:rsidP="00000000" w:rsidRDefault="00000000" w:rsidRPr="00000000" w14:paraId="000000E0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II: Portfólio de projetos criado.</w:t>
      </w:r>
    </w:p>
    <w:p w:rsidR="00000000" w:rsidDel="00000000" w:rsidP="00000000" w:rsidRDefault="00000000" w:rsidRPr="00000000" w14:paraId="000000E1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III: Revisar e atualizar a Metodologia de Gerenciamento de Projetos do CBMAL (MGP/CBMAL), adaptando-a ao sistema de gestão de projetos elaborado pelo ITEC.</w:t>
      </w:r>
    </w:p>
    <w:p w:rsidR="00000000" w:rsidDel="00000000" w:rsidP="00000000" w:rsidRDefault="00000000" w:rsidRPr="00000000" w14:paraId="000000E3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III: MGP/CBMAL atualizada.</w:t>
      </w:r>
    </w:p>
    <w:p w:rsidR="00000000" w:rsidDel="00000000" w:rsidP="00000000" w:rsidRDefault="00000000" w:rsidRPr="00000000" w14:paraId="000000E4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IV: Empregar novo sistema de gestão de projetos elaborado pelo ITEC.</w:t>
      </w:r>
    </w:p>
    <w:p w:rsidR="00000000" w:rsidDel="00000000" w:rsidP="00000000" w:rsidRDefault="00000000" w:rsidRPr="00000000" w14:paraId="000000E6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IV: Sistema implementado.</w:t>
      </w:r>
    </w:p>
    <w:p w:rsidR="00000000" w:rsidDel="00000000" w:rsidP="00000000" w:rsidRDefault="00000000" w:rsidRPr="00000000" w14:paraId="000000E7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V: Aumentar o nível de maturidade em gerenciamento de projetos para o estágio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yellow"/>
          <w:rtl w:val="0"/>
        </w:rPr>
        <w:t xml:space="preserve">gerenciado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highlight w:val="yellow"/>
          <w:rtl w:val="0"/>
        </w:rPr>
        <w:t xml:space="preserve">(sugiro padronizado)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(Plataforma para gerenciamento de projetos Darci Prado).  </w:t>
      </w:r>
    </w:p>
    <w:p w:rsidR="00000000" w:rsidDel="00000000" w:rsidP="00000000" w:rsidRDefault="00000000" w:rsidRPr="00000000" w14:paraId="000000E9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V: Nível de maturidade em gerenciamento de projetos (Pesquisa Modelo Prado-MMGP).</w:t>
      </w:r>
    </w:p>
    <w:p w:rsidR="00000000" w:rsidDel="00000000" w:rsidP="00000000" w:rsidRDefault="00000000" w:rsidRPr="00000000" w14:paraId="000000EB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widowControl w:val="0"/>
      <w:tabs>
        <w:tab w:val="left" w:leader="none" w:pos="708"/>
        <w:tab w:val="left" w:leader="none" w:pos="1416"/>
        <w:tab w:val="left" w:leader="none" w:pos="2124"/>
        <w:tab w:val="left" w:leader="none" w:pos="2832"/>
        <w:tab w:val="left" w:leader="none" w:pos="3540"/>
        <w:tab w:val="left" w:leader="none" w:pos="4248"/>
        <w:tab w:val="left" w:leader="none" w:pos="4956"/>
        <w:tab w:val="left" w:leader="none" w:pos="5664"/>
        <w:tab w:val="left" w:leader="none" w:pos="6372"/>
        <w:tab w:val="left" w:leader="none" w:pos="7081"/>
        <w:tab w:val="left" w:leader="none" w:pos="7790"/>
        <w:tab w:val="left" w:leader="none" w:pos="8498"/>
        <w:tab w:val="left" w:leader="none" w:pos="9207"/>
      </w:tabs>
      <w:spacing w:line="240" w:lineRule="auto"/>
      <w:jc w:val="center"/>
      <w:rPr>
        <w:rFonts w:ascii="Roboto Mono" w:cs="Roboto Mono" w:eastAsia="Roboto Mono" w:hAnsi="Roboto Mono"/>
        <w:b w:val="1"/>
        <w:sz w:val="24"/>
        <w:szCs w:val="24"/>
      </w:rPr>
    </w:pPr>
    <w:r w:rsidDel="00000000" w:rsidR="00000000" w:rsidRPr="00000000">
      <w:rPr>
        <w:rFonts w:ascii="Roboto Mono" w:cs="Roboto Mono" w:eastAsia="Roboto Mono" w:hAnsi="Roboto Mono"/>
        <w:b w:val="1"/>
        <w:sz w:val="24"/>
        <w:szCs w:val="24"/>
        <w:rtl w:val="0"/>
      </w:rPr>
      <w:t xml:space="preserve">ESTADO DE ALAGOAS</w:t>
    </w:r>
  </w:p>
  <w:p w:rsidR="00000000" w:rsidDel="00000000" w:rsidP="00000000" w:rsidRDefault="00000000" w:rsidRPr="00000000" w14:paraId="000000F0">
    <w:pPr>
      <w:widowControl w:val="0"/>
      <w:tabs>
        <w:tab w:val="left" w:leader="none" w:pos="708"/>
        <w:tab w:val="left" w:leader="none" w:pos="1416"/>
        <w:tab w:val="left" w:leader="none" w:pos="2124"/>
        <w:tab w:val="left" w:leader="none" w:pos="2832"/>
        <w:tab w:val="left" w:leader="none" w:pos="3540"/>
        <w:tab w:val="left" w:leader="none" w:pos="4248"/>
        <w:tab w:val="left" w:leader="none" w:pos="4956"/>
        <w:tab w:val="left" w:leader="none" w:pos="5664"/>
        <w:tab w:val="left" w:leader="none" w:pos="6372"/>
        <w:tab w:val="left" w:leader="none" w:pos="7081"/>
        <w:tab w:val="left" w:leader="none" w:pos="7790"/>
        <w:tab w:val="left" w:leader="none" w:pos="8498"/>
        <w:tab w:val="left" w:leader="none" w:pos="9207"/>
      </w:tabs>
      <w:spacing w:line="240" w:lineRule="auto"/>
      <w:jc w:val="center"/>
      <w:rPr>
        <w:rFonts w:ascii="Roboto Mono" w:cs="Roboto Mono" w:eastAsia="Roboto Mono" w:hAnsi="Roboto Mono"/>
        <w:b w:val="1"/>
        <w:sz w:val="24"/>
        <w:szCs w:val="24"/>
      </w:rPr>
    </w:pPr>
    <w:r w:rsidDel="00000000" w:rsidR="00000000" w:rsidRPr="00000000">
      <w:rPr>
        <w:rFonts w:ascii="Roboto Mono" w:cs="Roboto Mono" w:eastAsia="Roboto Mono" w:hAnsi="Roboto Mono"/>
        <w:b w:val="1"/>
        <w:sz w:val="24"/>
        <w:szCs w:val="24"/>
        <w:rtl w:val="0"/>
      </w:rPr>
      <w:t xml:space="preserve">SECRETARIA DE ESTADO DA SEGURANÇA PÚBLICA</w:t>
    </w:r>
  </w:p>
  <w:p w:rsidR="00000000" w:rsidDel="00000000" w:rsidP="00000000" w:rsidRDefault="00000000" w:rsidRPr="00000000" w14:paraId="000000F1">
    <w:pPr>
      <w:widowControl w:val="0"/>
      <w:tabs>
        <w:tab w:val="left" w:leader="none" w:pos="708"/>
        <w:tab w:val="left" w:leader="none" w:pos="1416"/>
        <w:tab w:val="left" w:leader="none" w:pos="2124"/>
        <w:tab w:val="left" w:leader="none" w:pos="2832"/>
        <w:tab w:val="left" w:leader="none" w:pos="3540"/>
        <w:tab w:val="left" w:leader="none" w:pos="4248"/>
        <w:tab w:val="left" w:leader="none" w:pos="4956"/>
        <w:tab w:val="left" w:leader="none" w:pos="5664"/>
        <w:tab w:val="left" w:leader="none" w:pos="6372"/>
        <w:tab w:val="left" w:leader="none" w:pos="7081"/>
        <w:tab w:val="left" w:leader="none" w:pos="7790"/>
        <w:tab w:val="left" w:leader="none" w:pos="8498"/>
        <w:tab w:val="left" w:leader="none" w:pos="9207"/>
      </w:tabs>
      <w:spacing w:line="240" w:lineRule="auto"/>
      <w:jc w:val="center"/>
      <w:rPr>
        <w:rFonts w:ascii="Roboto Mono" w:cs="Roboto Mono" w:eastAsia="Roboto Mono" w:hAnsi="Roboto Mono"/>
        <w:b w:val="1"/>
        <w:sz w:val="24"/>
        <w:szCs w:val="24"/>
      </w:rPr>
    </w:pPr>
    <w:r w:rsidDel="00000000" w:rsidR="00000000" w:rsidRPr="00000000">
      <w:rPr>
        <w:rFonts w:ascii="Roboto Mono" w:cs="Roboto Mono" w:eastAsia="Roboto Mono" w:hAnsi="Roboto Mono"/>
        <w:b w:val="1"/>
        <w:sz w:val="24"/>
        <w:szCs w:val="24"/>
        <w:rtl w:val="0"/>
      </w:rPr>
      <w:t xml:space="preserve">CORPO DE BOMBEIROS MILITAR DE ALAGOAS</w:t>
    </w:r>
  </w:p>
  <w:p w:rsidR="00000000" w:rsidDel="00000000" w:rsidP="00000000" w:rsidRDefault="00000000" w:rsidRPr="00000000" w14:paraId="000000F2">
    <w:pPr>
      <w:widowControl w:val="0"/>
      <w:tabs>
        <w:tab w:val="left" w:leader="none" w:pos="708"/>
        <w:tab w:val="left" w:leader="none" w:pos="1416"/>
        <w:tab w:val="left" w:leader="none" w:pos="2124"/>
        <w:tab w:val="left" w:leader="none" w:pos="2832"/>
        <w:tab w:val="left" w:leader="none" w:pos="3540"/>
        <w:tab w:val="left" w:leader="none" w:pos="4248"/>
        <w:tab w:val="left" w:leader="none" w:pos="4956"/>
        <w:tab w:val="left" w:leader="none" w:pos="5664"/>
        <w:tab w:val="left" w:leader="none" w:pos="6372"/>
        <w:tab w:val="left" w:leader="none" w:pos="7081"/>
        <w:tab w:val="left" w:leader="none" w:pos="7790"/>
        <w:tab w:val="left" w:leader="none" w:pos="8498"/>
        <w:tab w:val="left" w:leader="none" w:pos="9207"/>
      </w:tabs>
      <w:spacing w:line="240" w:lineRule="auto"/>
      <w:jc w:val="center"/>
      <w:rPr>
        <w:sz w:val="20"/>
        <w:szCs w:val="20"/>
      </w:rPr>
    </w:pPr>
    <w:r w:rsidDel="00000000" w:rsidR="00000000" w:rsidRPr="00000000">
      <w:rPr>
        <w:rFonts w:ascii="Roboto Mono" w:cs="Roboto Mono" w:eastAsia="Roboto Mono" w:hAnsi="Roboto Mono"/>
        <w:b w:val="1"/>
        <w:sz w:val="24"/>
        <w:szCs w:val="24"/>
        <w:rtl w:val="0"/>
      </w:rPr>
      <w:t xml:space="preserve">ASSESSORIA DE PLANEJAMENTO E ORÇAMENTO</w:t>
    </w: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posOffset>2589373</wp:posOffset>
              </wp:positionH>
              <wp:positionV relativeFrom="page">
                <wp:posOffset>228600</wp:posOffset>
              </wp:positionV>
              <wp:extent cx="554355" cy="686435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068800" y="3436775"/>
                        <a:ext cx="554355" cy="686435"/>
                        <a:chOff x="5068800" y="3436775"/>
                        <a:chExt cx="554400" cy="686450"/>
                      </a:xfrm>
                    </wpg:grpSpPr>
                    <wpg:grpSp>
                      <wpg:cNvGrpSpPr/>
                      <wpg:grpSpPr>
                        <a:xfrm>
                          <a:off x="5068823" y="3436783"/>
                          <a:ext cx="554355" cy="686435"/>
                          <a:chOff x="5068800" y="3436775"/>
                          <a:chExt cx="554400" cy="6864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5068800" y="3436775"/>
                            <a:ext cx="554400" cy="68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068823" y="3436783"/>
                            <a:ext cx="554355" cy="686435"/>
                            <a:chOff x="5069150" y="3437100"/>
                            <a:chExt cx="553700" cy="6858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5069150" y="3437100"/>
                              <a:ext cx="553700" cy="685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069160" y="3437100"/>
                              <a:ext cx="553680" cy="685800"/>
                              <a:chOff x="0" y="0"/>
                              <a:chExt cx="553680" cy="6858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553675" cy="685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0" y="0"/>
                                <a:ext cx="553680" cy="685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9" name="Shape 9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553680" cy="685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posOffset>2589373</wp:posOffset>
              </wp:positionH>
              <wp:positionV relativeFrom="page">
                <wp:posOffset>228600</wp:posOffset>
              </wp:positionV>
              <wp:extent cx="554355" cy="686435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4355" cy="6864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10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2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2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be5f2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ec5e1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ec5e1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f81bd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3dddc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2afad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afad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c0504d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bf1d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1e0b3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1e0b3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9bbb59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c5b8d4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5b8d4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8064a2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cd9e5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cd9e5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a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bcfaa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cfaa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c732f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c732f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5c732f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c732f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e6da5" w:themeColor="accent1" w:themeShade="000095" w:themeTint="00008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e6da5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e6da5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3e6da5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e6da5" w:themeColor="accen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accen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3e6da5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f3a38" w:themeColor="accent2" w:themeShade="000095" w:themeTint="000097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9f3a38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f3a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9f3a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f3a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9f3a38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c732f" w:themeColor="accent3" w:themeShade="000095" w:themeTint="0000FE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5c732f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c73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FE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5c73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FE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c73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FE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5c732f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64f84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64f84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6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66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6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664f84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66879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66879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66879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266879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66879" w:themeColor="accent5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266879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b25408" w:themeColor="accent6" w:themeShade="000095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b25408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b25408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b25408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b25408" w:themeColor="accent6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b25408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3d69c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2cddd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ac091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4f81bd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4f81bd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da9796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3d69c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b2a1c7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92cddd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fac091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c993f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c993f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c993f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c993f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38ba3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38ba3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38ba3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38ba3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d680a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d680a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dd680a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d680a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1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f3a38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9f3a38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f3a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9f3a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f3a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9f3a38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9f3a38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c993f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c993f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c99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7c99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c99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7c993f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c993f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64f84" w:themeColor="accent4" w:themeShade="000095" w:themeTint="00009A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664f84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6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66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6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664f84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664f84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38ba3" w:themeColor="accent5" w:themeShade="000095" w:themeTint="00009A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38ba3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38ba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338ba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38ba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338ba3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38ba3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d680a" w:themeColor="accent6" w:themeShade="000095" w:themeTint="000098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d680a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d680a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dd680a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d680a" w:themeColor="accent6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dd680a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d680a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7"/>
    <w:basedOn w:val="727"/>
    <w:next w:val="727"/>
    <w:link w:val="155"/>
    <w:uiPriority w:val="9"/>
    <w:unhideWhenUsed w:val="1"/>
    <w:qFormat w:val="1"/>
    <w:pPr>
      <w:keepNext w:val="1"/>
      <w:keepLines w:val="1"/>
      <w:pBdr/>
      <w:spacing w:after="0" w:before="40"/>
      <w:ind/>
      <w:outlineLvl w:val="6"/>
    </w:pPr>
    <w:rPr>
      <w:rFonts w:ascii="Arial" w:cs="Arial" w:eastAsia="Arial" w:hAnsi="Arial"/>
      <w:color w:val="595959" w:themeColor="text1" w:themeTint="0000A6"/>
    </w:rPr>
  </w:style>
  <w:style w:type="paragraph" w:styleId="145">
    <w:name w:val="Heading 8"/>
    <w:basedOn w:val="727"/>
    <w:next w:val="727"/>
    <w:link w:val="156"/>
    <w:uiPriority w:val="9"/>
    <w:unhideWhenUsed w:val="1"/>
    <w:qFormat w:val="1"/>
    <w:pPr>
      <w:keepNext w:val="1"/>
      <w:keepLines w:val="1"/>
      <w:pBdr/>
      <w:spacing w:after="0"/>
      <w:ind/>
      <w:outlineLvl w:val="7"/>
    </w:pPr>
    <w:rPr>
      <w:rFonts w:ascii="Arial" w:cs="Arial" w:eastAsia="Arial" w:hAnsi="Arial"/>
      <w:i w:val="1"/>
      <w:iCs w:val="1"/>
      <w:color w:val="272727" w:themeColor="text1" w:themeTint="0000D8"/>
    </w:rPr>
  </w:style>
  <w:style w:type="paragraph" w:styleId="146">
    <w:name w:val="Heading 9"/>
    <w:basedOn w:val="727"/>
    <w:next w:val="727"/>
    <w:link w:val="157"/>
    <w:uiPriority w:val="9"/>
    <w:unhideWhenUsed w:val="1"/>
    <w:qFormat w:val="1"/>
    <w:pPr>
      <w:keepNext w:val="1"/>
      <w:keepLines w:val="1"/>
      <w:pBdr/>
      <w:spacing w:after="0"/>
      <w:ind/>
      <w:outlineLvl w:val="8"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47" w:default="1">
    <w:name w:val="Default Paragraph Font"/>
    <w:uiPriority w:val="1"/>
    <w:semiHidden w:val="1"/>
    <w:unhideWhenUsed w:val="1"/>
    <w:pPr>
      <w:pBdr/>
      <w:spacing/>
      <w:ind/>
    </w:pPr>
  </w:style>
  <w:style w:type="numbering" w:styleId="148" w:default="1">
    <w:name w:val="No List"/>
    <w:uiPriority w:val="99"/>
    <w:semiHidden w:val="1"/>
    <w:unhideWhenUsed w:val="1"/>
    <w:pPr>
      <w:pBdr/>
      <w:spacing/>
      <w:ind/>
    </w:pPr>
  </w:style>
  <w:style w:type="character" w:styleId="149">
    <w:name w:val="Heading 1 Char"/>
    <w:basedOn w:val="147"/>
    <w:link w:val="729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40"/>
      <w:szCs w:val="40"/>
    </w:rPr>
  </w:style>
  <w:style w:type="character" w:styleId="150">
    <w:name w:val="Heading 2 Char"/>
    <w:basedOn w:val="147"/>
    <w:link w:val="730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32"/>
      <w:szCs w:val="32"/>
    </w:rPr>
  </w:style>
  <w:style w:type="character" w:styleId="151">
    <w:name w:val="Heading 3 Char"/>
    <w:basedOn w:val="147"/>
    <w:link w:val="731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28"/>
      <w:szCs w:val="28"/>
    </w:rPr>
  </w:style>
  <w:style w:type="character" w:styleId="152">
    <w:name w:val="Heading 4 Char"/>
    <w:basedOn w:val="147"/>
    <w:link w:val="732"/>
    <w:uiPriority w:val="9"/>
    <w:pPr>
      <w:pBdr/>
      <w:spacing/>
      <w:ind/>
    </w:pPr>
    <w:rPr>
      <w:rFonts w:ascii="Arial" w:cs="Arial" w:eastAsia="Arial" w:hAnsi="Arial"/>
      <w:i w:val="1"/>
      <w:iCs w:val="1"/>
      <w:color w:val="0f4761" w:themeColor="accent1" w:themeShade="0000BF"/>
    </w:rPr>
  </w:style>
  <w:style w:type="character" w:styleId="153">
    <w:name w:val="Heading 5 Char"/>
    <w:basedOn w:val="147"/>
    <w:link w:val="733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</w:rPr>
  </w:style>
  <w:style w:type="character" w:styleId="154">
    <w:name w:val="Heading 6 Char"/>
    <w:basedOn w:val="147"/>
    <w:link w:val="734"/>
    <w:uiPriority w:val="9"/>
    <w:pPr>
      <w:pBdr/>
      <w:spacing/>
      <w:ind/>
    </w:pPr>
    <w:rPr>
      <w:rFonts w:ascii="Arial" w:cs="Arial" w:eastAsia="Arial" w:hAnsi="Arial"/>
      <w:i w:val="1"/>
      <w:iCs w:val="1"/>
      <w:color w:val="595959" w:themeColor="text1" w:themeTint="0000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cs="Arial" w:eastAsia="Arial" w:hAnsi="Arial"/>
      <w:color w:val="595959" w:themeColor="text1" w:themeTint="0000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59">
    <w:name w:val="Title Char"/>
    <w:basedOn w:val="147"/>
    <w:link w:val="735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type="character" w:styleId="161">
    <w:name w:val="Subtitle Char"/>
    <w:basedOn w:val="147"/>
    <w:link w:val="736"/>
    <w:uiPriority w:val="11"/>
    <w:pPr>
      <w:pBdr/>
      <w:spacing/>
      <w:ind/>
    </w:pPr>
    <w:rPr>
      <w:color w:val="595959" w:themeColor="text1" w:themeTint="0000A6"/>
      <w:spacing w:val="15"/>
      <w:sz w:val="28"/>
      <w:szCs w:val="28"/>
    </w:rPr>
  </w:style>
  <w:style w:type="paragraph" w:styleId="162">
    <w:name w:val="Quote"/>
    <w:basedOn w:val="727"/>
    <w:next w:val="727"/>
    <w:link w:val="163"/>
    <w:uiPriority w:val="29"/>
    <w:qFormat w:val="1"/>
    <w:pPr>
      <w:pBdr/>
      <w:spacing w:before="160"/>
      <w:ind/>
      <w:jc w:val="center"/>
    </w:pPr>
    <w:rPr>
      <w:i w:val="1"/>
      <w:iCs w:val="1"/>
      <w:color w:val="404040" w:themeColor="text1" w:themeTint="0000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 w:val="1"/>
      <w:iCs w:val="1"/>
      <w:color w:val="404040" w:themeColor="text1" w:themeTint="0000BF"/>
    </w:rPr>
  </w:style>
  <w:style w:type="paragraph" w:styleId="164">
    <w:name w:val="List Paragraph"/>
    <w:basedOn w:val="727"/>
    <w:uiPriority w:val="34"/>
    <w:qFormat w:val="1"/>
    <w:pPr>
      <w:pBdr/>
      <w:spacing/>
      <w:ind w:left="720"/>
      <w:contextualSpacing w:val="1"/>
    </w:pPr>
  </w:style>
  <w:style w:type="character" w:styleId="165">
    <w:name w:val="Intense Emphasis"/>
    <w:basedOn w:val="147"/>
    <w:uiPriority w:val="21"/>
    <w:qFormat w:val="1"/>
    <w:pPr>
      <w:pBdr/>
      <w:spacing/>
      <w:ind/>
    </w:pPr>
    <w:rPr>
      <w:i w:val="1"/>
      <w:iCs w:val="1"/>
      <w:color w:val="0f4761" w:themeColor="accent1" w:themeShade="0000BF"/>
    </w:rPr>
  </w:style>
  <w:style w:type="paragraph" w:styleId="166">
    <w:name w:val="Intense Quote"/>
    <w:basedOn w:val="727"/>
    <w:next w:val="727"/>
    <w:link w:val="167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 w:val="1"/>
      <w:iCs w:val="1"/>
      <w:color w:val="0f4761" w:themeColor="accent1" w:themeShade="0000BF"/>
    </w:rPr>
  </w:style>
  <w:style w:type="character" w:styleId="168">
    <w:name w:val="Intense Reference"/>
    <w:basedOn w:val="147"/>
    <w:uiPriority w:val="32"/>
    <w:qFormat w:val="1"/>
    <w:pPr>
      <w:pBdr/>
      <w:spacing/>
      <w:ind/>
    </w:pPr>
    <w:rPr>
      <w:b w:val="1"/>
      <w:bCs w:val="1"/>
      <w:smallCaps w:val="1"/>
      <w:color w:val="0f4761" w:themeColor="accent1" w:themeShade="0000BF"/>
      <w:spacing w:val="5"/>
    </w:rPr>
  </w:style>
  <w:style w:type="paragraph" w:styleId="169">
    <w:name w:val="No Spacing"/>
    <w:basedOn w:val="727"/>
    <w:uiPriority w:val="1"/>
    <w:qFormat w:val="1"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 w:val="1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171">
    <w:name w:val="Emphasis"/>
    <w:basedOn w:val="147"/>
    <w:uiPriority w:val="20"/>
    <w:qFormat w:val="1"/>
    <w:pPr>
      <w:pBdr/>
      <w:spacing/>
      <w:ind/>
    </w:pPr>
    <w:rPr>
      <w:i w:val="1"/>
      <w:iCs w:val="1"/>
    </w:rPr>
  </w:style>
  <w:style w:type="character" w:styleId="172">
    <w:name w:val="Strong"/>
    <w:basedOn w:val="147"/>
    <w:uiPriority w:val="22"/>
    <w:qFormat w:val="1"/>
    <w:pPr>
      <w:pBdr/>
      <w:spacing/>
      <w:ind/>
    </w:pPr>
    <w:rPr>
      <w:b w:val="1"/>
      <w:bCs w:val="1"/>
    </w:rPr>
  </w:style>
  <w:style w:type="character" w:styleId="173">
    <w:name w:val="Subtle Reference"/>
    <w:basedOn w:val="147"/>
    <w:uiPriority w:val="31"/>
    <w:qFormat w:val="1"/>
    <w:pPr>
      <w:pBdr/>
      <w:spacing/>
      <w:ind/>
    </w:pPr>
    <w:rPr>
      <w:smallCaps w:val="1"/>
      <w:color w:val="5a5a5a" w:themeColor="text1" w:themeTint="0000A5"/>
    </w:rPr>
  </w:style>
  <w:style w:type="character" w:styleId="174">
    <w:name w:val="Book Title"/>
    <w:basedOn w:val="147"/>
    <w:uiPriority w:val="33"/>
    <w:qFormat w:val="1"/>
    <w:pPr>
      <w:pBdr/>
      <w:spacing/>
      <w:ind/>
    </w:pPr>
    <w:rPr>
      <w:b w:val="1"/>
      <w:bCs w:val="1"/>
      <w:i w:val="1"/>
      <w:iCs w:val="1"/>
      <w:spacing w:val="5"/>
    </w:rPr>
  </w:style>
  <w:style w:type="paragraph" w:styleId="175">
    <w:name w:val="Header"/>
    <w:basedOn w:val="727"/>
    <w:link w:val="176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727"/>
    <w:link w:val="178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727"/>
    <w:next w:val="727"/>
    <w:uiPriority w:val="35"/>
    <w:unhideWhenUsed w:val="1"/>
    <w:qFormat w:val="1"/>
    <w:pPr>
      <w:pBdr/>
      <w:spacing w:after="200" w:line="240" w:lineRule="auto"/>
      <w:ind/>
    </w:pPr>
    <w:rPr>
      <w:i w:val="1"/>
      <w:iCs w:val="1"/>
      <w:color w:val="0e2841" w:themeColor="text2"/>
      <w:sz w:val="18"/>
      <w:szCs w:val="18"/>
    </w:rPr>
  </w:style>
  <w:style w:type="paragraph" w:styleId="180">
    <w:name w:val="footnote text"/>
    <w:basedOn w:val="727"/>
    <w:link w:val="181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 w:val="1"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183">
    <w:name w:val="endnote text"/>
    <w:basedOn w:val="727"/>
    <w:link w:val="184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 w:val="1"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 w:val="1"/>
    <w:unhideWhenUsed w:val="1"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 w:val="1"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 w:val="1"/>
    <w:unhideWhenUsed w:val="1"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 w:val="1"/>
    <w:pPr>
      <w:pBdr/>
      <w:spacing/>
      <w:ind/>
    </w:pPr>
  </w:style>
  <w:style w:type="paragraph" w:styleId="198">
    <w:name w:val="table of figures"/>
    <w:basedOn w:val="727"/>
    <w:next w:val="727"/>
    <w:uiPriority w:val="99"/>
    <w:unhideWhenUsed w:val="1"/>
    <w:pPr>
      <w:pBdr/>
      <w:spacing w:after="0" w:afterAutospacing="0"/>
      <w:ind/>
    </w:pPr>
  </w:style>
  <w:style w:type="paragraph" w:styleId="727" w:default="1">
    <w:name w:val="Normal"/>
    <w:pPr>
      <w:pBdr/>
      <w:spacing/>
      <w:ind/>
    </w:pPr>
  </w:style>
  <w:style w:type="table" w:styleId="728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9">
    <w:name w:val="Heading 1"/>
    <w:basedOn w:val="727"/>
    <w:next w:val="727"/>
    <w:pPr>
      <w:keepNext w:val="1"/>
      <w:keepLines w:val="1"/>
      <w:pageBreakBefore w:val="0"/>
      <w:pBdr/>
      <w:spacing w:after="120" w:before="400"/>
      <w:ind/>
    </w:pPr>
    <w:rPr>
      <w:sz w:val="40"/>
      <w:szCs w:val="40"/>
    </w:rPr>
  </w:style>
  <w:style w:type="paragraph" w:styleId="730">
    <w:name w:val="Heading 2"/>
    <w:basedOn w:val="727"/>
    <w:next w:val="727"/>
    <w:pPr>
      <w:keepNext w:val="1"/>
      <w:keepLines w:val="1"/>
      <w:pageBreakBefore w:val="0"/>
      <w:pBdr/>
      <w:spacing w:after="120" w:before="360"/>
      <w:ind/>
    </w:pPr>
    <w:rPr>
      <w:b w:val="0"/>
      <w:sz w:val="32"/>
      <w:szCs w:val="32"/>
    </w:rPr>
  </w:style>
  <w:style w:type="paragraph" w:styleId="731">
    <w:name w:val="Heading 3"/>
    <w:basedOn w:val="727"/>
    <w:next w:val="727"/>
    <w:pPr>
      <w:keepNext w:val="1"/>
      <w:keepLines w:val="1"/>
      <w:pageBreakBefore w:val="0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732">
    <w:name w:val="Heading 4"/>
    <w:basedOn w:val="727"/>
    <w:next w:val="727"/>
    <w:pPr>
      <w:keepNext w:val="1"/>
      <w:keepLines w:val="1"/>
      <w:pageBreakBefore w:val="0"/>
      <w:pBdr/>
      <w:spacing w:after="80" w:before="280"/>
      <w:ind/>
    </w:pPr>
    <w:rPr>
      <w:color w:val="666666"/>
      <w:sz w:val="24"/>
      <w:szCs w:val="24"/>
    </w:rPr>
  </w:style>
  <w:style w:type="paragraph" w:styleId="733">
    <w:name w:val="Heading 5"/>
    <w:basedOn w:val="727"/>
    <w:next w:val="727"/>
    <w:pPr>
      <w:keepNext w:val="1"/>
      <w:keepLines w:val="1"/>
      <w:pageBreakBefore w:val="0"/>
      <w:pBdr/>
      <w:spacing w:after="80" w:before="240"/>
      <w:ind/>
    </w:pPr>
    <w:rPr>
      <w:color w:val="666666"/>
      <w:sz w:val="22"/>
      <w:szCs w:val="22"/>
    </w:rPr>
  </w:style>
  <w:style w:type="paragraph" w:styleId="734">
    <w:name w:val="Heading 6"/>
    <w:basedOn w:val="727"/>
    <w:next w:val="727"/>
    <w:pPr>
      <w:keepNext w:val="1"/>
      <w:keepLines w:val="1"/>
      <w:pageBreakBefore w:val="0"/>
      <w:pBdr/>
      <w:spacing w:after="80" w:before="240"/>
      <w:ind/>
    </w:pPr>
    <w:rPr>
      <w:i w:val="1"/>
      <w:color w:val="666666"/>
      <w:sz w:val="22"/>
      <w:szCs w:val="22"/>
    </w:rPr>
  </w:style>
  <w:style w:type="paragraph" w:styleId="735">
    <w:name w:val="Title"/>
    <w:basedOn w:val="727"/>
    <w:next w:val="727"/>
    <w:pPr>
      <w:keepNext w:val="1"/>
      <w:keepLines w:val="1"/>
      <w:pageBreakBefore w:val="0"/>
      <w:pBdr/>
      <w:spacing w:after="60" w:before="0"/>
      <w:ind/>
    </w:pPr>
    <w:rPr>
      <w:sz w:val="52"/>
      <w:szCs w:val="52"/>
    </w:rPr>
  </w:style>
  <w:style w:type="paragraph" w:styleId="736">
    <w:name w:val="Subtitle"/>
    <w:basedOn w:val="727"/>
    <w:next w:val="727"/>
    <w:pPr>
      <w:keepNext w:val="1"/>
      <w:keepLines w:val="1"/>
      <w:pageBreakBefore w:val="0"/>
      <w:pBdr/>
      <w:spacing w:after="320" w:before="0"/>
      <w:ind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mnaHIbpvI0z6XSv5qk2kzmKTQw==">CgMxLjA4AHIhMTdyS3NaaVhsV0lVR1NTMG44YVhMLW9rMXh5V1pVdld1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